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charts/chart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55532" w14:textId="0CEFB431" w:rsidR="001B001A" w:rsidRPr="00834149" w:rsidRDefault="001B001A" w:rsidP="00513243">
      <w:pPr>
        <w:autoSpaceDE w:val="0"/>
        <w:autoSpaceDN w:val="0"/>
        <w:adjustRightInd w:val="0"/>
        <w:jc w:val="center"/>
        <w:rPr>
          <w:rFonts w:cs="Times New Roman"/>
          <w:color w:val="000000"/>
          <w:sz w:val="24"/>
          <w:szCs w:val="24"/>
        </w:rPr>
      </w:pPr>
      <w:r w:rsidRPr="00834149">
        <w:rPr>
          <w:rFonts w:cs="Times New Roman"/>
          <w:b/>
          <w:bCs/>
          <w:color w:val="000000"/>
          <w:sz w:val="24"/>
          <w:szCs w:val="24"/>
        </w:rPr>
        <w:t>Document of</w:t>
      </w:r>
    </w:p>
    <w:p w14:paraId="3BA24990" w14:textId="62E07FD5" w:rsidR="001B001A" w:rsidRPr="00834149" w:rsidRDefault="001B001A" w:rsidP="00513243">
      <w:pPr>
        <w:autoSpaceDE w:val="0"/>
        <w:autoSpaceDN w:val="0"/>
        <w:adjustRightInd w:val="0"/>
        <w:jc w:val="center"/>
        <w:rPr>
          <w:rFonts w:cs="Times New Roman"/>
          <w:color w:val="000000"/>
          <w:sz w:val="24"/>
          <w:szCs w:val="24"/>
        </w:rPr>
      </w:pPr>
      <w:r w:rsidRPr="00834149">
        <w:rPr>
          <w:rFonts w:cs="Times New Roman"/>
          <w:b/>
          <w:bCs/>
          <w:color w:val="000000"/>
          <w:sz w:val="24"/>
          <w:szCs w:val="24"/>
        </w:rPr>
        <w:t>The World Bank Group</w:t>
      </w:r>
    </w:p>
    <w:p w14:paraId="2BD1757F" w14:textId="77777777" w:rsidR="001B001A" w:rsidRPr="00834149" w:rsidRDefault="001B001A" w:rsidP="00513243">
      <w:pPr>
        <w:autoSpaceDE w:val="0"/>
        <w:autoSpaceDN w:val="0"/>
        <w:adjustRightInd w:val="0"/>
        <w:jc w:val="center"/>
        <w:rPr>
          <w:rFonts w:cs="Times New Roman"/>
          <w:b/>
          <w:bCs/>
          <w:color w:val="000000"/>
          <w:sz w:val="24"/>
          <w:szCs w:val="24"/>
        </w:rPr>
      </w:pPr>
    </w:p>
    <w:p w14:paraId="1D955D6F" w14:textId="59950BE2" w:rsidR="001B001A" w:rsidRPr="00834149" w:rsidRDefault="001B001A" w:rsidP="00513243">
      <w:pPr>
        <w:autoSpaceDE w:val="0"/>
        <w:autoSpaceDN w:val="0"/>
        <w:adjustRightInd w:val="0"/>
        <w:jc w:val="center"/>
        <w:rPr>
          <w:rFonts w:cs="Times New Roman"/>
          <w:color w:val="000000"/>
          <w:sz w:val="24"/>
          <w:szCs w:val="24"/>
        </w:rPr>
      </w:pPr>
      <w:r w:rsidRPr="00834149">
        <w:rPr>
          <w:rFonts w:cs="Times New Roman"/>
          <w:b/>
          <w:bCs/>
          <w:color w:val="000000"/>
          <w:sz w:val="24"/>
          <w:szCs w:val="24"/>
        </w:rPr>
        <w:t>FOR OFFICIAL USE ONLY</w:t>
      </w:r>
    </w:p>
    <w:p w14:paraId="345D3941" w14:textId="77777777" w:rsidR="001B001A" w:rsidRPr="00834149" w:rsidRDefault="001B001A" w:rsidP="00513243">
      <w:pPr>
        <w:autoSpaceDE w:val="0"/>
        <w:autoSpaceDN w:val="0"/>
        <w:adjustRightInd w:val="0"/>
        <w:jc w:val="center"/>
        <w:rPr>
          <w:rFonts w:cs="Times New Roman"/>
          <w:b/>
          <w:bCs/>
          <w:color w:val="000000"/>
          <w:sz w:val="24"/>
          <w:szCs w:val="24"/>
        </w:rPr>
      </w:pPr>
    </w:p>
    <w:p w14:paraId="776A4B7A" w14:textId="5B750CD9" w:rsidR="001B001A" w:rsidRPr="00834149" w:rsidRDefault="001B001A" w:rsidP="00834149">
      <w:pPr>
        <w:autoSpaceDE w:val="0"/>
        <w:autoSpaceDN w:val="0"/>
        <w:adjustRightInd w:val="0"/>
        <w:jc w:val="right"/>
        <w:rPr>
          <w:rFonts w:cs="Times New Roman"/>
          <w:color w:val="000000"/>
          <w:sz w:val="24"/>
          <w:szCs w:val="24"/>
        </w:rPr>
      </w:pPr>
      <w:r w:rsidRPr="00834149">
        <w:rPr>
          <w:rFonts w:cs="Times New Roman"/>
          <w:b/>
          <w:bCs/>
          <w:color w:val="000000"/>
          <w:sz w:val="24"/>
          <w:szCs w:val="24"/>
        </w:rPr>
        <w:t xml:space="preserve">Report No. </w:t>
      </w:r>
      <w:r w:rsidR="00462985" w:rsidRPr="00834149">
        <w:rPr>
          <w:rFonts w:cs="Times New Roman"/>
          <w:b/>
          <w:bCs/>
          <w:color w:val="000000"/>
          <w:sz w:val="24"/>
          <w:szCs w:val="24"/>
        </w:rPr>
        <w:t>112965-T</w:t>
      </w:r>
      <w:r w:rsidR="001259B7" w:rsidRPr="00834149">
        <w:rPr>
          <w:rFonts w:cs="Times New Roman"/>
          <w:b/>
          <w:bCs/>
          <w:color w:val="000000"/>
          <w:sz w:val="24"/>
          <w:szCs w:val="24"/>
        </w:rPr>
        <w:t>G</w:t>
      </w:r>
    </w:p>
    <w:p w14:paraId="43DE717E" w14:textId="77777777" w:rsidR="001B001A" w:rsidRPr="00834149" w:rsidRDefault="001B001A" w:rsidP="00513243">
      <w:pPr>
        <w:autoSpaceDE w:val="0"/>
        <w:autoSpaceDN w:val="0"/>
        <w:adjustRightInd w:val="0"/>
        <w:jc w:val="center"/>
        <w:rPr>
          <w:rFonts w:cs="Times New Roman"/>
          <w:b/>
          <w:bCs/>
          <w:color w:val="000000"/>
          <w:sz w:val="24"/>
          <w:szCs w:val="24"/>
        </w:rPr>
      </w:pPr>
    </w:p>
    <w:p w14:paraId="47B4D773" w14:textId="77777777" w:rsidR="001B001A" w:rsidRPr="00834149" w:rsidRDefault="001B001A" w:rsidP="00513243">
      <w:pPr>
        <w:autoSpaceDE w:val="0"/>
        <w:autoSpaceDN w:val="0"/>
        <w:adjustRightInd w:val="0"/>
        <w:jc w:val="center"/>
        <w:rPr>
          <w:rFonts w:cs="Times New Roman"/>
          <w:b/>
          <w:bCs/>
          <w:color w:val="000000"/>
          <w:sz w:val="24"/>
          <w:szCs w:val="24"/>
        </w:rPr>
      </w:pPr>
    </w:p>
    <w:p w14:paraId="237ADF7F" w14:textId="77777777" w:rsidR="001B001A" w:rsidRPr="00834149" w:rsidRDefault="001B001A" w:rsidP="00513243">
      <w:pPr>
        <w:autoSpaceDE w:val="0"/>
        <w:autoSpaceDN w:val="0"/>
        <w:adjustRightInd w:val="0"/>
        <w:jc w:val="center"/>
        <w:rPr>
          <w:rFonts w:cs="Times New Roman"/>
          <w:b/>
          <w:bCs/>
          <w:color w:val="000000"/>
          <w:sz w:val="24"/>
          <w:szCs w:val="24"/>
        </w:rPr>
      </w:pPr>
    </w:p>
    <w:p w14:paraId="3BDCD6E4" w14:textId="77777777" w:rsidR="001B001A" w:rsidRPr="00834149" w:rsidRDefault="001B001A" w:rsidP="00513243">
      <w:pPr>
        <w:autoSpaceDE w:val="0"/>
        <w:autoSpaceDN w:val="0"/>
        <w:adjustRightInd w:val="0"/>
        <w:jc w:val="center"/>
        <w:rPr>
          <w:rFonts w:cs="Times New Roman"/>
          <w:color w:val="000000"/>
          <w:sz w:val="24"/>
          <w:szCs w:val="24"/>
        </w:rPr>
      </w:pPr>
      <w:r w:rsidRPr="00834149">
        <w:rPr>
          <w:rFonts w:cs="Times New Roman"/>
          <w:b/>
          <w:bCs/>
          <w:color w:val="000000"/>
          <w:sz w:val="24"/>
          <w:szCs w:val="24"/>
        </w:rPr>
        <w:t>INTERNATIONAL DEVELOPMENT ASSOCIATION</w:t>
      </w:r>
    </w:p>
    <w:p w14:paraId="282123B8" w14:textId="77777777" w:rsidR="001B001A" w:rsidRPr="00834149" w:rsidRDefault="001B001A" w:rsidP="00513243">
      <w:pPr>
        <w:autoSpaceDE w:val="0"/>
        <w:autoSpaceDN w:val="0"/>
        <w:adjustRightInd w:val="0"/>
        <w:jc w:val="center"/>
        <w:rPr>
          <w:rFonts w:cs="Times New Roman"/>
          <w:color w:val="000000"/>
          <w:sz w:val="24"/>
          <w:szCs w:val="24"/>
        </w:rPr>
      </w:pPr>
      <w:r w:rsidRPr="00834149">
        <w:rPr>
          <w:rFonts w:cs="Times New Roman"/>
          <w:b/>
          <w:bCs/>
          <w:color w:val="000000"/>
          <w:sz w:val="24"/>
          <w:szCs w:val="24"/>
        </w:rPr>
        <w:t>INTERNATIONAL FINANCE CORPORATION</w:t>
      </w:r>
    </w:p>
    <w:p w14:paraId="0DEDAB6E" w14:textId="77777777" w:rsidR="001B001A" w:rsidRPr="00834149" w:rsidRDefault="001B001A" w:rsidP="00513243">
      <w:pPr>
        <w:autoSpaceDE w:val="0"/>
        <w:autoSpaceDN w:val="0"/>
        <w:adjustRightInd w:val="0"/>
        <w:jc w:val="center"/>
        <w:rPr>
          <w:rFonts w:cs="Times New Roman"/>
          <w:color w:val="000000"/>
          <w:sz w:val="24"/>
          <w:szCs w:val="24"/>
        </w:rPr>
      </w:pPr>
      <w:r w:rsidRPr="00834149">
        <w:rPr>
          <w:rFonts w:cs="Times New Roman"/>
          <w:b/>
          <w:bCs/>
          <w:color w:val="000000"/>
          <w:sz w:val="24"/>
          <w:szCs w:val="24"/>
        </w:rPr>
        <w:t>MULTILATERAL INVESTMENT GUARANTEE AGENCY</w:t>
      </w:r>
    </w:p>
    <w:p w14:paraId="71D66609" w14:textId="77777777" w:rsidR="001B001A" w:rsidRPr="00834149" w:rsidRDefault="001B001A" w:rsidP="00513243">
      <w:pPr>
        <w:autoSpaceDE w:val="0"/>
        <w:autoSpaceDN w:val="0"/>
        <w:adjustRightInd w:val="0"/>
        <w:jc w:val="center"/>
        <w:rPr>
          <w:rFonts w:cs="Times New Roman"/>
          <w:b/>
          <w:bCs/>
          <w:color w:val="000000"/>
          <w:sz w:val="24"/>
          <w:szCs w:val="24"/>
        </w:rPr>
      </w:pPr>
    </w:p>
    <w:p w14:paraId="4915679F" w14:textId="77777777" w:rsidR="001B001A" w:rsidRPr="00834149" w:rsidRDefault="001B001A" w:rsidP="00513243">
      <w:pPr>
        <w:jc w:val="center"/>
        <w:rPr>
          <w:rFonts w:cs="Times New Roman"/>
          <w:b/>
          <w:sz w:val="24"/>
          <w:szCs w:val="24"/>
        </w:rPr>
      </w:pPr>
      <w:r w:rsidRPr="00834149">
        <w:rPr>
          <w:rFonts w:cs="Times New Roman"/>
          <w:b/>
          <w:sz w:val="24"/>
          <w:szCs w:val="24"/>
        </w:rPr>
        <w:t>COUNTRY PARTNERSHIP FRAMEWORK</w:t>
      </w:r>
    </w:p>
    <w:p w14:paraId="55351E72" w14:textId="77777777" w:rsidR="001B001A" w:rsidRPr="00834149" w:rsidRDefault="001B001A" w:rsidP="00513243">
      <w:pPr>
        <w:autoSpaceDE w:val="0"/>
        <w:autoSpaceDN w:val="0"/>
        <w:adjustRightInd w:val="0"/>
        <w:jc w:val="center"/>
        <w:rPr>
          <w:rFonts w:cs="Times New Roman"/>
          <w:b/>
          <w:bCs/>
          <w:color w:val="000000"/>
          <w:sz w:val="24"/>
          <w:szCs w:val="24"/>
        </w:rPr>
      </w:pPr>
    </w:p>
    <w:p w14:paraId="71DDD387" w14:textId="7FE51CCB" w:rsidR="001B001A" w:rsidRPr="00834149" w:rsidRDefault="001B001A" w:rsidP="00513243">
      <w:pPr>
        <w:autoSpaceDE w:val="0"/>
        <w:autoSpaceDN w:val="0"/>
        <w:adjustRightInd w:val="0"/>
        <w:jc w:val="center"/>
        <w:rPr>
          <w:rFonts w:cs="Times New Roman"/>
          <w:color w:val="000000"/>
          <w:sz w:val="24"/>
          <w:szCs w:val="24"/>
        </w:rPr>
      </w:pPr>
      <w:r w:rsidRPr="00834149">
        <w:rPr>
          <w:rFonts w:cs="Times New Roman"/>
          <w:b/>
          <w:bCs/>
          <w:color w:val="000000"/>
          <w:sz w:val="24"/>
          <w:szCs w:val="24"/>
        </w:rPr>
        <w:t>FOR</w:t>
      </w:r>
    </w:p>
    <w:p w14:paraId="6608D342" w14:textId="77777777" w:rsidR="001B001A" w:rsidRPr="00834149" w:rsidRDefault="001B001A" w:rsidP="00513243">
      <w:pPr>
        <w:autoSpaceDE w:val="0"/>
        <w:autoSpaceDN w:val="0"/>
        <w:adjustRightInd w:val="0"/>
        <w:jc w:val="center"/>
        <w:rPr>
          <w:rFonts w:cs="Times New Roman"/>
          <w:b/>
          <w:bCs/>
          <w:color w:val="000000"/>
          <w:sz w:val="24"/>
          <w:szCs w:val="24"/>
        </w:rPr>
      </w:pPr>
    </w:p>
    <w:p w14:paraId="7B9D767F" w14:textId="33EE94F2" w:rsidR="001B001A" w:rsidRPr="00834149" w:rsidRDefault="000E2340" w:rsidP="00513243">
      <w:pPr>
        <w:autoSpaceDE w:val="0"/>
        <w:autoSpaceDN w:val="0"/>
        <w:adjustRightInd w:val="0"/>
        <w:jc w:val="center"/>
        <w:rPr>
          <w:rFonts w:cs="Times New Roman"/>
          <w:color w:val="000000"/>
          <w:sz w:val="24"/>
          <w:szCs w:val="24"/>
        </w:rPr>
      </w:pPr>
      <w:r w:rsidRPr="00834149">
        <w:rPr>
          <w:rFonts w:cs="Times New Roman"/>
          <w:b/>
          <w:bCs/>
          <w:color w:val="000000"/>
          <w:sz w:val="24"/>
          <w:szCs w:val="24"/>
        </w:rPr>
        <w:t xml:space="preserve">REPUBLIC OF </w:t>
      </w:r>
      <w:r w:rsidR="001B001A" w:rsidRPr="00834149">
        <w:rPr>
          <w:rFonts w:cs="Times New Roman"/>
          <w:b/>
          <w:bCs/>
          <w:color w:val="000000"/>
          <w:sz w:val="24"/>
          <w:szCs w:val="24"/>
        </w:rPr>
        <w:t>TOGO</w:t>
      </w:r>
    </w:p>
    <w:p w14:paraId="62D7D913" w14:textId="77777777" w:rsidR="001B001A" w:rsidRPr="00834149" w:rsidRDefault="001B001A" w:rsidP="00513243">
      <w:pPr>
        <w:autoSpaceDE w:val="0"/>
        <w:autoSpaceDN w:val="0"/>
        <w:adjustRightInd w:val="0"/>
        <w:jc w:val="center"/>
        <w:rPr>
          <w:rFonts w:cs="Times New Roman"/>
          <w:b/>
          <w:bCs/>
          <w:color w:val="000000"/>
          <w:sz w:val="24"/>
          <w:szCs w:val="24"/>
        </w:rPr>
      </w:pPr>
    </w:p>
    <w:p w14:paraId="0DAFA052" w14:textId="47022AF8" w:rsidR="001B001A" w:rsidRPr="00834149" w:rsidRDefault="001B001A" w:rsidP="00513243">
      <w:pPr>
        <w:autoSpaceDE w:val="0"/>
        <w:autoSpaceDN w:val="0"/>
        <w:adjustRightInd w:val="0"/>
        <w:jc w:val="center"/>
        <w:rPr>
          <w:rFonts w:cs="Times New Roman"/>
          <w:color w:val="000000"/>
          <w:sz w:val="24"/>
          <w:szCs w:val="24"/>
        </w:rPr>
      </w:pPr>
      <w:r w:rsidRPr="00834149">
        <w:rPr>
          <w:rFonts w:cs="Times New Roman"/>
          <w:b/>
          <w:bCs/>
          <w:color w:val="000000"/>
          <w:sz w:val="24"/>
          <w:szCs w:val="24"/>
        </w:rPr>
        <w:t>FOR THE PERIOD FY17-FY2</w:t>
      </w:r>
      <w:r w:rsidR="0042797E" w:rsidRPr="00834149">
        <w:rPr>
          <w:rFonts w:cs="Times New Roman"/>
          <w:b/>
          <w:bCs/>
          <w:color w:val="000000"/>
          <w:sz w:val="24"/>
          <w:szCs w:val="24"/>
        </w:rPr>
        <w:t>0</w:t>
      </w:r>
    </w:p>
    <w:p w14:paraId="25A62B47" w14:textId="77777777" w:rsidR="001B001A" w:rsidRPr="00834149" w:rsidRDefault="001B001A" w:rsidP="00513243">
      <w:pPr>
        <w:autoSpaceDE w:val="0"/>
        <w:autoSpaceDN w:val="0"/>
        <w:adjustRightInd w:val="0"/>
        <w:jc w:val="center"/>
        <w:rPr>
          <w:rFonts w:cs="Times New Roman"/>
          <w:b/>
          <w:bCs/>
          <w:color w:val="000000"/>
          <w:sz w:val="24"/>
          <w:szCs w:val="24"/>
        </w:rPr>
      </w:pPr>
    </w:p>
    <w:p w14:paraId="111383D9" w14:textId="77777777" w:rsidR="001B001A" w:rsidRPr="00834149" w:rsidRDefault="001B001A" w:rsidP="00513243">
      <w:pPr>
        <w:autoSpaceDE w:val="0"/>
        <w:autoSpaceDN w:val="0"/>
        <w:adjustRightInd w:val="0"/>
        <w:jc w:val="center"/>
        <w:rPr>
          <w:rFonts w:cs="Times New Roman"/>
          <w:b/>
          <w:bCs/>
          <w:sz w:val="24"/>
          <w:szCs w:val="24"/>
        </w:rPr>
      </w:pPr>
    </w:p>
    <w:p w14:paraId="68AEDB6A" w14:textId="39374868" w:rsidR="0052408E" w:rsidRPr="00834149" w:rsidRDefault="000E2340" w:rsidP="00513243">
      <w:pPr>
        <w:autoSpaceDE w:val="0"/>
        <w:autoSpaceDN w:val="0"/>
        <w:adjustRightInd w:val="0"/>
        <w:jc w:val="center"/>
        <w:rPr>
          <w:rFonts w:cs="Times New Roman"/>
          <w:b/>
          <w:bCs/>
          <w:sz w:val="24"/>
          <w:szCs w:val="24"/>
        </w:rPr>
      </w:pPr>
      <w:r w:rsidRPr="00834149">
        <w:rPr>
          <w:rFonts w:cs="Times New Roman"/>
          <w:b/>
          <w:bCs/>
          <w:sz w:val="24"/>
          <w:szCs w:val="24"/>
        </w:rPr>
        <w:t xml:space="preserve">April </w:t>
      </w:r>
      <w:r w:rsidR="00805FBD" w:rsidRPr="00834149">
        <w:rPr>
          <w:rFonts w:cs="Times New Roman"/>
          <w:b/>
          <w:bCs/>
          <w:sz w:val="24"/>
          <w:szCs w:val="24"/>
        </w:rPr>
        <w:t>20</w:t>
      </w:r>
      <w:r w:rsidRPr="00834149">
        <w:rPr>
          <w:rFonts w:cs="Times New Roman"/>
          <w:b/>
          <w:bCs/>
          <w:sz w:val="24"/>
          <w:szCs w:val="24"/>
        </w:rPr>
        <w:t>, 2017</w:t>
      </w:r>
    </w:p>
    <w:p w14:paraId="17245DB5" w14:textId="77777777" w:rsidR="0052408E" w:rsidRPr="00834149" w:rsidRDefault="0052408E" w:rsidP="00513243">
      <w:pPr>
        <w:autoSpaceDE w:val="0"/>
        <w:autoSpaceDN w:val="0"/>
        <w:adjustRightInd w:val="0"/>
        <w:jc w:val="center"/>
        <w:rPr>
          <w:rFonts w:cs="Times New Roman"/>
          <w:b/>
          <w:bCs/>
          <w:sz w:val="24"/>
          <w:szCs w:val="24"/>
        </w:rPr>
      </w:pPr>
    </w:p>
    <w:p w14:paraId="692BA751" w14:textId="77777777" w:rsidR="0052408E" w:rsidRPr="00834149" w:rsidRDefault="0052408E" w:rsidP="00513243">
      <w:pPr>
        <w:autoSpaceDE w:val="0"/>
        <w:autoSpaceDN w:val="0"/>
        <w:adjustRightInd w:val="0"/>
        <w:jc w:val="center"/>
        <w:rPr>
          <w:rFonts w:cs="Times New Roman"/>
          <w:b/>
          <w:bCs/>
          <w:sz w:val="24"/>
          <w:szCs w:val="24"/>
        </w:rPr>
      </w:pPr>
    </w:p>
    <w:p w14:paraId="34B5E137" w14:textId="77777777" w:rsidR="001B001A" w:rsidRPr="00834149" w:rsidRDefault="001B001A" w:rsidP="00513243">
      <w:pPr>
        <w:autoSpaceDE w:val="0"/>
        <w:autoSpaceDN w:val="0"/>
        <w:adjustRightInd w:val="0"/>
        <w:jc w:val="center"/>
        <w:rPr>
          <w:rFonts w:cs="Times New Roman"/>
          <w:b/>
          <w:bCs/>
          <w:color w:val="000000"/>
          <w:sz w:val="24"/>
          <w:szCs w:val="24"/>
        </w:rPr>
      </w:pPr>
    </w:p>
    <w:p w14:paraId="1323FE05" w14:textId="77777777" w:rsidR="0052408E" w:rsidRPr="00834149" w:rsidRDefault="0052408E" w:rsidP="00513243">
      <w:pPr>
        <w:autoSpaceDE w:val="0"/>
        <w:autoSpaceDN w:val="0"/>
        <w:adjustRightInd w:val="0"/>
        <w:jc w:val="center"/>
        <w:rPr>
          <w:rFonts w:cs="Times New Roman"/>
          <w:b/>
          <w:bCs/>
          <w:color w:val="000000"/>
          <w:sz w:val="24"/>
          <w:szCs w:val="24"/>
        </w:rPr>
      </w:pPr>
    </w:p>
    <w:p w14:paraId="66D4BEC3" w14:textId="77777777" w:rsidR="0052408E" w:rsidRPr="00834149" w:rsidRDefault="0052408E" w:rsidP="00513243">
      <w:pPr>
        <w:autoSpaceDE w:val="0"/>
        <w:autoSpaceDN w:val="0"/>
        <w:adjustRightInd w:val="0"/>
        <w:jc w:val="center"/>
        <w:rPr>
          <w:rFonts w:cs="Times New Roman"/>
          <w:b/>
          <w:bCs/>
          <w:color w:val="000000"/>
          <w:sz w:val="24"/>
          <w:szCs w:val="24"/>
        </w:rPr>
      </w:pPr>
    </w:p>
    <w:p w14:paraId="408DDC76" w14:textId="77777777" w:rsidR="001B001A" w:rsidRPr="00834149" w:rsidRDefault="001B001A" w:rsidP="00513243">
      <w:pPr>
        <w:autoSpaceDE w:val="0"/>
        <w:autoSpaceDN w:val="0"/>
        <w:adjustRightInd w:val="0"/>
        <w:jc w:val="center"/>
        <w:rPr>
          <w:rFonts w:cs="Times New Roman"/>
          <w:b/>
          <w:bCs/>
          <w:color w:val="000000"/>
          <w:sz w:val="24"/>
          <w:szCs w:val="24"/>
        </w:rPr>
      </w:pPr>
    </w:p>
    <w:p w14:paraId="1D4F80C6" w14:textId="77777777" w:rsidR="001B001A" w:rsidRPr="00834149" w:rsidRDefault="001B001A" w:rsidP="00513243">
      <w:pPr>
        <w:autoSpaceDE w:val="0"/>
        <w:autoSpaceDN w:val="0"/>
        <w:adjustRightInd w:val="0"/>
        <w:jc w:val="center"/>
        <w:rPr>
          <w:rFonts w:cs="Times New Roman"/>
          <w:b/>
          <w:bCs/>
          <w:color w:val="000000"/>
          <w:sz w:val="24"/>
          <w:szCs w:val="24"/>
        </w:rPr>
      </w:pPr>
    </w:p>
    <w:p w14:paraId="78B46861" w14:textId="18E18F3B" w:rsidR="001B001A" w:rsidRPr="00834149" w:rsidRDefault="001B001A" w:rsidP="00784385">
      <w:pPr>
        <w:autoSpaceDE w:val="0"/>
        <w:autoSpaceDN w:val="0"/>
        <w:adjustRightInd w:val="0"/>
        <w:rPr>
          <w:rFonts w:cs="Times New Roman"/>
          <w:b/>
          <w:bCs/>
          <w:color w:val="000000"/>
          <w:sz w:val="24"/>
          <w:szCs w:val="24"/>
        </w:rPr>
      </w:pPr>
      <w:r w:rsidRPr="00834149">
        <w:rPr>
          <w:rFonts w:cs="Times New Roman"/>
          <w:b/>
          <w:bCs/>
          <w:color w:val="000000"/>
          <w:sz w:val="24"/>
          <w:szCs w:val="24"/>
        </w:rPr>
        <w:t xml:space="preserve">Côte d’Ivoire Country Management Unit </w:t>
      </w:r>
    </w:p>
    <w:p w14:paraId="3C155BC8" w14:textId="77777777" w:rsidR="001B001A" w:rsidRPr="00834149" w:rsidRDefault="001B001A" w:rsidP="00784385">
      <w:pPr>
        <w:autoSpaceDE w:val="0"/>
        <w:autoSpaceDN w:val="0"/>
        <w:adjustRightInd w:val="0"/>
        <w:rPr>
          <w:rFonts w:cs="Times New Roman"/>
          <w:color w:val="000000"/>
          <w:sz w:val="24"/>
          <w:szCs w:val="24"/>
        </w:rPr>
      </w:pPr>
      <w:r w:rsidRPr="00834149">
        <w:rPr>
          <w:rFonts w:cs="Times New Roman"/>
          <w:b/>
          <w:bCs/>
          <w:color w:val="000000"/>
          <w:sz w:val="24"/>
          <w:szCs w:val="24"/>
        </w:rPr>
        <w:t>Africa Region</w:t>
      </w:r>
    </w:p>
    <w:p w14:paraId="1A6EDBF4" w14:textId="77777777" w:rsidR="001B001A" w:rsidRPr="00834149" w:rsidRDefault="001B001A" w:rsidP="00784385">
      <w:pPr>
        <w:autoSpaceDE w:val="0"/>
        <w:autoSpaceDN w:val="0"/>
        <w:adjustRightInd w:val="0"/>
        <w:rPr>
          <w:rFonts w:cs="Times New Roman"/>
          <w:b/>
          <w:bCs/>
          <w:color w:val="000000"/>
          <w:sz w:val="24"/>
          <w:szCs w:val="24"/>
        </w:rPr>
      </w:pPr>
    </w:p>
    <w:p w14:paraId="29F8E061" w14:textId="138EA537" w:rsidR="001B001A" w:rsidRPr="00834149" w:rsidRDefault="001B001A" w:rsidP="00784385">
      <w:pPr>
        <w:autoSpaceDE w:val="0"/>
        <w:autoSpaceDN w:val="0"/>
        <w:adjustRightInd w:val="0"/>
        <w:rPr>
          <w:rFonts w:cs="Times New Roman"/>
          <w:color w:val="000000"/>
          <w:sz w:val="24"/>
          <w:szCs w:val="24"/>
        </w:rPr>
      </w:pPr>
      <w:r w:rsidRPr="00834149">
        <w:rPr>
          <w:rFonts w:cs="Times New Roman"/>
          <w:b/>
          <w:bCs/>
          <w:color w:val="000000"/>
          <w:sz w:val="24"/>
          <w:szCs w:val="24"/>
        </w:rPr>
        <w:t>The International Finance Corporation</w:t>
      </w:r>
    </w:p>
    <w:p w14:paraId="4BC4C0AE" w14:textId="77777777" w:rsidR="001B001A" w:rsidRPr="00834149" w:rsidRDefault="001B001A" w:rsidP="00784385">
      <w:pPr>
        <w:autoSpaceDE w:val="0"/>
        <w:autoSpaceDN w:val="0"/>
        <w:adjustRightInd w:val="0"/>
        <w:rPr>
          <w:rFonts w:cs="Times New Roman"/>
          <w:b/>
          <w:bCs/>
          <w:color w:val="000000"/>
          <w:sz w:val="24"/>
          <w:szCs w:val="24"/>
        </w:rPr>
      </w:pPr>
    </w:p>
    <w:p w14:paraId="5620AC13" w14:textId="77777777" w:rsidR="001B001A" w:rsidRPr="00834149" w:rsidRDefault="001B001A" w:rsidP="00784385">
      <w:pPr>
        <w:autoSpaceDE w:val="0"/>
        <w:autoSpaceDN w:val="0"/>
        <w:adjustRightInd w:val="0"/>
        <w:rPr>
          <w:rFonts w:cs="Times New Roman"/>
          <w:color w:val="000000"/>
          <w:sz w:val="24"/>
          <w:szCs w:val="24"/>
        </w:rPr>
      </w:pPr>
      <w:r w:rsidRPr="00834149">
        <w:rPr>
          <w:rFonts w:cs="Times New Roman"/>
          <w:b/>
          <w:bCs/>
          <w:color w:val="000000"/>
          <w:sz w:val="24"/>
          <w:szCs w:val="24"/>
        </w:rPr>
        <w:t>The Multilateral Investment Guarantee Agency</w:t>
      </w:r>
    </w:p>
    <w:p w14:paraId="3E763F13" w14:textId="77777777" w:rsidR="001B001A" w:rsidRPr="00834149" w:rsidRDefault="001B001A" w:rsidP="00784385">
      <w:pPr>
        <w:autoSpaceDE w:val="0"/>
        <w:autoSpaceDN w:val="0"/>
        <w:adjustRightInd w:val="0"/>
        <w:rPr>
          <w:rFonts w:cs="Times New Roman"/>
          <w:color w:val="000000"/>
          <w:sz w:val="24"/>
          <w:szCs w:val="24"/>
        </w:rPr>
      </w:pPr>
      <w:r w:rsidRPr="00834149">
        <w:rPr>
          <w:rFonts w:cs="Times New Roman"/>
          <w:b/>
          <w:bCs/>
          <w:color w:val="000000"/>
          <w:sz w:val="24"/>
          <w:szCs w:val="24"/>
        </w:rPr>
        <w:t>Sub-Saharan Africa Department</w:t>
      </w:r>
    </w:p>
    <w:p w14:paraId="595EA480" w14:textId="77777777" w:rsidR="001B001A" w:rsidRPr="00834149" w:rsidRDefault="001B001A" w:rsidP="00513243">
      <w:pPr>
        <w:autoSpaceDE w:val="0"/>
        <w:autoSpaceDN w:val="0"/>
        <w:adjustRightInd w:val="0"/>
        <w:jc w:val="center"/>
        <w:rPr>
          <w:color w:val="000000"/>
          <w:sz w:val="24"/>
          <w:szCs w:val="24"/>
        </w:rPr>
      </w:pPr>
    </w:p>
    <w:p w14:paraId="1ED9B238" w14:textId="4F51A3D8" w:rsidR="001B001A" w:rsidRPr="00834149" w:rsidRDefault="001B001A" w:rsidP="00541C0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color w:val="000000"/>
          <w:sz w:val="24"/>
          <w:szCs w:val="24"/>
        </w:rPr>
      </w:pPr>
      <w:r w:rsidRPr="00834149">
        <w:rPr>
          <w:color w:val="000000"/>
          <w:sz w:val="24"/>
          <w:szCs w:val="24"/>
        </w:rPr>
        <w:t xml:space="preserve">This document has a restricted distribution and may be used by recipients only in the performance of their official duties. Its contents may not otherwise be disclosed without World Bank </w:t>
      </w:r>
      <w:r w:rsidRPr="000E2340">
        <w:rPr>
          <w:color w:val="000000"/>
        </w:rPr>
        <w:t>Group authorization</w:t>
      </w:r>
      <w:r w:rsidRPr="00834149">
        <w:rPr>
          <w:color w:val="000000"/>
          <w:sz w:val="24"/>
          <w:szCs w:val="24"/>
        </w:rPr>
        <w:t xml:space="preserve">. </w:t>
      </w:r>
    </w:p>
    <w:p w14:paraId="2096E184" w14:textId="77777777" w:rsidR="001B001A" w:rsidRDefault="001B001A" w:rsidP="00541C07">
      <w:pPr>
        <w:spacing w:after="160" w:line="259" w:lineRule="auto"/>
        <w:jc w:val="both"/>
        <w:rPr>
          <w:b/>
          <w:bCs/>
          <w:color w:val="000000"/>
          <w:sz w:val="23"/>
          <w:szCs w:val="23"/>
        </w:rPr>
      </w:pPr>
      <w:r>
        <w:rPr>
          <w:b/>
          <w:bCs/>
          <w:color w:val="000000"/>
          <w:sz w:val="23"/>
          <w:szCs w:val="23"/>
        </w:rPr>
        <w:br w:type="page"/>
      </w:r>
    </w:p>
    <w:p w14:paraId="35982965" w14:textId="77777777" w:rsidR="009B7B75" w:rsidRDefault="009B7B75" w:rsidP="00513243">
      <w:pPr>
        <w:autoSpaceDE w:val="0"/>
        <w:autoSpaceDN w:val="0"/>
        <w:adjustRightInd w:val="0"/>
        <w:jc w:val="center"/>
        <w:rPr>
          <w:b/>
          <w:bCs/>
          <w:color w:val="000000"/>
          <w:sz w:val="23"/>
          <w:szCs w:val="23"/>
        </w:rPr>
        <w:sectPr w:rsidR="009B7B75" w:rsidSect="009B7B75">
          <w:footerReference w:type="default" r:id="rId8"/>
          <w:footerReference w:type="first" r:id="rId9"/>
          <w:pgSz w:w="12240" w:h="15840"/>
          <w:pgMar w:top="1440" w:right="1440" w:bottom="1440" w:left="1440" w:header="720" w:footer="720" w:gutter="0"/>
          <w:cols w:space="720"/>
          <w:titlePg/>
          <w:docGrid w:linePitch="360"/>
        </w:sectPr>
      </w:pPr>
      <w:bookmarkStart w:id="0" w:name="_Toc468442630"/>
    </w:p>
    <w:p w14:paraId="57565041" w14:textId="0592F5A1" w:rsidR="001B001A" w:rsidRPr="00834149" w:rsidRDefault="001B001A" w:rsidP="00513243">
      <w:pPr>
        <w:autoSpaceDE w:val="0"/>
        <w:autoSpaceDN w:val="0"/>
        <w:adjustRightInd w:val="0"/>
        <w:jc w:val="center"/>
        <w:rPr>
          <w:rFonts w:cs="Times New Roman"/>
          <w:color w:val="000000"/>
          <w:sz w:val="24"/>
          <w:szCs w:val="24"/>
        </w:rPr>
      </w:pPr>
      <w:r w:rsidRPr="00834149">
        <w:rPr>
          <w:rFonts w:cs="Times New Roman"/>
          <w:b/>
          <w:bCs/>
          <w:color w:val="000000"/>
          <w:sz w:val="24"/>
          <w:szCs w:val="24"/>
        </w:rPr>
        <w:lastRenderedPageBreak/>
        <w:t>The</w:t>
      </w:r>
      <w:r w:rsidR="000E2340" w:rsidRPr="00834149">
        <w:rPr>
          <w:rFonts w:cs="Times New Roman"/>
          <w:b/>
          <w:bCs/>
          <w:color w:val="000000"/>
          <w:sz w:val="24"/>
          <w:szCs w:val="24"/>
        </w:rPr>
        <w:t xml:space="preserve"> date of the last </w:t>
      </w:r>
      <w:r w:rsidRPr="00834149">
        <w:rPr>
          <w:rFonts w:cs="Times New Roman"/>
          <w:b/>
          <w:bCs/>
          <w:color w:val="000000"/>
          <w:sz w:val="24"/>
          <w:szCs w:val="24"/>
        </w:rPr>
        <w:t xml:space="preserve">Interim Strategy Note </w:t>
      </w:r>
      <w:r w:rsidR="000E2340" w:rsidRPr="00834149">
        <w:rPr>
          <w:rFonts w:cs="Times New Roman"/>
          <w:b/>
          <w:bCs/>
          <w:color w:val="000000"/>
          <w:sz w:val="24"/>
          <w:szCs w:val="24"/>
        </w:rPr>
        <w:t>FY</w:t>
      </w:r>
      <w:r w:rsidR="009E23CA">
        <w:rPr>
          <w:rFonts w:cs="Times New Roman"/>
          <w:b/>
          <w:bCs/>
          <w:color w:val="000000"/>
          <w:sz w:val="24"/>
          <w:szCs w:val="24"/>
        </w:rPr>
        <w:t>08</w:t>
      </w:r>
      <w:r w:rsidR="000E2340" w:rsidRPr="00834149">
        <w:rPr>
          <w:rFonts w:cs="Times New Roman"/>
          <w:b/>
          <w:bCs/>
          <w:color w:val="000000"/>
          <w:sz w:val="24"/>
          <w:szCs w:val="24"/>
        </w:rPr>
        <w:t>-FY</w:t>
      </w:r>
      <w:r w:rsidR="009E23CA">
        <w:rPr>
          <w:rFonts w:cs="Times New Roman"/>
          <w:b/>
          <w:bCs/>
          <w:color w:val="000000"/>
          <w:sz w:val="24"/>
          <w:szCs w:val="24"/>
        </w:rPr>
        <w:t>12</w:t>
      </w:r>
      <w:r w:rsidR="000E2340" w:rsidRPr="00834149">
        <w:rPr>
          <w:rFonts w:cs="Times New Roman"/>
          <w:b/>
          <w:bCs/>
          <w:color w:val="000000"/>
          <w:sz w:val="24"/>
          <w:szCs w:val="24"/>
        </w:rPr>
        <w:t xml:space="preserve"> </w:t>
      </w:r>
      <w:r w:rsidRPr="00834149">
        <w:rPr>
          <w:rFonts w:cs="Times New Roman"/>
          <w:b/>
          <w:bCs/>
          <w:color w:val="000000"/>
          <w:sz w:val="24"/>
          <w:szCs w:val="24"/>
        </w:rPr>
        <w:t>for Togo was December 29, 2011.</w:t>
      </w:r>
    </w:p>
    <w:p w14:paraId="4BB99A79" w14:textId="77777777" w:rsidR="001B001A" w:rsidRPr="00834149" w:rsidRDefault="001B001A" w:rsidP="000E2340">
      <w:pPr>
        <w:autoSpaceDE w:val="0"/>
        <w:autoSpaceDN w:val="0"/>
        <w:adjustRightInd w:val="0"/>
        <w:jc w:val="center"/>
        <w:rPr>
          <w:rFonts w:cs="Times New Roman"/>
          <w:b/>
          <w:bCs/>
          <w:color w:val="000000"/>
        </w:rPr>
      </w:pPr>
    </w:p>
    <w:p w14:paraId="2A67E63B" w14:textId="52F47850" w:rsidR="001B001A" w:rsidRPr="00834149" w:rsidRDefault="001B001A" w:rsidP="00D4667B">
      <w:pPr>
        <w:autoSpaceDE w:val="0"/>
        <w:autoSpaceDN w:val="0"/>
        <w:adjustRightInd w:val="0"/>
        <w:jc w:val="center"/>
        <w:rPr>
          <w:rFonts w:cs="Times New Roman"/>
          <w:b/>
          <w:bCs/>
          <w:color w:val="000000"/>
        </w:rPr>
      </w:pPr>
      <w:r w:rsidRPr="00834149">
        <w:rPr>
          <w:rFonts w:cs="Times New Roman"/>
          <w:b/>
          <w:bCs/>
          <w:color w:val="000000"/>
        </w:rPr>
        <w:t>CURRENCY EQUIVALENTS</w:t>
      </w:r>
    </w:p>
    <w:p w14:paraId="71594797" w14:textId="71E5C6CD" w:rsidR="0088695A" w:rsidRPr="00834149" w:rsidRDefault="0088695A" w:rsidP="00834149">
      <w:pPr>
        <w:autoSpaceDE w:val="0"/>
        <w:autoSpaceDN w:val="0"/>
        <w:adjustRightInd w:val="0"/>
        <w:jc w:val="center"/>
        <w:rPr>
          <w:rFonts w:cs="Times New Roman"/>
          <w:color w:val="000000"/>
        </w:rPr>
      </w:pPr>
      <w:r w:rsidRPr="00834149">
        <w:rPr>
          <w:rFonts w:cs="Times New Roman"/>
          <w:bCs/>
          <w:color w:val="000000"/>
        </w:rPr>
        <w:t xml:space="preserve">(Exchange rate </w:t>
      </w:r>
      <w:r w:rsidR="000E2340">
        <w:rPr>
          <w:rFonts w:cs="Times New Roman"/>
          <w:bCs/>
          <w:color w:val="000000"/>
        </w:rPr>
        <w:t xml:space="preserve">as of </w:t>
      </w:r>
      <w:r w:rsidR="00816E21" w:rsidRPr="00834149">
        <w:rPr>
          <w:rFonts w:cs="Times New Roman"/>
          <w:bCs/>
          <w:color w:val="000000"/>
        </w:rPr>
        <w:t xml:space="preserve">April </w:t>
      </w:r>
      <w:r w:rsidR="00A05759" w:rsidRPr="00834149">
        <w:rPr>
          <w:rFonts w:cs="Times New Roman"/>
          <w:bCs/>
          <w:color w:val="000000"/>
        </w:rPr>
        <w:t>1</w:t>
      </w:r>
      <w:r w:rsidR="00816E21" w:rsidRPr="00834149">
        <w:rPr>
          <w:rFonts w:cs="Times New Roman"/>
          <w:bCs/>
          <w:color w:val="000000"/>
        </w:rPr>
        <w:t>1</w:t>
      </w:r>
      <w:r w:rsidRPr="00834149">
        <w:rPr>
          <w:rFonts w:cs="Times New Roman"/>
          <w:bCs/>
          <w:color w:val="000000"/>
        </w:rPr>
        <w:t>, 2017)</w:t>
      </w:r>
    </w:p>
    <w:p w14:paraId="292AA70F" w14:textId="77777777" w:rsidR="0088695A" w:rsidRPr="00834149" w:rsidRDefault="0088695A" w:rsidP="00834149">
      <w:pPr>
        <w:autoSpaceDE w:val="0"/>
        <w:autoSpaceDN w:val="0"/>
        <w:adjustRightInd w:val="0"/>
        <w:jc w:val="center"/>
        <w:rPr>
          <w:rFonts w:cs="Times New Roman"/>
          <w:color w:val="000000"/>
        </w:rPr>
      </w:pPr>
      <w:r w:rsidRPr="00834149">
        <w:rPr>
          <w:rFonts w:cs="Times New Roman"/>
          <w:color w:val="000000"/>
        </w:rPr>
        <w:t>Currency Unit = Francs CFA</w:t>
      </w:r>
    </w:p>
    <w:p w14:paraId="6EF829D7" w14:textId="4C7293F4" w:rsidR="001B001A" w:rsidRPr="00834149" w:rsidRDefault="0088695A" w:rsidP="00834149">
      <w:pPr>
        <w:autoSpaceDE w:val="0"/>
        <w:autoSpaceDN w:val="0"/>
        <w:adjustRightInd w:val="0"/>
        <w:jc w:val="center"/>
        <w:rPr>
          <w:rFonts w:cs="Times New Roman"/>
          <w:color w:val="000000"/>
        </w:rPr>
      </w:pPr>
      <w:r w:rsidRPr="00834149">
        <w:rPr>
          <w:rFonts w:cs="Times New Roman"/>
          <w:color w:val="000000"/>
        </w:rPr>
        <w:t>Francs CFA 61</w:t>
      </w:r>
      <w:r w:rsidR="00816E21" w:rsidRPr="00834149">
        <w:rPr>
          <w:rFonts w:cs="Times New Roman"/>
          <w:color w:val="000000"/>
        </w:rPr>
        <w:t>8</w:t>
      </w:r>
      <w:r w:rsidRPr="00834149">
        <w:rPr>
          <w:rFonts w:cs="Times New Roman"/>
          <w:color w:val="000000"/>
        </w:rPr>
        <w:t xml:space="preserve"> = US$1</w:t>
      </w:r>
    </w:p>
    <w:p w14:paraId="11BC6056" w14:textId="5E3D5100" w:rsidR="0088695A" w:rsidRPr="00834149" w:rsidRDefault="0088695A" w:rsidP="00834149">
      <w:pPr>
        <w:autoSpaceDE w:val="0"/>
        <w:autoSpaceDN w:val="0"/>
        <w:adjustRightInd w:val="0"/>
        <w:jc w:val="center"/>
        <w:rPr>
          <w:rFonts w:cs="Times New Roman"/>
          <w:color w:val="000000"/>
        </w:rPr>
      </w:pPr>
      <w:r w:rsidRPr="00834149">
        <w:rPr>
          <w:rFonts w:cs="Times New Roman"/>
          <w:color w:val="000000"/>
        </w:rPr>
        <w:t>US$1.35 = SDR 1</w:t>
      </w:r>
    </w:p>
    <w:p w14:paraId="416A1717" w14:textId="77777777" w:rsidR="001B001A" w:rsidRPr="00834149" w:rsidRDefault="001B001A" w:rsidP="000E2340">
      <w:pPr>
        <w:autoSpaceDE w:val="0"/>
        <w:autoSpaceDN w:val="0"/>
        <w:adjustRightInd w:val="0"/>
        <w:jc w:val="center"/>
        <w:rPr>
          <w:rFonts w:cs="Times New Roman"/>
          <w:b/>
          <w:bCs/>
          <w:color w:val="000000"/>
        </w:rPr>
      </w:pPr>
    </w:p>
    <w:p w14:paraId="1E049C1C" w14:textId="4BF60965" w:rsidR="001B001A" w:rsidRPr="00834149" w:rsidRDefault="001B001A" w:rsidP="00D4667B">
      <w:pPr>
        <w:autoSpaceDE w:val="0"/>
        <w:autoSpaceDN w:val="0"/>
        <w:adjustRightInd w:val="0"/>
        <w:jc w:val="center"/>
        <w:rPr>
          <w:rFonts w:cs="Times New Roman"/>
          <w:color w:val="000000"/>
        </w:rPr>
      </w:pPr>
      <w:r w:rsidRPr="00834149">
        <w:rPr>
          <w:rFonts w:cs="Times New Roman"/>
          <w:b/>
          <w:bCs/>
          <w:color w:val="000000"/>
        </w:rPr>
        <w:t>FISCAL YEAR</w:t>
      </w:r>
    </w:p>
    <w:p w14:paraId="31E58DFA" w14:textId="505A3BCB" w:rsidR="001B001A" w:rsidRPr="00834149" w:rsidRDefault="00816EDD" w:rsidP="009E23CA">
      <w:pPr>
        <w:autoSpaceDE w:val="0"/>
        <w:autoSpaceDN w:val="0"/>
        <w:adjustRightInd w:val="0"/>
        <w:jc w:val="center"/>
        <w:rPr>
          <w:rFonts w:cs="Times New Roman"/>
          <w:color w:val="000000"/>
        </w:rPr>
      </w:pPr>
      <w:r w:rsidRPr="00834149">
        <w:rPr>
          <w:rFonts w:cs="Times New Roman"/>
          <w:color w:val="000000"/>
        </w:rPr>
        <w:t>January 1 to December 31</w:t>
      </w:r>
    </w:p>
    <w:p w14:paraId="4E848550" w14:textId="77777777" w:rsidR="001B001A" w:rsidRPr="00834149" w:rsidRDefault="001B001A" w:rsidP="00434A65">
      <w:pPr>
        <w:autoSpaceDE w:val="0"/>
        <w:autoSpaceDN w:val="0"/>
        <w:adjustRightInd w:val="0"/>
        <w:jc w:val="center"/>
        <w:rPr>
          <w:rFonts w:cs="Times New Roman"/>
          <w:b/>
          <w:bCs/>
          <w:color w:val="000000"/>
        </w:rPr>
      </w:pPr>
    </w:p>
    <w:p w14:paraId="4CFB3191" w14:textId="1ECD2A51" w:rsidR="001B001A" w:rsidRPr="00834149" w:rsidRDefault="001B001A" w:rsidP="00434A65">
      <w:pPr>
        <w:autoSpaceDE w:val="0"/>
        <w:autoSpaceDN w:val="0"/>
        <w:adjustRightInd w:val="0"/>
        <w:jc w:val="center"/>
        <w:rPr>
          <w:rFonts w:cs="Times New Roman"/>
          <w:color w:val="000000"/>
        </w:rPr>
      </w:pPr>
      <w:r w:rsidRPr="00834149">
        <w:rPr>
          <w:rFonts w:cs="Times New Roman"/>
          <w:b/>
          <w:bCs/>
          <w:color w:val="000000"/>
        </w:rPr>
        <w:t>ABBREVIATIONS AND ACRONYMS</w:t>
      </w:r>
    </w:p>
    <w:p w14:paraId="5BA969E8" w14:textId="7495112E" w:rsidR="001B001A" w:rsidRPr="00834149" w:rsidRDefault="001B001A" w:rsidP="00434A65">
      <w:pPr>
        <w:autoSpaceDE w:val="0"/>
        <w:autoSpaceDN w:val="0"/>
        <w:adjustRightInd w:val="0"/>
        <w:jc w:val="center"/>
        <w:rPr>
          <w:rFonts w:cs="Times New Roman"/>
          <w:color w:val="000000"/>
        </w:rPr>
      </w:pPr>
    </w:p>
    <w:p w14:paraId="2A9F9258" w14:textId="77777777" w:rsidR="00DB61B0" w:rsidRPr="00834149" w:rsidRDefault="00DB61B0" w:rsidP="00434A65">
      <w:pPr>
        <w:tabs>
          <w:tab w:val="left" w:pos="1080"/>
        </w:tabs>
        <w:ind w:left="540" w:hanging="540"/>
        <w:rPr>
          <w:rFonts w:cs="Times New Roman"/>
          <w:color w:val="000000"/>
        </w:rPr>
      </w:pPr>
      <w:r w:rsidRPr="00834149">
        <w:rPr>
          <w:rFonts w:cs="Times New Roman"/>
          <w:color w:val="000000"/>
        </w:rPr>
        <w:t>AF</w:t>
      </w:r>
      <w:r w:rsidRPr="00834149">
        <w:rPr>
          <w:rFonts w:cs="Times New Roman"/>
          <w:color w:val="000000"/>
        </w:rPr>
        <w:tab/>
      </w:r>
      <w:r w:rsidRPr="00834149">
        <w:rPr>
          <w:rFonts w:cs="Times New Roman"/>
          <w:color w:val="000000"/>
        </w:rPr>
        <w:tab/>
        <w:t>Additional Financing</w:t>
      </w:r>
    </w:p>
    <w:p w14:paraId="46BDF9A8" w14:textId="170891D9"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AFD       </w:t>
      </w:r>
      <w:r w:rsidRPr="00834149">
        <w:rPr>
          <w:rFonts w:eastAsia="Times New Roman" w:cs="Times New Roman"/>
        </w:rPr>
        <w:tab/>
      </w:r>
      <w:r w:rsidR="00D42EC2">
        <w:rPr>
          <w:rFonts w:eastAsia="Times New Roman" w:cs="Times New Roman"/>
          <w:i/>
        </w:rPr>
        <w:t>Agence Francaise de d</w:t>
      </w:r>
      <w:r w:rsidR="00CE7F2D">
        <w:rPr>
          <w:rFonts w:eastAsia="Times New Roman" w:cs="Times New Roman"/>
          <w:i/>
        </w:rPr>
        <w:t>é</w:t>
      </w:r>
      <w:r w:rsidR="00D42EC2">
        <w:rPr>
          <w:rFonts w:eastAsia="Times New Roman" w:cs="Times New Roman"/>
          <w:i/>
        </w:rPr>
        <w:t>veloppement</w:t>
      </w:r>
      <w:r w:rsidR="000E2340">
        <w:rPr>
          <w:rFonts w:eastAsia="Times New Roman" w:cs="Times New Roman"/>
          <w:i/>
        </w:rPr>
        <w:t xml:space="preserve"> </w:t>
      </w:r>
      <w:r w:rsidR="000E2340">
        <w:rPr>
          <w:rFonts w:eastAsia="Times New Roman" w:cs="Times New Roman"/>
        </w:rPr>
        <w:t>(</w:t>
      </w:r>
      <w:r w:rsidRPr="00834149">
        <w:rPr>
          <w:rFonts w:eastAsia="Times New Roman" w:cs="Times New Roman"/>
        </w:rPr>
        <w:t>French Agency for Development</w:t>
      </w:r>
      <w:r w:rsidR="000E2340">
        <w:rPr>
          <w:rFonts w:eastAsia="Times New Roman" w:cs="Times New Roman"/>
        </w:rPr>
        <w:t>)</w:t>
      </w:r>
    </w:p>
    <w:p w14:paraId="011F8B03"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AfDB      </w:t>
      </w:r>
      <w:r w:rsidRPr="00834149">
        <w:rPr>
          <w:rFonts w:eastAsia="Times New Roman" w:cs="Times New Roman"/>
        </w:rPr>
        <w:tab/>
        <w:t>African Development Bank</w:t>
      </w:r>
    </w:p>
    <w:p w14:paraId="32249190"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ACE</w:t>
      </w:r>
      <w:r w:rsidRPr="00834149">
        <w:rPr>
          <w:rFonts w:eastAsia="Times New Roman" w:cs="Times New Roman"/>
        </w:rPr>
        <w:tab/>
        <w:t>Higher Education Center</w:t>
      </w:r>
    </w:p>
    <w:p w14:paraId="58E87141" w14:textId="6FA36159" w:rsidR="009017C0" w:rsidRPr="00834149" w:rsidRDefault="009017C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ASA</w:t>
      </w:r>
      <w:r w:rsidRPr="00834149">
        <w:rPr>
          <w:rFonts w:eastAsia="Times New Roman" w:cs="Times New Roman"/>
        </w:rPr>
        <w:tab/>
        <w:t>Advisory Services and Analytics</w:t>
      </w:r>
    </w:p>
    <w:p w14:paraId="1B95336B"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BCEAO     </w:t>
      </w:r>
      <w:r w:rsidRPr="00834149">
        <w:rPr>
          <w:rFonts w:eastAsia="Times New Roman" w:cs="Times New Roman"/>
        </w:rPr>
        <w:tab/>
        <w:t>Central Bank of West African States</w:t>
      </w:r>
    </w:p>
    <w:p w14:paraId="45E25568"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BFF</w:t>
      </w:r>
      <w:r w:rsidRPr="00834149">
        <w:rPr>
          <w:rFonts w:eastAsia="Times New Roman" w:cs="Times New Roman"/>
        </w:rPr>
        <w:tab/>
        <w:t>Blended Finance Facility</w:t>
      </w:r>
    </w:p>
    <w:p w14:paraId="16F33FD7"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BIDC</w:t>
      </w:r>
      <w:r w:rsidRPr="00834149">
        <w:rPr>
          <w:rFonts w:eastAsia="Times New Roman" w:cs="Times New Roman"/>
        </w:rPr>
        <w:tab/>
        <w:t>West African Development Bank</w:t>
      </w:r>
    </w:p>
    <w:p w14:paraId="0CE4D268"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BOAD      </w:t>
      </w:r>
      <w:r w:rsidRPr="00834149">
        <w:rPr>
          <w:rFonts w:eastAsia="Times New Roman" w:cs="Times New Roman"/>
        </w:rPr>
        <w:tab/>
        <w:t>West African Regional Development Bank</w:t>
      </w:r>
    </w:p>
    <w:p w14:paraId="41689535"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BRVM      </w:t>
      </w:r>
      <w:r w:rsidRPr="00834149">
        <w:rPr>
          <w:rFonts w:eastAsia="Times New Roman" w:cs="Times New Roman"/>
        </w:rPr>
        <w:tab/>
        <w:t>Regional Stock Exchange</w:t>
      </w:r>
    </w:p>
    <w:p w14:paraId="6430D949"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CDD       </w:t>
      </w:r>
      <w:r w:rsidRPr="00834149">
        <w:rPr>
          <w:rFonts w:eastAsia="Times New Roman" w:cs="Times New Roman"/>
        </w:rPr>
        <w:tab/>
      </w:r>
      <w:r w:rsidRPr="00834149">
        <w:rPr>
          <w:rFonts w:cs="Times New Roman"/>
          <w:color w:val="000000"/>
        </w:rPr>
        <w:t>Community Driven Development</w:t>
      </w:r>
    </w:p>
    <w:p w14:paraId="234F163E" w14:textId="77777777" w:rsidR="000E2340" w:rsidRDefault="000E2340" w:rsidP="000E2340">
      <w:pPr>
        <w:tabs>
          <w:tab w:val="left" w:pos="1080"/>
          <w:tab w:val="left" w:pos="10076"/>
          <w:tab w:val="left" w:pos="10992"/>
          <w:tab w:val="left" w:pos="11908"/>
          <w:tab w:val="left" w:pos="12824"/>
          <w:tab w:val="left" w:pos="13740"/>
          <w:tab w:val="left" w:pos="14656"/>
        </w:tabs>
        <w:rPr>
          <w:rFonts w:eastAsia="Times New Roman" w:cs="Times New Roman"/>
        </w:rPr>
      </w:pPr>
      <w:r w:rsidRPr="00CB2970">
        <w:rPr>
          <w:rFonts w:eastAsia="Times New Roman" w:cs="Times New Roman"/>
        </w:rPr>
        <w:t xml:space="preserve">CG </w:t>
      </w:r>
      <w:r w:rsidRPr="00CB2970">
        <w:rPr>
          <w:rFonts w:eastAsia="Times New Roman" w:cs="Times New Roman"/>
        </w:rPr>
        <w:tab/>
        <w:t>Consultative Group</w:t>
      </w:r>
      <w:r w:rsidRPr="00234FAF">
        <w:rPr>
          <w:rFonts w:eastAsia="Times New Roman" w:cs="Times New Roman"/>
        </w:rPr>
        <w:t xml:space="preserve"> </w:t>
      </w:r>
    </w:p>
    <w:p w14:paraId="07A90659" w14:textId="4A4C05F9" w:rsidR="000E2340" w:rsidRPr="00234FAF" w:rsidRDefault="000E2340" w:rsidP="000E2340">
      <w:pPr>
        <w:tabs>
          <w:tab w:val="left" w:pos="1080"/>
          <w:tab w:val="left" w:pos="10076"/>
          <w:tab w:val="left" w:pos="10992"/>
          <w:tab w:val="left" w:pos="11908"/>
          <w:tab w:val="left" w:pos="12824"/>
          <w:tab w:val="left" w:pos="13740"/>
          <w:tab w:val="left" w:pos="14656"/>
        </w:tabs>
        <w:rPr>
          <w:rFonts w:eastAsia="Times New Roman" w:cs="Times New Roman"/>
        </w:rPr>
      </w:pPr>
      <w:r w:rsidRPr="00234FAF">
        <w:rPr>
          <w:rFonts w:eastAsia="Times New Roman" w:cs="Times New Roman"/>
        </w:rPr>
        <w:t xml:space="preserve">CPF      </w:t>
      </w:r>
      <w:r>
        <w:rPr>
          <w:rFonts w:eastAsia="Times New Roman" w:cs="Times New Roman"/>
        </w:rPr>
        <w:tab/>
      </w:r>
      <w:r w:rsidRPr="00234FAF">
        <w:rPr>
          <w:rFonts w:eastAsia="Times New Roman" w:cs="Times New Roman"/>
        </w:rPr>
        <w:t>Country Partnership Framework</w:t>
      </w:r>
    </w:p>
    <w:p w14:paraId="7A652E37" w14:textId="77777777" w:rsidR="000E2340" w:rsidRPr="00234FAF" w:rsidRDefault="000E2340" w:rsidP="000E2340">
      <w:pPr>
        <w:tabs>
          <w:tab w:val="left" w:pos="1080"/>
          <w:tab w:val="left" w:pos="10076"/>
          <w:tab w:val="left" w:pos="10992"/>
          <w:tab w:val="left" w:pos="11908"/>
          <w:tab w:val="left" w:pos="12824"/>
          <w:tab w:val="left" w:pos="13740"/>
          <w:tab w:val="left" w:pos="14656"/>
        </w:tabs>
        <w:rPr>
          <w:rFonts w:eastAsia="Times New Roman" w:cs="Times New Roman"/>
        </w:rPr>
      </w:pPr>
      <w:r w:rsidRPr="00234FAF">
        <w:rPr>
          <w:rFonts w:eastAsia="Times New Roman" w:cs="Times New Roman"/>
        </w:rPr>
        <w:t>CPIA</w:t>
      </w:r>
      <w:r w:rsidRPr="00234FAF">
        <w:rPr>
          <w:rFonts w:eastAsia="Times New Roman" w:cs="Times New Roman"/>
        </w:rPr>
        <w:tab/>
        <w:t xml:space="preserve">Country Policy and Institutional Assessment </w:t>
      </w:r>
    </w:p>
    <w:p w14:paraId="16AAE26D" w14:textId="77777777" w:rsidR="000E2340" w:rsidRPr="00234FAF" w:rsidRDefault="000E2340" w:rsidP="000E2340">
      <w:pPr>
        <w:tabs>
          <w:tab w:val="left" w:pos="1080"/>
          <w:tab w:val="left" w:pos="10076"/>
          <w:tab w:val="left" w:pos="10992"/>
          <w:tab w:val="left" w:pos="11908"/>
          <w:tab w:val="left" w:pos="12824"/>
          <w:tab w:val="left" w:pos="13740"/>
          <w:tab w:val="left" w:pos="14656"/>
        </w:tabs>
        <w:rPr>
          <w:rFonts w:eastAsia="Times New Roman" w:cs="Times New Roman"/>
        </w:rPr>
      </w:pPr>
      <w:r w:rsidRPr="00234FAF">
        <w:rPr>
          <w:rFonts w:eastAsia="Times New Roman" w:cs="Times New Roman"/>
        </w:rPr>
        <w:t>CPPR</w:t>
      </w:r>
      <w:r w:rsidRPr="00234FAF">
        <w:rPr>
          <w:rFonts w:eastAsia="Times New Roman" w:cs="Times New Roman"/>
        </w:rPr>
        <w:tab/>
        <w:t>Country Portfolio Performance Review</w:t>
      </w:r>
    </w:p>
    <w:p w14:paraId="614727CD" w14:textId="618DF680" w:rsidR="000E2340" w:rsidRPr="003410AD" w:rsidRDefault="000E2340" w:rsidP="000E2340">
      <w:pPr>
        <w:tabs>
          <w:tab w:val="left" w:pos="1080"/>
          <w:tab w:val="left" w:pos="10076"/>
          <w:tab w:val="left" w:pos="10992"/>
          <w:tab w:val="left" w:pos="11908"/>
          <w:tab w:val="left" w:pos="12824"/>
          <w:tab w:val="left" w:pos="13740"/>
          <w:tab w:val="left" w:pos="14656"/>
        </w:tabs>
        <w:rPr>
          <w:rFonts w:eastAsia="Times New Roman" w:cs="Times New Roman"/>
        </w:rPr>
      </w:pPr>
      <w:r w:rsidRPr="003A3026">
        <w:rPr>
          <w:rFonts w:eastAsia="Times New Roman" w:cs="Times New Roman"/>
        </w:rPr>
        <w:t xml:space="preserve">CPS      </w:t>
      </w:r>
      <w:r w:rsidRPr="003A3026">
        <w:rPr>
          <w:rFonts w:eastAsia="Times New Roman" w:cs="Times New Roman"/>
        </w:rPr>
        <w:tab/>
        <w:t>Country Partnership Strategy</w:t>
      </w:r>
      <w:r w:rsidRPr="000E2340">
        <w:rPr>
          <w:rFonts w:eastAsia="Times New Roman" w:cs="Times New Roman"/>
        </w:rPr>
        <w:t xml:space="preserve"> </w:t>
      </w:r>
      <w:r w:rsidRPr="003410AD">
        <w:rPr>
          <w:rFonts w:eastAsia="Times New Roman" w:cs="Times New Roman"/>
        </w:rPr>
        <w:t>CL</w:t>
      </w:r>
      <w:r>
        <w:rPr>
          <w:rFonts w:eastAsia="Times New Roman" w:cs="Times New Roman"/>
        </w:rPr>
        <w:t>R</w:t>
      </w:r>
      <w:r w:rsidRPr="003410AD">
        <w:rPr>
          <w:rFonts w:eastAsia="Times New Roman" w:cs="Times New Roman"/>
        </w:rPr>
        <w:tab/>
        <w:t>Completion and Learning Review</w:t>
      </w:r>
    </w:p>
    <w:p w14:paraId="410CA6DA" w14:textId="784F762F" w:rsidR="00DB61B0" w:rsidRPr="00834149" w:rsidRDefault="00DB61B0" w:rsidP="000E2340">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CSOs</w:t>
      </w:r>
      <w:r w:rsidRPr="00834149">
        <w:rPr>
          <w:rFonts w:eastAsia="Times New Roman" w:cs="Times New Roman"/>
        </w:rPr>
        <w:tab/>
        <w:t xml:space="preserve">Civil Society Organizations </w:t>
      </w:r>
    </w:p>
    <w:p w14:paraId="33C9634A" w14:textId="06D6771C" w:rsidR="000E2340" w:rsidRDefault="00DB61B0" w:rsidP="000E2340">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DO</w:t>
      </w:r>
      <w:r w:rsidR="000E2340" w:rsidRPr="000E2340">
        <w:rPr>
          <w:rFonts w:eastAsia="Times New Roman" w:cs="Times New Roman"/>
        </w:rPr>
        <w:t xml:space="preserve"> </w:t>
      </w:r>
      <w:r w:rsidR="000E2340">
        <w:rPr>
          <w:rFonts w:eastAsia="Times New Roman" w:cs="Times New Roman"/>
        </w:rPr>
        <w:tab/>
      </w:r>
      <w:r w:rsidR="000E2340" w:rsidRPr="00E168A8">
        <w:rPr>
          <w:rFonts w:eastAsia="Times New Roman" w:cs="Times New Roman"/>
        </w:rPr>
        <w:t xml:space="preserve">Development Objective </w:t>
      </w:r>
    </w:p>
    <w:p w14:paraId="4BB6A423" w14:textId="77777777" w:rsidR="00DB61B0" w:rsidRPr="00834149" w:rsidRDefault="00DB61B0" w:rsidP="000E2340">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DPO    </w:t>
      </w:r>
      <w:r w:rsidRPr="00834149">
        <w:rPr>
          <w:rFonts w:eastAsia="Times New Roman" w:cs="Times New Roman"/>
        </w:rPr>
        <w:tab/>
        <w:t>Development Policy Operations</w:t>
      </w:r>
    </w:p>
    <w:p w14:paraId="38C3C030" w14:textId="77777777" w:rsidR="00DB61B0" w:rsidRPr="00834149" w:rsidRDefault="00DB61B0" w:rsidP="00D4667B">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DSA       </w:t>
      </w:r>
      <w:r w:rsidRPr="00834149">
        <w:rPr>
          <w:rFonts w:eastAsia="Times New Roman" w:cs="Times New Roman"/>
        </w:rPr>
        <w:tab/>
        <w:t>Debt Sustainability Analysis</w:t>
      </w:r>
    </w:p>
    <w:p w14:paraId="48B0B360" w14:textId="77777777" w:rsidR="00DB61B0" w:rsidRPr="00834149" w:rsidRDefault="00DB61B0" w:rsidP="009E23CA">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ECF       </w:t>
      </w:r>
      <w:r w:rsidRPr="00834149">
        <w:rPr>
          <w:rFonts w:eastAsia="Times New Roman" w:cs="Times New Roman"/>
        </w:rPr>
        <w:tab/>
        <w:t>Extended Credit Facility</w:t>
      </w:r>
    </w:p>
    <w:p w14:paraId="3DDE3DB8"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EI      </w:t>
      </w:r>
      <w:r w:rsidRPr="00834149">
        <w:rPr>
          <w:rFonts w:eastAsia="Times New Roman" w:cs="Times New Roman"/>
        </w:rPr>
        <w:tab/>
        <w:t xml:space="preserve">Extractive Industry </w:t>
      </w:r>
    </w:p>
    <w:p w14:paraId="11F29F80"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EITI     </w:t>
      </w:r>
      <w:r w:rsidRPr="00834149">
        <w:rPr>
          <w:rFonts w:eastAsia="Times New Roman" w:cs="Times New Roman"/>
        </w:rPr>
        <w:tab/>
        <w:t>Extractive Industry Transparency Initiative</w:t>
      </w:r>
    </w:p>
    <w:p w14:paraId="23DDBB4E"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EU        </w:t>
      </w:r>
      <w:r w:rsidRPr="00834149">
        <w:rPr>
          <w:rFonts w:eastAsia="Times New Roman" w:cs="Times New Roman"/>
        </w:rPr>
        <w:tab/>
        <w:t>European Union</w:t>
      </w:r>
    </w:p>
    <w:p w14:paraId="0C6775F5"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FCFA</w:t>
      </w:r>
      <w:r w:rsidRPr="00834149">
        <w:rPr>
          <w:rFonts w:eastAsia="Times New Roman" w:cs="Times New Roman"/>
        </w:rPr>
        <w:tab/>
        <w:t>West African Franc</w:t>
      </w:r>
    </w:p>
    <w:p w14:paraId="7824EA94"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FDI</w:t>
      </w:r>
      <w:r w:rsidRPr="00834149">
        <w:rPr>
          <w:rFonts w:eastAsia="Times New Roman" w:cs="Times New Roman"/>
        </w:rPr>
        <w:tab/>
        <w:t xml:space="preserve">Foreign Direct Investment </w:t>
      </w:r>
    </w:p>
    <w:p w14:paraId="3B4820E8"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FNFI</w:t>
      </w:r>
      <w:r w:rsidRPr="00834149">
        <w:rPr>
          <w:rFonts w:eastAsia="Times New Roman" w:cs="Times New Roman"/>
        </w:rPr>
        <w:tab/>
        <w:t xml:space="preserve">National Fund for Financial Inclusion </w:t>
      </w:r>
    </w:p>
    <w:p w14:paraId="592348E9" w14:textId="77777777" w:rsidR="00DB61B0" w:rsidRPr="00834149" w:rsidRDefault="00DB61B0" w:rsidP="00434A65">
      <w:pPr>
        <w:tabs>
          <w:tab w:val="left" w:pos="1080"/>
        </w:tabs>
        <w:ind w:left="540" w:hanging="540"/>
        <w:rPr>
          <w:rFonts w:cs="Times New Roman"/>
          <w:color w:val="000000"/>
        </w:rPr>
      </w:pPr>
      <w:r w:rsidRPr="00834149">
        <w:rPr>
          <w:rFonts w:cs="Times New Roman"/>
          <w:color w:val="000000"/>
        </w:rPr>
        <w:t>FY</w:t>
      </w:r>
      <w:r w:rsidRPr="00834149">
        <w:rPr>
          <w:rFonts w:cs="Times New Roman"/>
          <w:color w:val="000000"/>
        </w:rPr>
        <w:tab/>
      </w:r>
      <w:r w:rsidRPr="00834149">
        <w:rPr>
          <w:rFonts w:cs="Times New Roman"/>
          <w:color w:val="000000"/>
        </w:rPr>
        <w:tab/>
        <w:t>Fiscal Year (WB: July 1 – June 30)</w:t>
      </w:r>
    </w:p>
    <w:p w14:paraId="39B0EA50" w14:textId="77777777" w:rsidR="00DB61B0" w:rsidRPr="00834149" w:rsidRDefault="00DB61B0" w:rsidP="00434A65">
      <w:pPr>
        <w:tabs>
          <w:tab w:val="left" w:pos="1080"/>
        </w:tabs>
        <w:ind w:left="540" w:hanging="540"/>
        <w:rPr>
          <w:rFonts w:cs="Times New Roman"/>
          <w:color w:val="000000"/>
        </w:rPr>
      </w:pPr>
      <w:r w:rsidRPr="00834149">
        <w:rPr>
          <w:rFonts w:cs="Times New Roman"/>
          <w:color w:val="000000"/>
        </w:rPr>
        <w:t>GAFSP</w:t>
      </w:r>
      <w:r w:rsidRPr="00834149">
        <w:rPr>
          <w:rFonts w:cs="Times New Roman"/>
          <w:color w:val="000000"/>
        </w:rPr>
        <w:tab/>
        <w:t>Global Agriculture and Food Security Program</w:t>
      </w:r>
    </w:p>
    <w:p w14:paraId="5319C678" w14:textId="7270B059" w:rsidR="00DB61B0" w:rsidRPr="00834149" w:rsidRDefault="00DB61B0" w:rsidP="00434A65">
      <w:pPr>
        <w:tabs>
          <w:tab w:val="left" w:pos="1080"/>
        </w:tabs>
        <w:ind w:left="540" w:hanging="540"/>
        <w:rPr>
          <w:rFonts w:cs="Times New Roman"/>
          <w:color w:val="000000"/>
        </w:rPr>
      </w:pPr>
      <w:r w:rsidRPr="00834149">
        <w:rPr>
          <w:rFonts w:cs="Times New Roman"/>
          <w:color w:val="000000"/>
        </w:rPr>
        <w:t>GEF</w:t>
      </w:r>
      <w:r w:rsidRPr="00834149">
        <w:rPr>
          <w:rFonts w:cs="Times New Roman"/>
          <w:color w:val="000000"/>
        </w:rPr>
        <w:tab/>
      </w:r>
      <w:r w:rsidRPr="00834149">
        <w:rPr>
          <w:rFonts w:cs="Times New Roman"/>
          <w:color w:val="000000"/>
        </w:rPr>
        <w:tab/>
        <w:t xml:space="preserve">Global </w:t>
      </w:r>
      <w:r w:rsidR="00144D04" w:rsidRPr="00834149">
        <w:rPr>
          <w:rFonts w:cs="Times New Roman"/>
          <w:color w:val="000000"/>
        </w:rPr>
        <w:t>Environment</w:t>
      </w:r>
      <w:r w:rsidRPr="00834149">
        <w:rPr>
          <w:rFonts w:cs="Times New Roman"/>
          <w:color w:val="000000"/>
        </w:rPr>
        <w:t xml:space="preserve"> Facility </w:t>
      </w:r>
    </w:p>
    <w:p w14:paraId="1EDFC768"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GDP       </w:t>
      </w:r>
      <w:r w:rsidRPr="00834149">
        <w:rPr>
          <w:rFonts w:eastAsia="Times New Roman" w:cs="Times New Roman"/>
        </w:rPr>
        <w:tab/>
        <w:t>Gross Domestic Product</w:t>
      </w:r>
    </w:p>
    <w:p w14:paraId="09F1A425" w14:textId="682A48EE"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GIZ       </w:t>
      </w:r>
      <w:r w:rsidRPr="00834149">
        <w:rPr>
          <w:rFonts w:eastAsia="Times New Roman" w:cs="Times New Roman"/>
        </w:rPr>
        <w:tab/>
      </w:r>
      <w:r w:rsidRPr="00834149">
        <w:rPr>
          <w:rFonts w:eastAsia="Times New Roman" w:cs="Times New Roman"/>
          <w:i/>
        </w:rPr>
        <w:t>Deutsche Gesellshaft fur Internationale Zusammenarbeit</w:t>
      </w:r>
      <w:r w:rsidR="00D4667B">
        <w:rPr>
          <w:rFonts w:eastAsia="Times New Roman" w:cs="Times New Roman"/>
          <w:i/>
        </w:rPr>
        <w:t xml:space="preserve"> </w:t>
      </w:r>
      <w:r w:rsidR="00D4667B">
        <w:rPr>
          <w:rFonts w:eastAsia="Times New Roman" w:cs="Times New Roman"/>
        </w:rPr>
        <w:t>(</w:t>
      </w:r>
      <w:r w:rsidR="00D42EC2">
        <w:rPr>
          <w:rFonts w:eastAsia="Times New Roman" w:cs="Times New Roman"/>
        </w:rPr>
        <w:t>German Society for International Cooperation</w:t>
      </w:r>
      <w:r w:rsidR="00D4667B">
        <w:rPr>
          <w:rFonts w:eastAsia="Times New Roman" w:cs="Times New Roman"/>
        </w:rPr>
        <w:t>)</w:t>
      </w:r>
    </w:p>
    <w:p w14:paraId="1632DE3C"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GPA</w:t>
      </w:r>
      <w:r w:rsidRPr="00834149">
        <w:rPr>
          <w:rFonts w:eastAsia="Times New Roman" w:cs="Times New Roman"/>
        </w:rPr>
        <w:tab/>
        <w:t>Global Political Accord</w:t>
      </w:r>
    </w:p>
    <w:p w14:paraId="38845F84"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lastRenderedPageBreak/>
        <w:t>GTFP</w:t>
      </w:r>
      <w:r w:rsidRPr="00834149">
        <w:rPr>
          <w:rFonts w:eastAsia="Times New Roman" w:cs="Times New Roman"/>
        </w:rPr>
        <w:tab/>
        <w:t>Global Trade Finance Program</w:t>
      </w:r>
    </w:p>
    <w:p w14:paraId="428F24F4" w14:textId="0E1BB666" w:rsidR="00C622A7" w:rsidRPr="00C622A7" w:rsidRDefault="00C622A7" w:rsidP="00434A65">
      <w:pPr>
        <w:tabs>
          <w:tab w:val="left" w:pos="1080"/>
        </w:tabs>
        <w:rPr>
          <w:rFonts w:cs="Times New Roman"/>
          <w:color w:val="000000"/>
        </w:rPr>
      </w:pPr>
      <w:r w:rsidRPr="00834149">
        <w:rPr>
          <w:rFonts w:eastAsiaTheme="minorHAnsi" w:cs="Times New Roman"/>
          <w:bCs/>
        </w:rPr>
        <w:t>IBRD</w:t>
      </w:r>
      <w:r w:rsidRPr="00C622A7">
        <w:rPr>
          <w:rFonts w:cs="Times New Roman"/>
          <w:color w:val="000000"/>
        </w:rPr>
        <w:tab/>
      </w:r>
      <w:r w:rsidRPr="00834149">
        <w:rPr>
          <w:rFonts w:eastAsiaTheme="minorHAnsi" w:cs="Times New Roman"/>
          <w:bCs/>
        </w:rPr>
        <w:t xml:space="preserve">International Bank for Reconstruction and Development </w:t>
      </w:r>
    </w:p>
    <w:p w14:paraId="49511BE0" w14:textId="7D6FBC13" w:rsidR="00DB61B0" w:rsidRPr="00834149" w:rsidRDefault="00DB61B0" w:rsidP="00434A65">
      <w:pPr>
        <w:tabs>
          <w:tab w:val="left" w:pos="1080"/>
        </w:tabs>
        <w:rPr>
          <w:rFonts w:cs="Times New Roman"/>
          <w:color w:val="000000"/>
        </w:rPr>
      </w:pPr>
      <w:r w:rsidRPr="00834149">
        <w:rPr>
          <w:rFonts w:cs="Times New Roman"/>
          <w:color w:val="000000"/>
        </w:rPr>
        <w:t>ICR</w:t>
      </w:r>
      <w:r w:rsidRPr="00834149">
        <w:rPr>
          <w:rFonts w:cs="Times New Roman"/>
          <w:color w:val="000000"/>
        </w:rPr>
        <w:tab/>
        <w:t>Implementation Completion Report</w:t>
      </w:r>
    </w:p>
    <w:p w14:paraId="47A740CF" w14:textId="77777777" w:rsidR="00DB61B0" w:rsidRPr="00834149" w:rsidRDefault="00DB61B0" w:rsidP="00434A65">
      <w:pPr>
        <w:tabs>
          <w:tab w:val="left" w:pos="1080"/>
        </w:tabs>
        <w:rPr>
          <w:rFonts w:cs="Times New Roman"/>
          <w:color w:val="000000"/>
        </w:rPr>
      </w:pPr>
      <w:r w:rsidRPr="00834149">
        <w:rPr>
          <w:rFonts w:cs="Times New Roman"/>
          <w:color w:val="000000"/>
        </w:rPr>
        <w:t>ICT</w:t>
      </w:r>
      <w:r w:rsidRPr="00834149">
        <w:rPr>
          <w:rFonts w:cs="Times New Roman"/>
          <w:color w:val="000000"/>
        </w:rPr>
        <w:tab/>
        <w:t>Information and Communication Technology</w:t>
      </w:r>
    </w:p>
    <w:p w14:paraId="766E1645" w14:textId="77777777" w:rsidR="00DB61B0" w:rsidRPr="00834149" w:rsidRDefault="00DB61B0" w:rsidP="00434A65">
      <w:pPr>
        <w:tabs>
          <w:tab w:val="left" w:pos="1080"/>
        </w:tabs>
        <w:rPr>
          <w:rFonts w:cs="Times New Roman"/>
          <w:color w:val="000000"/>
        </w:rPr>
      </w:pPr>
      <w:r w:rsidRPr="00834149">
        <w:rPr>
          <w:rFonts w:cs="Times New Roman"/>
          <w:color w:val="000000"/>
        </w:rPr>
        <w:t>IDA</w:t>
      </w:r>
      <w:r w:rsidRPr="00834149">
        <w:rPr>
          <w:rFonts w:cs="Times New Roman"/>
          <w:color w:val="000000"/>
        </w:rPr>
        <w:tab/>
        <w:t>International Development Association</w:t>
      </w:r>
    </w:p>
    <w:p w14:paraId="7859436F" w14:textId="77777777" w:rsidR="00DB61B0" w:rsidRPr="00834149" w:rsidRDefault="00DB61B0" w:rsidP="00434A65">
      <w:pPr>
        <w:tabs>
          <w:tab w:val="left" w:pos="1080"/>
        </w:tabs>
        <w:rPr>
          <w:rFonts w:cs="Times New Roman"/>
          <w:color w:val="000000"/>
        </w:rPr>
      </w:pPr>
      <w:r w:rsidRPr="00834149">
        <w:rPr>
          <w:rFonts w:cs="Times New Roman"/>
          <w:color w:val="000000"/>
        </w:rPr>
        <w:t>IDLM</w:t>
      </w:r>
      <w:r w:rsidRPr="00834149">
        <w:rPr>
          <w:rFonts w:cs="Times New Roman"/>
          <w:color w:val="000000"/>
        </w:rPr>
        <w:tab/>
        <w:t xml:space="preserve">Integrated Disaster and Land Management </w:t>
      </w:r>
    </w:p>
    <w:p w14:paraId="137CE899"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IFC</w:t>
      </w:r>
      <w:r w:rsidRPr="00834149">
        <w:rPr>
          <w:rFonts w:eastAsia="Times New Roman" w:cs="Times New Roman"/>
        </w:rPr>
        <w:tab/>
        <w:t>International Finance Corporation</w:t>
      </w:r>
    </w:p>
    <w:p w14:paraId="39F3DF05"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ILO</w:t>
      </w:r>
      <w:r w:rsidRPr="00834149">
        <w:rPr>
          <w:rFonts w:eastAsia="Times New Roman" w:cs="Times New Roman"/>
        </w:rPr>
        <w:tab/>
        <w:t xml:space="preserve">International Labor Organization </w:t>
      </w:r>
    </w:p>
    <w:p w14:paraId="5BBF8773"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IMF     </w:t>
      </w:r>
      <w:r w:rsidRPr="00834149">
        <w:rPr>
          <w:rFonts w:eastAsia="Times New Roman" w:cs="Times New Roman"/>
        </w:rPr>
        <w:tab/>
        <w:t>International Monetary Fund</w:t>
      </w:r>
    </w:p>
    <w:p w14:paraId="5DBC2F4D"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INSEED</w:t>
      </w:r>
      <w:r w:rsidRPr="00834149">
        <w:rPr>
          <w:rFonts w:eastAsia="Times New Roman" w:cs="Times New Roman"/>
        </w:rPr>
        <w:tab/>
        <w:t>National Institute for Statistics and for Economic and Demographic Studies</w:t>
      </w:r>
    </w:p>
    <w:p w14:paraId="1E0A5A7F" w14:textId="77777777" w:rsidR="000E2340" w:rsidRPr="00D87B11" w:rsidRDefault="000E2340" w:rsidP="000E2340">
      <w:pPr>
        <w:tabs>
          <w:tab w:val="left" w:pos="1080"/>
          <w:tab w:val="left" w:pos="10076"/>
          <w:tab w:val="left" w:pos="10992"/>
          <w:tab w:val="left" w:pos="11908"/>
          <w:tab w:val="left" w:pos="12824"/>
          <w:tab w:val="left" w:pos="13740"/>
          <w:tab w:val="left" w:pos="14656"/>
        </w:tabs>
        <w:rPr>
          <w:rFonts w:eastAsia="Times New Roman" w:cs="Times New Roman"/>
        </w:rPr>
      </w:pPr>
      <w:r w:rsidRPr="00D87B11">
        <w:rPr>
          <w:rFonts w:eastAsia="Times New Roman" w:cs="Times New Roman"/>
        </w:rPr>
        <w:t>IP</w:t>
      </w:r>
      <w:r w:rsidRPr="00D87B11">
        <w:rPr>
          <w:rFonts w:eastAsia="Times New Roman" w:cs="Times New Roman"/>
        </w:rPr>
        <w:tab/>
        <w:t>Implementation Performance</w:t>
      </w:r>
    </w:p>
    <w:p w14:paraId="4D41E6B7" w14:textId="393CC361" w:rsidR="00D12703" w:rsidRDefault="00D12703" w:rsidP="000E2340">
      <w:pPr>
        <w:tabs>
          <w:tab w:val="left" w:pos="108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IPF</w:t>
      </w:r>
      <w:r>
        <w:rPr>
          <w:rFonts w:eastAsia="Times New Roman" w:cs="Times New Roman"/>
        </w:rPr>
        <w:tab/>
      </w:r>
      <w:r>
        <w:rPr>
          <w:rFonts w:cs="Times New Roman"/>
        </w:rPr>
        <w:t>Investment Project Financing</w:t>
      </w:r>
    </w:p>
    <w:p w14:paraId="176F85BA" w14:textId="687E3847" w:rsidR="00DB61B0" w:rsidRPr="00834149" w:rsidRDefault="00DB61B0" w:rsidP="000E2340">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IPP</w:t>
      </w:r>
      <w:r w:rsidRPr="00834149">
        <w:rPr>
          <w:rFonts w:eastAsia="Times New Roman" w:cs="Times New Roman"/>
        </w:rPr>
        <w:tab/>
      </w:r>
      <w:r w:rsidR="00EA3790" w:rsidRPr="00834149">
        <w:rPr>
          <w:rFonts w:eastAsia="Times New Roman" w:cs="Times New Roman"/>
        </w:rPr>
        <w:t>Independent Power Producer</w:t>
      </w:r>
    </w:p>
    <w:p w14:paraId="475BB000" w14:textId="15268391" w:rsidR="00B9474B" w:rsidRPr="00834149" w:rsidRDefault="00B9474B" w:rsidP="00D4667B">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ISN</w:t>
      </w:r>
      <w:r w:rsidRPr="00834149">
        <w:rPr>
          <w:rFonts w:eastAsia="Times New Roman" w:cs="Times New Roman"/>
        </w:rPr>
        <w:tab/>
        <w:t>Interim Strategy Note</w:t>
      </w:r>
    </w:p>
    <w:p w14:paraId="2C69E180" w14:textId="77777777" w:rsidR="00DB61B0" w:rsidRPr="00834149" w:rsidRDefault="00DB61B0" w:rsidP="009E23CA">
      <w:pPr>
        <w:tabs>
          <w:tab w:val="left" w:pos="1080"/>
        </w:tabs>
        <w:ind w:left="540" w:hanging="540"/>
        <w:rPr>
          <w:rFonts w:cs="Times New Roman"/>
          <w:color w:val="000000"/>
        </w:rPr>
      </w:pPr>
      <w:r w:rsidRPr="00834149">
        <w:rPr>
          <w:rFonts w:cs="Times New Roman"/>
          <w:color w:val="000000"/>
        </w:rPr>
        <w:t>ISR</w:t>
      </w:r>
      <w:r w:rsidRPr="00834149">
        <w:rPr>
          <w:rFonts w:cs="Times New Roman"/>
          <w:color w:val="000000"/>
        </w:rPr>
        <w:tab/>
      </w:r>
      <w:r w:rsidRPr="00834149">
        <w:rPr>
          <w:rFonts w:cs="Times New Roman"/>
          <w:color w:val="000000"/>
        </w:rPr>
        <w:tab/>
        <w:t>Implementation Status Report</w:t>
      </w:r>
    </w:p>
    <w:p w14:paraId="74FCB66D" w14:textId="4CD714A8" w:rsidR="00DB61B0" w:rsidRPr="00834149" w:rsidRDefault="00DB61B0" w:rsidP="009E23CA">
      <w:pPr>
        <w:tabs>
          <w:tab w:val="left" w:pos="1080"/>
          <w:tab w:val="left" w:pos="10076"/>
          <w:tab w:val="left" w:pos="10992"/>
          <w:tab w:val="left" w:pos="11908"/>
          <w:tab w:val="left" w:pos="12824"/>
          <w:tab w:val="left" w:pos="13740"/>
          <w:tab w:val="left" w:pos="14656"/>
        </w:tabs>
        <w:rPr>
          <w:rFonts w:cs="Times New Roman"/>
          <w:lang w:val="en"/>
        </w:rPr>
      </w:pPr>
      <w:r w:rsidRPr="00834149">
        <w:rPr>
          <w:rFonts w:eastAsia="Times New Roman" w:cs="Times New Roman"/>
        </w:rPr>
        <w:t>KFW</w:t>
      </w:r>
      <w:r w:rsidRPr="00834149">
        <w:rPr>
          <w:rFonts w:eastAsia="Times New Roman" w:cs="Times New Roman"/>
        </w:rPr>
        <w:tab/>
      </w:r>
      <w:r w:rsidR="00144D04" w:rsidRPr="00834149">
        <w:rPr>
          <w:rFonts w:cs="Times New Roman"/>
          <w:bCs/>
          <w:i/>
          <w:lang w:val="en"/>
        </w:rPr>
        <w:t>Kreditanstalt für Wiederaufbau</w:t>
      </w:r>
      <w:r w:rsidR="00144D04" w:rsidRPr="00834149">
        <w:rPr>
          <w:rFonts w:cs="Times New Roman"/>
          <w:lang w:val="en"/>
        </w:rPr>
        <w:t xml:space="preserve"> (</w:t>
      </w:r>
      <w:r w:rsidRPr="00834149">
        <w:rPr>
          <w:rFonts w:eastAsia="Times New Roman" w:cs="Times New Roman"/>
        </w:rPr>
        <w:t>German Development Bank</w:t>
      </w:r>
      <w:r w:rsidR="00144D04" w:rsidRPr="00834149">
        <w:rPr>
          <w:rFonts w:eastAsia="Times New Roman" w:cs="Times New Roman"/>
        </w:rPr>
        <w:t>)</w:t>
      </w:r>
      <w:r w:rsidRPr="00834149">
        <w:rPr>
          <w:rFonts w:cs="Times New Roman"/>
          <w:lang w:val="en"/>
        </w:rPr>
        <w:t xml:space="preserve"> </w:t>
      </w:r>
    </w:p>
    <w:p w14:paraId="1DEF6604"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cs="Times New Roman"/>
          <w:lang w:val="en"/>
        </w:rPr>
        <w:t>LCT</w:t>
      </w:r>
      <w:r w:rsidRPr="00834149">
        <w:rPr>
          <w:rFonts w:cs="Times New Roman"/>
          <w:lang w:val="en"/>
        </w:rPr>
        <w:tab/>
        <w:t xml:space="preserve">Lome Container Terminal </w:t>
      </w:r>
    </w:p>
    <w:p w14:paraId="04296905"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JICA    </w:t>
      </w:r>
      <w:r w:rsidRPr="00834149">
        <w:rPr>
          <w:rFonts w:eastAsia="Times New Roman" w:cs="Times New Roman"/>
        </w:rPr>
        <w:tab/>
        <w:t>Japan International Cooperation Agency</w:t>
      </w:r>
    </w:p>
    <w:p w14:paraId="43AE95D2" w14:textId="67642D5E"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MCC</w:t>
      </w:r>
      <w:r w:rsidRPr="00834149">
        <w:rPr>
          <w:rFonts w:eastAsia="Times New Roman" w:cs="Times New Roman"/>
        </w:rPr>
        <w:tab/>
        <w:t>Millennium Challenge Corporation</w:t>
      </w:r>
    </w:p>
    <w:p w14:paraId="1BB66B30" w14:textId="4F74AF2D"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MDG</w:t>
      </w:r>
      <w:r w:rsidRPr="00834149">
        <w:rPr>
          <w:rFonts w:eastAsia="Times New Roman" w:cs="Times New Roman"/>
        </w:rPr>
        <w:tab/>
        <w:t>Millennium Development Goals</w:t>
      </w:r>
    </w:p>
    <w:p w14:paraId="403AD85E" w14:textId="61D2840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MGDP</w:t>
      </w:r>
      <w:r w:rsidRPr="00834149">
        <w:rPr>
          <w:rFonts w:eastAsia="Times New Roman" w:cs="Times New Roman"/>
        </w:rPr>
        <w:tab/>
        <w:t>Mining Governance and Development Project</w:t>
      </w:r>
    </w:p>
    <w:p w14:paraId="2C8B7660"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MGF</w:t>
      </w:r>
      <w:r w:rsidRPr="00834149">
        <w:rPr>
          <w:rFonts w:eastAsia="Times New Roman" w:cs="Times New Roman"/>
        </w:rPr>
        <w:tab/>
        <w:t xml:space="preserve">MIGA Guarantee Facility </w:t>
      </w:r>
    </w:p>
    <w:p w14:paraId="7D490DBF"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MIGA</w:t>
      </w:r>
      <w:r w:rsidRPr="00834149">
        <w:rPr>
          <w:rFonts w:eastAsia="Times New Roman" w:cs="Times New Roman"/>
        </w:rPr>
        <w:tab/>
        <w:t>Multilateral Investment Guarantee Agency</w:t>
      </w:r>
    </w:p>
    <w:p w14:paraId="76A16686"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MTDS      </w:t>
      </w:r>
      <w:r w:rsidRPr="00834149">
        <w:rPr>
          <w:rFonts w:eastAsia="Times New Roman" w:cs="Times New Roman"/>
        </w:rPr>
        <w:tab/>
        <w:t>Medium-Term Debt Strategy</w:t>
      </w:r>
    </w:p>
    <w:p w14:paraId="28E7128D"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PND  </w:t>
      </w:r>
      <w:r w:rsidRPr="00834149">
        <w:rPr>
          <w:rFonts w:eastAsia="Times New Roman" w:cs="Times New Roman"/>
        </w:rPr>
        <w:tab/>
        <w:t>National Development Plan</w:t>
      </w:r>
    </w:p>
    <w:p w14:paraId="43BF660B"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NGO       </w:t>
      </w:r>
      <w:r w:rsidRPr="00834149">
        <w:rPr>
          <w:rFonts w:eastAsia="Times New Roman" w:cs="Times New Roman"/>
        </w:rPr>
        <w:tab/>
        <w:t>Non-governmental Organization</w:t>
      </w:r>
    </w:p>
    <w:p w14:paraId="20BA7E07" w14:textId="72403FA1"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OTR</w:t>
      </w:r>
      <w:r w:rsidRPr="00834149">
        <w:rPr>
          <w:rFonts w:eastAsia="Times New Roman" w:cs="Times New Roman"/>
        </w:rPr>
        <w:tab/>
      </w:r>
      <w:r w:rsidRPr="00834149">
        <w:rPr>
          <w:rFonts w:eastAsia="Times New Roman" w:cs="Times New Roman"/>
          <w:i/>
        </w:rPr>
        <w:t>Office Togolaise des Recettes</w:t>
      </w:r>
      <w:r w:rsidR="00D4667B" w:rsidRPr="00D45CEB">
        <w:rPr>
          <w:rFonts w:eastAsia="Times New Roman" w:cs="Times New Roman"/>
        </w:rPr>
        <w:t xml:space="preserve"> (</w:t>
      </w:r>
      <w:r w:rsidR="00D42EC2">
        <w:rPr>
          <w:rFonts w:eastAsia="Times New Roman" w:cs="Times New Roman"/>
        </w:rPr>
        <w:t>Togolese Revenue Office</w:t>
      </w:r>
      <w:r w:rsidR="00D4667B" w:rsidRPr="00D45CEB">
        <w:rPr>
          <w:rFonts w:eastAsia="Times New Roman" w:cs="Times New Roman"/>
        </w:rPr>
        <w:t>)</w:t>
      </w:r>
    </w:p>
    <w:p w14:paraId="2D8197B4"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PASA</w:t>
      </w:r>
      <w:r w:rsidRPr="00834149">
        <w:rPr>
          <w:rFonts w:eastAsia="Times New Roman" w:cs="Times New Roman"/>
        </w:rPr>
        <w:tab/>
        <w:t>Agriculture Support Project</w:t>
      </w:r>
    </w:p>
    <w:p w14:paraId="5FA5A0F7"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PASMIN</w:t>
      </w:r>
      <w:r w:rsidRPr="00834149">
        <w:rPr>
          <w:rFonts w:eastAsia="Times New Roman" w:cs="Times New Roman"/>
        </w:rPr>
        <w:tab/>
        <w:t xml:space="preserve">Maternal and Infant Health and Nutrition Project </w:t>
      </w:r>
    </w:p>
    <w:p w14:paraId="701D15FE"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PBF      </w:t>
      </w:r>
      <w:r w:rsidRPr="00834149">
        <w:rPr>
          <w:rFonts w:eastAsia="Times New Roman" w:cs="Times New Roman"/>
        </w:rPr>
        <w:tab/>
        <w:t>Performance Based Financing</w:t>
      </w:r>
    </w:p>
    <w:p w14:paraId="26E1B18D"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PEMFAR </w:t>
      </w:r>
      <w:r w:rsidRPr="00834149">
        <w:rPr>
          <w:rFonts w:eastAsia="Times New Roman" w:cs="Times New Roman"/>
        </w:rPr>
        <w:tab/>
        <w:t>Public Expenditure Management and Financial Accountability Review</w:t>
      </w:r>
    </w:p>
    <w:p w14:paraId="3B6546DD" w14:textId="77777777" w:rsidR="00DB61B0" w:rsidRPr="00834149" w:rsidRDefault="00DB61B0" w:rsidP="00434A65">
      <w:pPr>
        <w:tabs>
          <w:tab w:val="left" w:pos="1080"/>
        </w:tabs>
        <w:ind w:left="540" w:hanging="540"/>
        <w:rPr>
          <w:rFonts w:cs="Times New Roman"/>
          <w:color w:val="000000"/>
        </w:rPr>
      </w:pPr>
      <w:r w:rsidRPr="00834149">
        <w:rPr>
          <w:rFonts w:cs="Times New Roman"/>
          <w:color w:val="000000"/>
        </w:rPr>
        <w:t>PER</w:t>
      </w:r>
      <w:r w:rsidRPr="00834149">
        <w:rPr>
          <w:rFonts w:cs="Times New Roman"/>
          <w:color w:val="000000"/>
        </w:rPr>
        <w:tab/>
      </w:r>
      <w:r w:rsidRPr="00834149">
        <w:rPr>
          <w:rFonts w:cs="Times New Roman"/>
          <w:color w:val="000000"/>
        </w:rPr>
        <w:tab/>
        <w:t>Public Expenditure Review</w:t>
      </w:r>
    </w:p>
    <w:p w14:paraId="375C618E"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PERI2</w:t>
      </w:r>
      <w:r w:rsidRPr="00834149">
        <w:rPr>
          <w:rFonts w:eastAsia="Times New Roman" w:cs="Times New Roman"/>
        </w:rPr>
        <w:tab/>
        <w:t xml:space="preserve">Second Education and Institutional Strengthening Project </w:t>
      </w:r>
    </w:p>
    <w:p w14:paraId="6E17532F"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lang w:val="fr-FR"/>
        </w:rPr>
      </w:pPr>
      <w:r w:rsidRPr="00834149">
        <w:rPr>
          <w:rFonts w:eastAsia="Times New Roman" w:cs="Times New Roman"/>
          <w:lang w:val="fr-FR"/>
        </w:rPr>
        <w:t xml:space="preserve">PFM     </w:t>
      </w:r>
      <w:r w:rsidRPr="00834149">
        <w:rPr>
          <w:rFonts w:eastAsia="Times New Roman" w:cs="Times New Roman"/>
          <w:lang w:val="fr-FR"/>
        </w:rPr>
        <w:tab/>
        <w:t>Public Financial Management</w:t>
      </w:r>
    </w:p>
    <w:p w14:paraId="171969D4" w14:textId="1258C45B" w:rsidR="00736B5A" w:rsidRPr="00834149" w:rsidRDefault="00736B5A" w:rsidP="00434A65">
      <w:pPr>
        <w:tabs>
          <w:tab w:val="left" w:pos="1080"/>
          <w:tab w:val="left" w:pos="10076"/>
          <w:tab w:val="left" w:pos="10992"/>
          <w:tab w:val="left" w:pos="11908"/>
          <w:tab w:val="left" w:pos="12824"/>
          <w:tab w:val="left" w:pos="13740"/>
          <w:tab w:val="left" w:pos="14656"/>
        </w:tabs>
        <w:rPr>
          <w:rFonts w:eastAsia="Times New Roman" w:cs="Times New Roman"/>
          <w:lang w:val="fr-FR"/>
        </w:rPr>
      </w:pPr>
      <w:r w:rsidRPr="00834149">
        <w:rPr>
          <w:rFonts w:eastAsia="Times New Roman" w:cs="Times New Roman"/>
          <w:lang w:val="fr-FR"/>
        </w:rPr>
        <w:t>PIU</w:t>
      </w:r>
      <w:r w:rsidRPr="00834149">
        <w:rPr>
          <w:rFonts w:eastAsia="Times New Roman" w:cs="Times New Roman"/>
          <w:lang w:val="fr-FR"/>
        </w:rPr>
        <w:tab/>
        <w:t>Urban Infrastructure Project</w:t>
      </w:r>
    </w:p>
    <w:p w14:paraId="0809600E" w14:textId="094F7646" w:rsidR="00736B5A" w:rsidRPr="00834149" w:rsidRDefault="00736B5A"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PIUs</w:t>
      </w:r>
      <w:r w:rsidRPr="00834149">
        <w:rPr>
          <w:rFonts w:eastAsia="Times New Roman" w:cs="Times New Roman"/>
        </w:rPr>
        <w:tab/>
        <w:t>Project Implementation Units</w:t>
      </w:r>
    </w:p>
    <w:p w14:paraId="0FDF20AC" w14:textId="25D5F216"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PLR</w:t>
      </w:r>
      <w:r w:rsidRPr="00834149">
        <w:rPr>
          <w:rFonts w:eastAsia="Times New Roman" w:cs="Times New Roman"/>
        </w:rPr>
        <w:tab/>
      </w:r>
      <w:r w:rsidR="00D4667B">
        <w:rPr>
          <w:rFonts w:eastAsia="Times New Roman" w:cs="Times New Roman"/>
        </w:rPr>
        <w:t>P</w:t>
      </w:r>
      <w:r w:rsidRPr="00834149">
        <w:rPr>
          <w:rFonts w:eastAsia="Times New Roman" w:cs="Times New Roman"/>
        </w:rPr>
        <w:t>rogress and Learning Review</w:t>
      </w:r>
    </w:p>
    <w:p w14:paraId="7DF51DDA"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lang w:val="fr-FR"/>
        </w:rPr>
      </w:pPr>
      <w:r w:rsidRPr="00834149">
        <w:rPr>
          <w:rFonts w:eastAsia="Times New Roman" w:cs="Times New Roman"/>
          <w:lang w:val="fr-FR"/>
        </w:rPr>
        <w:t>PNIASA</w:t>
      </w:r>
      <w:r w:rsidRPr="00834149">
        <w:rPr>
          <w:rFonts w:eastAsia="Times New Roman" w:cs="Times New Roman"/>
          <w:lang w:val="fr-FR"/>
        </w:rPr>
        <w:tab/>
        <w:t>National Agriculture Program</w:t>
      </w:r>
    </w:p>
    <w:p w14:paraId="3F873D50"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lang w:val="fr-FR"/>
        </w:rPr>
      </w:pPr>
      <w:r w:rsidRPr="00834149">
        <w:rPr>
          <w:rFonts w:eastAsia="Times New Roman" w:cs="Times New Roman"/>
          <w:lang w:val="fr-FR"/>
        </w:rPr>
        <w:t>PPD</w:t>
      </w:r>
      <w:r w:rsidRPr="00834149">
        <w:rPr>
          <w:rFonts w:eastAsia="Times New Roman" w:cs="Times New Roman"/>
          <w:lang w:val="fr-FR"/>
        </w:rPr>
        <w:tab/>
        <w:t>Public Private Dialogue</w:t>
      </w:r>
    </w:p>
    <w:p w14:paraId="42480F7D" w14:textId="33026B39"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PPIAF</w:t>
      </w:r>
      <w:r w:rsidRPr="00834149">
        <w:rPr>
          <w:rFonts w:eastAsia="Times New Roman" w:cs="Times New Roman"/>
        </w:rPr>
        <w:tab/>
        <w:t xml:space="preserve">Public-Private Infrastructure Advisory Facility </w:t>
      </w:r>
    </w:p>
    <w:p w14:paraId="4555BF5E" w14:textId="59C8845F" w:rsidR="004C2269"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PPP       </w:t>
      </w:r>
      <w:r w:rsidRPr="00834149">
        <w:rPr>
          <w:rFonts w:eastAsia="Times New Roman" w:cs="Times New Roman"/>
        </w:rPr>
        <w:tab/>
      </w:r>
      <w:r w:rsidR="004C2269" w:rsidRPr="00834149">
        <w:rPr>
          <w:rFonts w:eastAsia="Times New Roman" w:cs="Times New Roman"/>
        </w:rPr>
        <w:t>Purchasing Power Parity</w:t>
      </w:r>
    </w:p>
    <w:p w14:paraId="2658E7BB" w14:textId="0CE54D6F" w:rsidR="004C2269" w:rsidRPr="00834149" w:rsidRDefault="004C2269"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PPPs</w:t>
      </w:r>
      <w:r w:rsidRPr="00834149">
        <w:rPr>
          <w:rFonts w:eastAsia="Times New Roman" w:cs="Times New Roman"/>
        </w:rPr>
        <w:tab/>
      </w:r>
      <w:r w:rsidR="00DB61B0" w:rsidRPr="00834149">
        <w:rPr>
          <w:rFonts w:eastAsia="Times New Roman" w:cs="Times New Roman"/>
        </w:rPr>
        <w:t>Public Private Partnership</w:t>
      </w:r>
      <w:r w:rsidR="00D4667B">
        <w:rPr>
          <w:rFonts w:eastAsia="Times New Roman" w:cs="Times New Roman"/>
        </w:rPr>
        <w:t>s</w:t>
      </w:r>
    </w:p>
    <w:p w14:paraId="11D90D82"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PSW</w:t>
      </w:r>
      <w:r w:rsidRPr="00834149">
        <w:rPr>
          <w:rFonts w:eastAsia="Times New Roman" w:cs="Times New Roman"/>
        </w:rPr>
        <w:tab/>
        <w:t xml:space="preserve">Private Sector Windows </w:t>
      </w:r>
    </w:p>
    <w:p w14:paraId="4EE7DD49"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PUDC</w:t>
      </w:r>
      <w:r w:rsidRPr="00834149">
        <w:rPr>
          <w:rFonts w:eastAsia="Times New Roman" w:cs="Times New Roman"/>
        </w:rPr>
        <w:tab/>
        <w:t>Urgent Program of Community Development</w:t>
      </w:r>
    </w:p>
    <w:p w14:paraId="3021280A" w14:textId="7083D57C" w:rsidR="00DB61B0" w:rsidRPr="00834149" w:rsidRDefault="00DB61B0" w:rsidP="00434A65">
      <w:pPr>
        <w:tabs>
          <w:tab w:val="left" w:pos="720"/>
        </w:tabs>
        <w:ind w:left="1080" w:hanging="1080"/>
        <w:rPr>
          <w:rFonts w:cs="Times New Roman"/>
          <w:color w:val="000000"/>
          <w:lang w:val="fr-FR"/>
        </w:rPr>
      </w:pPr>
      <w:r w:rsidRPr="00834149">
        <w:rPr>
          <w:rFonts w:cs="Times New Roman"/>
          <w:color w:val="000000"/>
          <w:lang w:val="fr-FR"/>
        </w:rPr>
        <w:t>QUIBB</w:t>
      </w:r>
      <w:r w:rsidRPr="00834149">
        <w:rPr>
          <w:rFonts w:cs="Times New Roman"/>
          <w:color w:val="000000"/>
          <w:lang w:val="fr-FR"/>
        </w:rPr>
        <w:tab/>
      </w:r>
      <w:r w:rsidR="00B34BBA" w:rsidRPr="00834149">
        <w:rPr>
          <w:rFonts w:cs="Times New Roman"/>
          <w:color w:val="000000"/>
          <w:lang w:val="fr-FR"/>
        </w:rPr>
        <w:tab/>
      </w:r>
      <w:r w:rsidRPr="00834149">
        <w:rPr>
          <w:rFonts w:cs="Times New Roman"/>
          <w:i/>
          <w:color w:val="000000"/>
          <w:lang w:val="fr-FR"/>
        </w:rPr>
        <w:t>Questionnaire des Indicateurs de Base du Bien-être</w:t>
      </w:r>
      <w:r w:rsidR="00144D04" w:rsidRPr="00834149">
        <w:rPr>
          <w:rFonts w:cs="Times New Roman"/>
          <w:color w:val="000000"/>
          <w:lang w:val="fr-FR"/>
        </w:rPr>
        <w:t xml:space="preserve"> (</w:t>
      </w:r>
      <w:r w:rsidR="00B34BBA" w:rsidRPr="00834149">
        <w:rPr>
          <w:rFonts w:cs="Times New Roman"/>
          <w:color w:val="000000"/>
          <w:lang w:val="fr-FR"/>
        </w:rPr>
        <w:t xml:space="preserve">Household </w:t>
      </w:r>
      <w:r w:rsidR="00D4667B">
        <w:rPr>
          <w:rFonts w:cs="Times New Roman"/>
          <w:color w:val="000000"/>
          <w:lang w:val="fr-FR"/>
        </w:rPr>
        <w:t>W</w:t>
      </w:r>
      <w:r w:rsidR="00B34BBA" w:rsidRPr="00834149">
        <w:rPr>
          <w:rFonts w:cs="Times New Roman"/>
          <w:color w:val="000000"/>
          <w:lang w:val="fr-FR"/>
        </w:rPr>
        <w:t xml:space="preserve">elfare </w:t>
      </w:r>
      <w:r w:rsidRPr="00834149">
        <w:rPr>
          <w:rFonts w:cs="Times New Roman"/>
          <w:color w:val="000000"/>
          <w:lang w:val="fr-FR"/>
        </w:rPr>
        <w:t xml:space="preserve">and </w:t>
      </w:r>
      <w:r w:rsidR="00D4667B">
        <w:rPr>
          <w:rFonts w:cs="Times New Roman"/>
          <w:color w:val="000000"/>
          <w:lang w:val="fr-FR"/>
        </w:rPr>
        <w:t>C</w:t>
      </w:r>
      <w:r w:rsidRPr="00834149">
        <w:rPr>
          <w:rFonts w:cs="Times New Roman"/>
          <w:color w:val="000000"/>
          <w:lang w:val="fr-FR"/>
        </w:rPr>
        <w:t xml:space="preserve">onsumption </w:t>
      </w:r>
      <w:r w:rsidR="00D4667B">
        <w:rPr>
          <w:rFonts w:cs="Times New Roman"/>
          <w:color w:val="000000"/>
          <w:lang w:val="fr-FR"/>
        </w:rPr>
        <w:t>S</w:t>
      </w:r>
      <w:r w:rsidRPr="00834149">
        <w:rPr>
          <w:rFonts w:cs="Times New Roman"/>
          <w:color w:val="000000"/>
          <w:lang w:val="fr-FR"/>
        </w:rPr>
        <w:t>urvey</w:t>
      </w:r>
      <w:r w:rsidR="00144D04" w:rsidRPr="00834149">
        <w:rPr>
          <w:rFonts w:cs="Times New Roman"/>
          <w:color w:val="000000"/>
          <w:lang w:val="fr-FR"/>
        </w:rPr>
        <w:t>)</w:t>
      </w:r>
    </w:p>
    <w:p w14:paraId="0309DE67"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REDD     </w:t>
      </w:r>
      <w:r w:rsidRPr="00834149">
        <w:rPr>
          <w:rFonts w:eastAsia="Times New Roman" w:cs="Times New Roman"/>
        </w:rPr>
        <w:tab/>
        <w:t>Reducing Emissions from Deforestation and forest Degradation</w:t>
      </w:r>
    </w:p>
    <w:p w14:paraId="2CA5D5EF"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REDISSE</w:t>
      </w:r>
      <w:r w:rsidRPr="00834149">
        <w:rPr>
          <w:rFonts w:eastAsia="Times New Roman" w:cs="Times New Roman"/>
        </w:rPr>
        <w:tab/>
        <w:t xml:space="preserve">Regional Disease Surveillance Systems Enhancement Project </w:t>
      </w:r>
    </w:p>
    <w:p w14:paraId="710CF45C"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lastRenderedPageBreak/>
        <w:t>RMF</w:t>
      </w:r>
      <w:r w:rsidRPr="00834149">
        <w:rPr>
          <w:rFonts w:eastAsia="Times New Roman" w:cs="Times New Roman"/>
        </w:rPr>
        <w:tab/>
        <w:t>Risk Mitigation Facility</w:t>
      </w:r>
    </w:p>
    <w:p w14:paraId="190769A8" w14:textId="28B1D696" w:rsidR="00DB61B0" w:rsidRPr="00455260" w:rsidRDefault="00DB61B0" w:rsidP="00434A65">
      <w:pPr>
        <w:tabs>
          <w:tab w:val="left" w:pos="1080"/>
        </w:tabs>
        <w:ind w:left="1080" w:hanging="1080"/>
        <w:rPr>
          <w:rFonts w:cs="Times New Roman"/>
          <w:color w:val="000000"/>
          <w:lang w:val="fr-FR"/>
        </w:rPr>
      </w:pPr>
      <w:r w:rsidRPr="00455260">
        <w:rPr>
          <w:rFonts w:cs="Times New Roman"/>
          <w:color w:val="000000"/>
          <w:lang w:val="fr-FR"/>
        </w:rPr>
        <w:t>SCAPE</w:t>
      </w:r>
      <w:r w:rsidRPr="00455260">
        <w:rPr>
          <w:rFonts w:cs="Times New Roman"/>
          <w:color w:val="000000"/>
          <w:lang w:val="fr-FR"/>
        </w:rPr>
        <w:tab/>
      </w:r>
      <w:r w:rsidRPr="00455260">
        <w:rPr>
          <w:rFonts w:cs="Times New Roman"/>
          <w:i/>
          <w:lang w:val="fr-FR"/>
        </w:rPr>
        <w:t>Stratégie de Croissance Accélérée et de Promotion de l’Emploi</w:t>
      </w:r>
      <w:r w:rsidR="00144D04" w:rsidRPr="00455260">
        <w:rPr>
          <w:rFonts w:cs="Times New Roman"/>
          <w:lang w:val="fr-FR"/>
        </w:rPr>
        <w:t xml:space="preserve"> (</w:t>
      </w:r>
      <w:r w:rsidRPr="00455260">
        <w:rPr>
          <w:rFonts w:cs="Times New Roman"/>
          <w:lang w:val="fr-FR"/>
        </w:rPr>
        <w:t xml:space="preserve">Strategy for </w:t>
      </w:r>
      <w:r w:rsidR="00D4667B" w:rsidRPr="00455260">
        <w:rPr>
          <w:rFonts w:cs="Times New Roman"/>
          <w:lang w:val="fr-FR"/>
        </w:rPr>
        <w:t>A</w:t>
      </w:r>
      <w:r w:rsidRPr="00455260">
        <w:rPr>
          <w:rFonts w:cs="Times New Roman"/>
          <w:lang w:val="fr-FR"/>
        </w:rPr>
        <w:t xml:space="preserve">ccelerated </w:t>
      </w:r>
      <w:r w:rsidR="00D4667B" w:rsidRPr="00455260">
        <w:rPr>
          <w:rFonts w:cs="Times New Roman"/>
          <w:lang w:val="fr-FR"/>
        </w:rPr>
        <w:t>G</w:t>
      </w:r>
      <w:r w:rsidRPr="00455260">
        <w:rPr>
          <w:rFonts w:cs="Times New Roman"/>
          <w:lang w:val="fr-FR"/>
        </w:rPr>
        <w:t xml:space="preserve">rowth and </w:t>
      </w:r>
      <w:r w:rsidR="00D4667B" w:rsidRPr="00455260">
        <w:rPr>
          <w:rFonts w:cs="Times New Roman"/>
          <w:lang w:val="fr-FR"/>
        </w:rPr>
        <w:t>J</w:t>
      </w:r>
      <w:r w:rsidRPr="00455260">
        <w:rPr>
          <w:rFonts w:cs="Times New Roman"/>
          <w:lang w:val="fr-FR"/>
        </w:rPr>
        <w:t xml:space="preserve">ob </w:t>
      </w:r>
      <w:r w:rsidR="00D4667B" w:rsidRPr="00455260">
        <w:rPr>
          <w:rFonts w:cs="Times New Roman"/>
          <w:lang w:val="fr-FR"/>
        </w:rPr>
        <w:t>C</w:t>
      </w:r>
      <w:r w:rsidRPr="00455260">
        <w:rPr>
          <w:rFonts w:cs="Times New Roman"/>
          <w:lang w:val="fr-FR"/>
        </w:rPr>
        <w:t>reation</w:t>
      </w:r>
      <w:r w:rsidR="00144D04" w:rsidRPr="00455260">
        <w:rPr>
          <w:rFonts w:cs="Times New Roman"/>
          <w:lang w:val="fr-FR"/>
        </w:rPr>
        <w:t>)</w:t>
      </w:r>
    </w:p>
    <w:p w14:paraId="4C6D0BCD"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SCD       </w:t>
      </w:r>
      <w:r w:rsidRPr="00834149">
        <w:rPr>
          <w:rFonts w:eastAsia="Times New Roman" w:cs="Times New Roman"/>
        </w:rPr>
        <w:tab/>
        <w:t>Systematic Country Diagnostic</w:t>
      </w:r>
    </w:p>
    <w:p w14:paraId="18584055" w14:textId="3EFFBB93" w:rsidR="00104C96" w:rsidRDefault="00104C96" w:rsidP="00434A65">
      <w:pPr>
        <w:tabs>
          <w:tab w:val="left" w:pos="108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SDG</w:t>
      </w:r>
      <w:r>
        <w:rPr>
          <w:rFonts w:eastAsia="Times New Roman" w:cs="Times New Roman"/>
        </w:rPr>
        <w:tab/>
      </w:r>
      <w:r w:rsidRPr="00D87B11">
        <w:rPr>
          <w:rFonts w:cs="Times New Roman"/>
        </w:rPr>
        <w:t>Sus</w:t>
      </w:r>
      <w:r>
        <w:rPr>
          <w:rFonts w:cs="Times New Roman"/>
        </w:rPr>
        <w:t xml:space="preserve">tainable Development Goals </w:t>
      </w:r>
    </w:p>
    <w:p w14:paraId="0E6A930A" w14:textId="566FC152"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SME     </w:t>
      </w:r>
      <w:r w:rsidRPr="00834149">
        <w:rPr>
          <w:rFonts w:eastAsia="Times New Roman" w:cs="Times New Roman"/>
        </w:rPr>
        <w:tab/>
        <w:t>Small and Medium Enterprises</w:t>
      </w:r>
    </w:p>
    <w:p w14:paraId="299798C3" w14:textId="4981F45C" w:rsidR="00DB61B0" w:rsidRPr="00834149" w:rsidRDefault="00DB61B0" w:rsidP="00434A65">
      <w:pPr>
        <w:tabs>
          <w:tab w:val="left" w:pos="1080"/>
          <w:tab w:val="left" w:pos="10076"/>
          <w:tab w:val="left" w:pos="10992"/>
          <w:tab w:val="left" w:pos="11908"/>
          <w:tab w:val="left" w:pos="12824"/>
          <w:tab w:val="left" w:pos="13740"/>
          <w:tab w:val="left" w:pos="14656"/>
        </w:tabs>
        <w:ind w:left="1080" w:hanging="1080"/>
        <w:rPr>
          <w:rFonts w:eastAsia="Times New Roman" w:cs="Times New Roman"/>
        </w:rPr>
      </w:pPr>
      <w:r w:rsidRPr="00834149">
        <w:rPr>
          <w:rFonts w:cs="Times New Roman"/>
          <w:color w:val="000000"/>
        </w:rPr>
        <w:t>SNPT</w:t>
      </w:r>
      <w:r w:rsidRPr="00834149">
        <w:rPr>
          <w:rFonts w:cs="Times New Roman"/>
          <w:color w:val="000000"/>
        </w:rPr>
        <w:tab/>
      </w:r>
      <w:r w:rsidRPr="00834149">
        <w:rPr>
          <w:rFonts w:cs="Times New Roman"/>
          <w:i/>
          <w:color w:val="000000"/>
        </w:rPr>
        <w:t>Société Nationale des Phosphates du Togo</w:t>
      </w:r>
      <w:r w:rsidR="00144D04" w:rsidRPr="00834149">
        <w:rPr>
          <w:rFonts w:cs="Times New Roman"/>
          <w:i/>
          <w:color w:val="000000"/>
        </w:rPr>
        <w:t xml:space="preserve"> </w:t>
      </w:r>
      <w:r w:rsidR="00144D04" w:rsidRPr="00834149">
        <w:rPr>
          <w:rFonts w:cs="Times New Roman"/>
          <w:color w:val="000000"/>
        </w:rPr>
        <w:t>(</w:t>
      </w:r>
      <w:r w:rsidRPr="00834149">
        <w:rPr>
          <w:rFonts w:cs="Times New Roman"/>
          <w:color w:val="000000"/>
        </w:rPr>
        <w:t>Togo National Company of Phosphates</w:t>
      </w:r>
      <w:r w:rsidR="00144D04" w:rsidRPr="00834149">
        <w:rPr>
          <w:rFonts w:cs="Times New Roman"/>
          <w:color w:val="000000"/>
        </w:rPr>
        <w:t>)</w:t>
      </w:r>
    </w:p>
    <w:p w14:paraId="37CC382C"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SOE</w:t>
      </w:r>
      <w:r w:rsidRPr="00834149">
        <w:rPr>
          <w:rFonts w:eastAsia="Times New Roman" w:cs="Times New Roman"/>
        </w:rPr>
        <w:tab/>
        <w:t>State Owned Enterprises</w:t>
      </w:r>
    </w:p>
    <w:p w14:paraId="3093C6D4" w14:textId="132C4991"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SP-EAU </w:t>
      </w:r>
      <w:r w:rsidRPr="00834149">
        <w:rPr>
          <w:rFonts w:eastAsia="Times New Roman" w:cs="Times New Roman"/>
        </w:rPr>
        <w:tab/>
      </w:r>
      <w:r w:rsidR="00BB4FCC" w:rsidRPr="00834149">
        <w:rPr>
          <w:rFonts w:eastAsia="Times New Roman" w:cs="Times New Roman"/>
        </w:rPr>
        <w:t xml:space="preserve">Togo’s </w:t>
      </w:r>
      <w:r w:rsidRPr="00834149">
        <w:rPr>
          <w:rFonts w:eastAsia="Times New Roman" w:cs="Times New Roman"/>
        </w:rPr>
        <w:t xml:space="preserve">Assets Management Company for Urban Water and Sanitation </w:t>
      </w:r>
    </w:p>
    <w:p w14:paraId="0E4B3EEB"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TA</w:t>
      </w:r>
      <w:r w:rsidRPr="00834149">
        <w:rPr>
          <w:rFonts w:eastAsia="Times New Roman" w:cs="Times New Roman"/>
        </w:rPr>
        <w:tab/>
        <w:t>Technical Assistance</w:t>
      </w:r>
    </w:p>
    <w:p w14:paraId="77B97C9C" w14:textId="757B209C"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TAR</w:t>
      </w:r>
      <w:r w:rsidRPr="00834149">
        <w:rPr>
          <w:rFonts w:eastAsia="Times New Roman" w:cs="Times New Roman"/>
        </w:rPr>
        <w:tab/>
        <w:t>Turn-Around Regime</w:t>
      </w:r>
    </w:p>
    <w:p w14:paraId="21EE5234"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TE</w:t>
      </w:r>
      <w:r w:rsidRPr="00834149">
        <w:rPr>
          <w:rFonts w:eastAsia="Times New Roman" w:cs="Times New Roman"/>
        </w:rPr>
        <w:tab/>
        <w:t xml:space="preserve">Tertiary Education </w:t>
      </w:r>
    </w:p>
    <w:p w14:paraId="4ED44D29" w14:textId="25C6A03C"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TdE</w:t>
      </w:r>
      <w:r w:rsidRPr="00834149">
        <w:rPr>
          <w:rFonts w:eastAsia="Times New Roman" w:cs="Times New Roman"/>
        </w:rPr>
        <w:tab/>
      </w:r>
      <w:r w:rsidR="009F4A9E" w:rsidRPr="00834149">
        <w:rPr>
          <w:rFonts w:eastAsia="Times New Roman" w:cs="Times New Roman"/>
          <w:i/>
        </w:rPr>
        <w:t>Togolaise des Eaux</w:t>
      </w:r>
      <w:r w:rsidR="009F4A9E" w:rsidRPr="00834149">
        <w:rPr>
          <w:rFonts w:eastAsia="Times New Roman" w:cs="Times New Roman"/>
        </w:rPr>
        <w:t xml:space="preserve"> (</w:t>
      </w:r>
      <w:r w:rsidRPr="00834149">
        <w:rPr>
          <w:rFonts w:eastAsia="Times New Roman" w:cs="Times New Roman"/>
        </w:rPr>
        <w:t>Togo’s Water Utility)</w:t>
      </w:r>
    </w:p>
    <w:p w14:paraId="41A1078B"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TVET    </w:t>
      </w:r>
      <w:r w:rsidRPr="00834149">
        <w:rPr>
          <w:rFonts w:eastAsia="Times New Roman" w:cs="Times New Roman"/>
        </w:rPr>
        <w:tab/>
        <w:t>Technical and Vocational Education and Training</w:t>
      </w:r>
    </w:p>
    <w:p w14:paraId="59AB3DAE"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UN  </w:t>
      </w:r>
      <w:r w:rsidRPr="00834149">
        <w:rPr>
          <w:rFonts w:eastAsia="Times New Roman" w:cs="Times New Roman"/>
        </w:rPr>
        <w:tab/>
        <w:t>United Nations</w:t>
      </w:r>
    </w:p>
    <w:p w14:paraId="196A226A"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UNDP    </w:t>
      </w:r>
      <w:r w:rsidRPr="00834149">
        <w:rPr>
          <w:rFonts w:eastAsia="Times New Roman" w:cs="Times New Roman"/>
        </w:rPr>
        <w:tab/>
        <w:t>United Nations Development Program</w:t>
      </w:r>
    </w:p>
    <w:p w14:paraId="17B70D0F"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UNICEF  </w:t>
      </w:r>
      <w:r w:rsidRPr="00834149">
        <w:rPr>
          <w:rFonts w:eastAsia="Times New Roman" w:cs="Times New Roman"/>
        </w:rPr>
        <w:tab/>
        <w:t>The United Nations Children’s Emergency Fund</w:t>
      </w:r>
    </w:p>
    <w:p w14:paraId="647CB60A"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WAAPP   </w:t>
      </w:r>
      <w:r w:rsidRPr="00834149">
        <w:rPr>
          <w:rFonts w:eastAsia="Times New Roman" w:cs="Times New Roman"/>
        </w:rPr>
        <w:tab/>
        <w:t>West Africa Agricultural Productivity</w:t>
      </w:r>
    </w:p>
    <w:p w14:paraId="645CB597" w14:textId="77777777" w:rsidR="00D4667B" w:rsidRPr="009D0328" w:rsidRDefault="00D4667B" w:rsidP="00D4667B">
      <w:pPr>
        <w:tabs>
          <w:tab w:val="left" w:pos="1080"/>
          <w:tab w:val="left" w:pos="10076"/>
          <w:tab w:val="left" w:pos="10992"/>
          <w:tab w:val="left" w:pos="11908"/>
          <w:tab w:val="left" w:pos="12824"/>
          <w:tab w:val="left" w:pos="13740"/>
          <w:tab w:val="left" w:pos="14656"/>
        </w:tabs>
        <w:rPr>
          <w:rFonts w:eastAsia="Times New Roman" w:cs="Times New Roman"/>
        </w:rPr>
      </w:pPr>
      <w:r w:rsidRPr="009D0328">
        <w:rPr>
          <w:rFonts w:eastAsia="Times New Roman" w:cs="Times New Roman"/>
        </w:rPr>
        <w:t>WACA</w:t>
      </w:r>
      <w:r w:rsidRPr="009D0328">
        <w:rPr>
          <w:rFonts w:eastAsia="Times New Roman" w:cs="Times New Roman"/>
        </w:rPr>
        <w:tab/>
        <w:t>Regional West Africa Coastal Areas</w:t>
      </w:r>
    </w:p>
    <w:p w14:paraId="1F608350" w14:textId="77777777" w:rsidR="00DB61B0" w:rsidRPr="00834149" w:rsidRDefault="00DB61B0" w:rsidP="00D4667B">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WAEMU </w:t>
      </w:r>
      <w:r w:rsidRPr="00834149">
        <w:rPr>
          <w:rFonts w:eastAsia="Times New Roman" w:cs="Times New Roman"/>
        </w:rPr>
        <w:tab/>
        <w:t>West Africa Economic and Monetary Union</w:t>
      </w:r>
    </w:p>
    <w:p w14:paraId="40830A9A" w14:textId="77777777" w:rsidR="00DB61B0" w:rsidRPr="00834149" w:rsidRDefault="00DB61B0" w:rsidP="00D4667B">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WARCIP</w:t>
      </w:r>
      <w:r w:rsidRPr="00834149">
        <w:rPr>
          <w:rFonts w:eastAsia="Times New Roman" w:cs="Times New Roman"/>
        </w:rPr>
        <w:tab/>
        <w:t>West Africa Regional Communications and Information Project</w:t>
      </w:r>
    </w:p>
    <w:p w14:paraId="7E3A98FF" w14:textId="77777777" w:rsidR="00DB61B0" w:rsidRPr="00834149" w:rsidRDefault="00DB61B0" w:rsidP="009E23CA">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WBG     </w:t>
      </w:r>
      <w:r w:rsidRPr="00834149">
        <w:rPr>
          <w:rFonts w:eastAsia="Times New Roman" w:cs="Times New Roman"/>
        </w:rPr>
        <w:tab/>
        <w:t>World Bank Group</w:t>
      </w:r>
    </w:p>
    <w:p w14:paraId="702F9BEB" w14:textId="553FF3E1" w:rsidR="00A455B3" w:rsidRDefault="00A455B3" w:rsidP="00434A65">
      <w:pPr>
        <w:tabs>
          <w:tab w:val="left" w:pos="108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WDI</w:t>
      </w:r>
      <w:r>
        <w:rPr>
          <w:rFonts w:eastAsia="Times New Roman" w:cs="Times New Roman"/>
        </w:rPr>
        <w:tab/>
        <w:t>World Development Indicator</w:t>
      </w:r>
    </w:p>
    <w:p w14:paraId="290C73C9" w14:textId="02862B16"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WFP       </w:t>
      </w:r>
      <w:r w:rsidRPr="00834149">
        <w:rPr>
          <w:rFonts w:eastAsia="Times New Roman" w:cs="Times New Roman"/>
        </w:rPr>
        <w:tab/>
        <w:t>World Food Program</w:t>
      </w:r>
    </w:p>
    <w:p w14:paraId="5DC2B751"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r w:rsidRPr="00834149">
        <w:rPr>
          <w:rFonts w:eastAsia="Times New Roman" w:cs="Times New Roman"/>
        </w:rPr>
        <w:t xml:space="preserve">WGI      </w:t>
      </w:r>
      <w:r w:rsidRPr="00834149">
        <w:rPr>
          <w:rFonts w:eastAsia="Times New Roman" w:cs="Times New Roman"/>
        </w:rPr>
        <w:tab/>
        <w:t>Worldwide Governance Indicators</w:t>
      </w:r>
    </w:p>
    <w:p w14:paraId="11FF7B57" w14:textId="77777777" w:rsidR="00DB61B0" w:rsidRPr="00834149" w:rsidRDefault="00DB61B0" w:rsidP="00434A65">
      <w:pPr>
        <w:tabs>
          <w:tab w:val="left" w:pos="1080"/>
          <w:tab w:val="left" w:pos="10076"/>
          <w:tab w:val="left" w:pos="10992"/>
          <w:tab w:val="left" w:pos="11908"/>
          <w:tab w:val="left" w:pos="12824"/>
          <w:tab w:val="left" w:pos="13740"/>
          <w:tab w:val="left" w:pos="14656"/>
        </w:tabs>
        <w:rPr>
          <w:rFonts w:eastAsia="Times New Roman" w:cs="Times New Roman"/>
        </w:rPr>
      </w:pPr>
    </w:p>
    <w:p w14:paraId="15C1106B" w14:textId="77777777" w:rsidR="00DB61B0" w:rsidRPr="00834149" w:rsidRDefault="00DB61B0" w:rsidP="00434A65">
      <w:pPr>
        <w:autoSpaceDE w:val="0"/>
        <w:autoSpaceDN w:val="0"/>
        <w:adjustRightInd w:val="0"/>
        <w:rPr>
          <w:rFonts w:cs="Times New Roman"/>
          <w:color w:val="000000"/>
        </w:rPr>
      </w:pPr>
    </w:p>
    <w:p w14:paraId="75DA59E3" w14:textId="77777777" w:rsidR="001B001A" w:rsidRPr="00834149" w:rsidRDefault="001B001A" w:rsidP="00434A65">
      <w:pPr>
        <w:autoSpaceDE w:val="0"/>
        <w:autoSpaceDN w:val="0"/>
        <w:adjustRightInd w:val="0"/>
        <w:jc w:val="center"/>
        <w:rPr>
          <w:rFonts w:cs="Times New Roman"/>
          <w:color w:val="000000"/>
        </w:rPr>
      </w:pPr>
    </w:p>
    <w:p w14:paraId="54B740CA" w14:textId="77777777" w:rsidR="001B001A" w:rsidRPr="00834149" w:rsidRDefault="001B001A" w:rsidP="00434A65">
      <w:pPr>
        <w:autoSpaceDE w:val="0"/>
        <w:autoSpaceDN w:val="0"/>
        <w:adjustRightInd w:val="0"/>
        <w:jc w:val="center"/>
        <w:rPr>
          <w:rFonts w:cs="Times New Roman"/>
          <w:color w:val="000000"/>
        </w:rPr>
      </w:pPr>
    </w:p>
    <w:p w14:paraId="153D71CF" w14:textId="77777777" w:rsidR="001B001A" w:rsidRPr="00834149" w:rsidRDefault="001B001A" w:rsidP="00434A65">
      <w:pPr>
        <w:autoSpaceDE w:val="0"/>
        <w:autoSpaceDN w:val="0"/>
        <w:adjustRightInd w:val="0"/>
        <w:jc w:val="center"/>
        <w:rPr>
          <w:rFonts w:cs="Times New Roman"/>
          <w:color w:val="000000"/>
        </w:rPr>
      </w:pPr>
    </w:p>
    <w:p w14:paraId="7143BF4E" w14:textId="77777777" w:rsidR="001B001A" w:rsidRPr="00834149" w:rsidRDefault="001B001A" w:rsidP="00434A65">
      <w:pPr>
        <w:autoSpaceDE w:val="0"/>
        <w:autoSpaceDN w:val="0"/>
        <w:adjustRightInd w:val="0"/>
        <w:jc w:val="center"/>
        <w:rPr>
          <w:rFonts w:cs="Times New Roman"/>
          <w:color w:val="000000"/>
        </w:rPr>
      </w:pPr>
    </w:p>
    <w:p w14:paraId="4F0EFA83" w14:textId="77777777" w:rsidR="001B001A" w:rsidRPr="00834149" w:rsidRDefault="001B001A" w:rsidP="00434A65">
      <w:pPr>
        <w:autoSpaceDE w:val="0"/>
        <w:autoSpaceDN w:val="0"/>
        <w:adjustRightInd w:val="0"/>
        <w:jc w:val="center"/>
        <w:rPr>
          <w:rFonts w:cs="Times New Roman"/>
          <w:color w:val="000000"/>
        </w:rPr>
      </w:pPr>
    </w:p>
    <w:p w14:paraId="0CAD5214" w14:textId="77777777" w:rsidR="001B001A" w:rsidRPr="00834149" w:rsidRDefault="001B001A" w:rsidP="00434A65">
      <w:pPr>
        <w:autoSpaceDE w:val="0"/>
        <w:autoSpaceDN w:val="0"/>
        <w:adjustRightInd w:val="0"/>
        <w:jc w:val="center"/>
        <w:rPr>
          <w:rFonts w:cs="Times New Roman"/>
          <w:color w:val="000000"/>
        </w:rPr>
      </w:pPr>
    </w:p>
    <w:p w14:paraId="29618DCE" w14:textId="6D6CF27B" w:rsidR="003B60FA" w:rsidRDefault="003B60FA" w:rsidP="00434A65">
      <w:pPr>
        <w:autoSpaceDE w:val="0"/>
        <w:autoSpaceDN w:val="0"/>
        <w:adjustRightInd w:val="0"/>
        <w:jc w:val="center"/>
        <w:rPr>
          <w:rFonts w:cs="Times New Roman"/>
          <w:color w:val="000000"/>
        </w:rPr>
      </w:pPr>
    </w:p>
    <w:p w14:paraId="079F56CB" w14:textId="76DE5093" w:rsidR="00D4667B" w:rsidRDefault="00D4667B" w:rsidP="00434A65">
      <w:pPr>
        <w:autoSpaceDE w:val="0"/>
        <w:autoSpaceDN w:val="0"/>
        <w:adjustRightInd w:val="0"/>
        <w:jc w:val="center"/>
        <w:rPr>
          <w:rFonts w:cs="Times New Roman"/>
          <w:color w:val="000000"/>
        </w:rPr>
      </w:pPr>
    </w:p>
    <w:p w14:paraId="49C6071F" w14:textId="582EFB74" w:rsidR="00D4667B" w:rsidRDefault="00D4667B" w:rsidP="00434A65">
      <w:pPr>
        <w:autoSpaceDE w:val="0"/>
        <w:autoSpaceDN w:val="0"/>
        <w:adjustRightInd w:val="0"/>
        <w:jc w:val="center"/>
        <w:rPr>
          <w:rFonts w:cs="Times New Roman"/>
          <w:color w:val="000000"/>
        </w:rPr>
      </w:pPr>
    </w:p>
    <w:p w14:paraId="1D716750" w14:textId="040C8AD6" w:rsidR="00D4667B" w:rsidRDefault="00D4667B" w:rsidP="00434A65">
      <w:pPr>
        <w:autoSpaceDE w:val="0"/>
        <w:autoSpaceDN w:val="0"/>
        <w:adjustRightInd w:val="0"/>
        <w:jc w:val="center"/>
        <w:rPr>
          <w:rFonts w:cs="Times New Roman"/>
          <w:color w:val="000000"/>
        </w:rPr>
      </w:pPr>
    </w:p>
    <w:p w14:paraId="7036DD53" w14:textId="08636148" w:rsidR="00D4667B" w:rsidRDefault="00D4667B" w:rsidP="00434A65">
      <w:pPr>
        <w:autoSpaceDE w:val="0"/>
        <w:autoSpaceDN w:val="0"/>
        <w:adjustRightInd w:val="0"/>
        <w:jc w:val="center"/>
        <w:rPr>
          <w:rFonts w:cs="Times New Roman"/>
          <w:color w:val="000000"/>
        </w:rPr>
      </w:pPr>
    </w:p>
    <w:p w14:paraId="6797C3D9" w14:textId="6F6F40B5" w:rsidR="00D4667B" w:rsidRDefault="00D4667B" w:rsidP="00434A65">
      <w:pPr>
        <w:autoSpaceDE w:val="0"/>
        <w:autoSpaceDN w:val="0"/>
        <w:adjustRightInd w:val="0"/>
        <w:jc w:val="center"/>
        <w:rPr>
          <w:rFonts w:cs="Times New Roman"/>
          <w:color w:val="000000"/>
        </w:rPr>
      </w:pPr>
    </w:p>
    <w:p w14:paraId="1E89F1AD" w14:textId="77777777" w:rsidR="003B60FA" w:rsidRPr="00834149" w:rsidRDefault="003B60FA" w:rsidP="00434A65">
      <w:pPr>
        <w:autoSpaceDE w:val="0"/>
        <w:autoSpaceDN w:val="0"/>
        <w:adjustRightInd w:val="0"/>
        <w:jc w:val="center"/>
        <w:rPr>
          <w:rFonts w:cs="Times New Roman"/>
          <w:color w:val="000000"/>
        </w:rPr>
      </w:pPr>
    </w:p>
    <w:p w14:paraId="70327E9D" w14:textId="77777777" w:rsidR="001B001A" w:rsidRPr="00834149" w:rsidRDefault="001B001A" w:rsidP="00434A65">
      <w:pPr>
        <w:autoSpaceDE w:val="0"/>
        <w:autoSpaceDN w:val="0"/>
        <w:adjustRightInd w:val="0"/>
        <w:jc w:val="center"/>
        <w:rPr>
          <w:rFonts w:cs="Times New Roman"/>
          <w:color w:val="000000"/>
        </w:rPr>
      </w:pPr>
    </w:p>
    <w:p w14:paraId="68793207" w14:textId="77777777" w:rsidR="001B001A" w:rsidRPr="00834149" w:rsidRDefault="001B001A" w:rsidP="00434A65">
      <w:pPr>
        <w:autoSpaceDE w:val="0"/>
        <w:autoSpaceDN w:val="0"/>
        <w:adjustRightInd w:val="0"/>
        <w:jc w:val="center"/>
        <w:rPr>
          <w:rFonts w:cs="Times New Roman"/>
          <w:color w:val="000000"/>
        </w:rPr>
      </w:pPr>
    </w:p>
    <w:p w14:paraId="534398E3" w14:textId="77777777" w:rsidR="001B001A" w:rsidRPr="00834149" w:rsidRDefault="001B001A" w:rsidP="00434A65">
      <w:pPr>
        <w:autoSpaceDE w:val="0"/>
        <w:autoSpaceDN w:val="0"/>
        <w:adjustRightInd w:val="0"/>
        <w:jc w:val="center"/>
        <w:rPr>
          <w:rFonts w:cs="Times New Roman"/>
          <w:color w:val="000000"/>
        </w:rPr>
      </w:pPr>
    </w:p>
    <w:tbl>
      <w:tblPr>
        <w:tblStyle w:val="TableGrid"/>
        <w:tblW w:w="5000" w:type="pct"/>
        <w:tblLook w:val="04A0" w:firstRow="1" w:lastRow="0" w:firstColumn="1" w:lastColumn="0" w:noHBand="0" w:noVBand="1"/>
      </w:tblPr>
      <w:tblGrid>
        <w:gridCol w:w="1976"/>
        <w:gridCol w:w="2068"/>
        <w:gridCol w:w="3155"/>
        <w:gridCol w:w="2151"/>
      </w:tblGrid>
      <w:tr w:rsidR="00D4667B" w:rsidRPr="00434A65" w14:paraId="0BA60AF1" w14:textId="77777777" w:rsidTr="00834149">
        <w:tc>
          <w:tcPr>
            <w:tcW w:w="1057" w:type="pct"/>
            <w:tcBorders>
              <w:top w:val="single" w:sz="4" w:space="0" w:color="auto"/>
              <w:left w:val="single" w:sz="4" w:space="0" w:color="auto"/>
              <w:bottom w:val="single" w:sz="4" w:space="0" w:color="auto"/>
              <w:right w:val="single" w:sz="4" w:space="0" w:color="auto"/>
            </w:tcBorders>
          </w:tcPr>
          <w:p w14:paraId="05E83CF5" w14:textId="77777777" w:rsidR="00D4667B" w:rsidRPr="00834149" w:rsidRDefault="00D4667B" w:rsidP="00541C07">
            <w:pPr>
              <w:spacing w:after="120" w:line="276" w:lineRule="auto"/>
              <w:jc w:val="both"/>
              <w:rPr>
                <w:rFonts w:cs="Times New Roman"/>
                <w:b/>
              </w:rPr>
            </w:pPr>
          </w:p>
        </w:tc>
        <w:tc>
          <w:tcPr>
            <w:tcW w:w="1106" w:type="pct"/>
            <w:tcBorders>
              <w:top w:val="single" w:sz="4" w:space="0" w:color="auto"/>
              <w:left w:val="single" w:sz="4" w:space="0" w:color="auto"/>
              <w:bottom w:val="single" w:sz="4" w:space="0" w:color="auto"/>
              <w:right w:val="single" w:sz="4" w:space="0" w:color="auto"/>
            </w:tcBorders>
            <w:hideMark/>
          </w:tcPr>
          <w:p w14:paraId="634D1C25" w14:textId="4B047ACF" w:rsidR="00D4667B" w:rsidRPr="00834149" w:rsidRDefault="00D4667B" w:rsidP="00541C07">
            <w:pPr>
              <w:spacing w:after="120" w:line="276" w:lineRule="auto"/>
              <w:jc w:val="both"/>
              <w:rPr>
                <w:rFonts w:eastAsia="Calibri" w:cs="Times New Roman"/>
                <w:b/>
              </w:rPr>
            </w:pPr>
            <w:r w:rsidRPr="00834149">
              <w:rPr>
                <w:rFonts w:cs="Times New Roman"/>
                <w:b/>
              </w:rPr>
              <w:t>IBRD</w:t>
            </w:r>
          </w:p>
        </w:tc>
        <w:tc>
          <w:tcPr>
            <w:tcW w:w="1687" w:type="pct"/>
            <w:tcBorders>
              <w:top w:val="single" w:sz="4" w:space="0" w:color="auto"/>
              <w:left w:val="single" w:sz="4" w:space="0" w:color="auto"/>
              <w:bottom w:val="single" w:sz="4" w:space="0" w:color="auto"/>
              <w:right w:val="single" w:sz="4" w:space="0" w:color="auto"/>
            </w:tcBorders>
            <w:hideMark/>
          </w:tcPr>
          <w:p w14:paraId="203DB5EC" w14:textId="77777777" w:rsidR="00D4667B" w:rsidRPr="00834149" w:rsidRDefault="00D4667B" w:rsidP="00541C07">
            <w:pPr>
              <w:spacing w:after="120" w:line="276" w:lineRule="auto"/>
              <w:jc w:val="both"/>
              <w:rPr>
                <w:rFonts w:eastAsia="Calibri" w:cs="Times New Roman"/>
                <w:b/>
              </w:rPr>
            </w:pPr>
            <w:r w:rsidRPr="00834149">
              <w:rPr>
                <w:rFonts w:cs="Times New Roman"/>
                <w:b/>
              </w:rPr>
              <w:t>IFC</w:t>
            </w:r>
          </w:p>
        </w:tc>
        <w:tc>
          <w:tcPr>
            <w:tcW w:w="1150" w:type="pct"/>
            <w:tcBorders>
              <w:top w:val="single" w:sz="4" w:space="0" w:color="auto"/>
              <w:left w:val="single" w:sz="4" w:space="0" w:color="auto"/>
              <w:bottom w:val="single" w:sz="4" w:space="0" w:color="auto"/>
              <w:right w:val="single" w:sz="4" w:space="0" w:color="auto"/>
            </w:tcBorders>
            <w:hideMark/>
          </w:tcPr>
          <w:p w14:paraId="7A78E996" w14:textId="77777777" w:rsidR="00D4667B" w:rsidRPr="00834149" w:rsidRDefault="00D4667B" w:rsidP="00541C07">
            <w:pPr>
              <w:spacing w:after="120" w:line="276" w:lineRule="auto"/>
              <w:jc w:val="both"/>
              <w:rPr>
                <w:rFonts w:eastAsia="Calibri" w:cs="Times New Roman"/>
                <w:b/>
              </w:rPr>
            </w:pPr>
            <w:r w:rsidRPr="00834149">
              <w:rPr>
                <w:rFonts w:cs="Times New Roman"/>
                <w:b/>
              </w:rPr>
              <w:t>MIGA</w:t>
            </w:r>
          </w:p>
        </w:tc>
      </w:tr>
      <w:tr w:rsidR="00D4667B" w:rsidRPr="00434A65" w14:paraId="5A8A9002" w14:textId="77777777" w:rsidTr="00834149">
        <w:trPr>
          <w:trHeight w:val="863"/>
        </w:trPr>
        <w:tc>
          <w:tcPr>
            <w:tcW w:w="1057" w:type="pct"/>
            <w:tcBorders>
              <w:top w:val="single" w:sz="4" w:space="0" w:color="auto"/>
              <w:left w:val="single" w:sz="4" w:space="0" w:color="auto"/>
              <w:bottom w:val="single" w:sz="4" w:space="0" w:color="auto"/>
              <w:right w:val="single" w:sz="4" w:space="0" w:color="auto"/>
            </w:tcBorders>
          </w:tcPr>
          <w:p w14:paraId="319A4243" w14:textId="77777777" w:rsidR="00D4667B" w:rsidRPr="00834149" w:rsidRDefault="00D4667B" w:rsidP="00D4667B">
            <w:pPr>
              <w:autoSpaceDE w:val="0"/>
              <w:autoSpaceDN w:val="0"/>
              <w:adjustRightInd w:val="0"/>
              <w:rPr>
                <w:rFonts w:cs="Calibri,Bold"/>
                <w:b/>
                <w:bCs/>
              </w:rPr>
            </w:pPr>
            <w:r w:rsidRPr="00834149">
              <w:rPr>
                <w:rFonts w:cs="Calibri,Bold"/>
                <w:b/>
                <w:bCs/>
              </w:rPr>
              <w:t>Vice President:</w:t>
            </w:r>
          </w:p>
          <w:p w14:paraId="05ECDEDB" w14:textId="77777777" w:rsidR="00D4667B" w:rsidRPr="00834149" w:rsidRDefault="00D4667B" w:rsidP="00D4667B">
            <w:pPr>
              <w:autoSpaceDE w:val="0"/>
              <w:autoSpaceDN w:val="0"/>
              <w:adjustRightInd w:val="0"/>
              <w:rPr>
                <w:rFonts w:cs="Calibri,Bold"/>
                <w:b/>
                <w:bCs/>
              </w:rPr>
            </w:pPr>
            <w:r w:rsidRPr="00834149">
              <w:rPr>
                <w:rFonts w:cs="Calibri,Bold"/>
                <w:b/>
                <w:bCs/>
              </w:rPr>
              <w:t>Director:</w:t>
            </w:r>
          </w:p>
          <w:p w14:paraId="2B893458" w14:textId="6B2E3B37" w:rsidR="00D4667B" w:rsidRPr="00834149" w:rsidRDefault="00D4667B" w:rsidP="00D4667B">
            <w:pPr>
              <w:rPr>
                <w:rFonts w:cs="Times New Roman"/>
              </w:rPr>
            </w:pPr>
            <w:r w:rsidRPr="00834149">
              <w:rPr>
                <w:rFonts w:cs="Calibri,Bold"/>
                <w:b/>
                <w:bCs/>
              </w:rPr>
              <w:t>Task Team Leader:</w:t>
            </w:r>
          </w:p>
        </w:tc>
        <w:tc>
          <w:tcPr>
            <w:tcW w:w="1106" w:type="pct"/>
            <w:tcBorders>
              <w:top w:val="single" w:sz="4" w:space="0" w:color="auto"/>
              <w:left w:val="single" w:sz="4" w:space="0" w:color="auto"/>
              <w:bottom w:val="single" w:sz="4" w:space="0" w:color="auto"/>
              <w:right w:val="single" w:sz="4" w:space="0" w:color="auto"/>
            </w:tcBorders>
            <w:hideMark/>
          </w:tcPr>
          <w:p w14:paraId="7BFE854E" w14:textId="19884C49" w:rsidR="00D4667B" w:rsidRPr="00834149" w:rsidRDefault="00D4667B" w:rsidP="00FD5F3C">
            <w:pPr>
              <w:rPr>
                <w:rFonts w:cs="Times New Roman"/>
              </w:rPr>
            </w:pPr>
            <w:r w:rsidRPr="00834149">
              <w:rPr>
                <w:rFonts w:cs="Times New Roman"/>
              </w:rPr>
              <w:t>Makhtar Diop</w:t>
            </w:r>
          </w:p>
          <w:p w14:paraId="538A2407" w14:textId="1CE33E59" w:rsidR="00D4667B" w:rsidRPr="00834149" w:rsidRDefault="00D4667B" w:rsidP="00FD5F3C">
            <w:pPr>
              <w:rPr>
                <w:rFonts w:cs="Times New Roman"/>
              </w:rPr>
            </w:pPr>
            <w:r w:rsidRPr="00834149">
              <w:rPr>
                <w:rFonts w:cs="Times New Roman"/>
              </w:rPr>
              <w:t>Pierre Laporte</w:t>
            </w:r>
          </w:p>
          <w:p w14:paraId="3C1A18A2" w14:textId="0AB4F57F" w:rsidR="00D4667B" w:rsidRPr="00834149" w:rsidRDefault="00D4667B" w:rsidP="00FD5F3C">
            <w:pPr>
              <w:spacing w:after="120"/>
              <w:rPr>
                <w:rFonts w:eastAsia="Calibri" w:cs="Times New Roman"/>
              </w:rPr>
            </w:pPr>
            <w:r w:rsidRPr="00834149">
              <w:rPr>
                <w:rFonts w:cs="Times New Roman"/>
              </w:rPr>
              <w:t>Joelle Businger</w:t>
            </w:r>
          </w:p>
        </w:tc>
        <w:tc>
          <w:tcPr>
            <w:tcW w:w="1687" w:type="pct"/>
            <w:tcBorders>
              <w:top w:val="single" w:sz="4" w:space="0" w:color="auto"/>
              <w:left w:val="single" w:sz="4" w:space="0" w:color="auto"/>
              <w:bottom w:val="single" w:sz="4" w:space="0" w:color="auto"/>
              <w:right w:val="single" w:sz="4" w:space="0" w:color="auto"/>
            </w:tcBorders>
          </w:tcPr>
          <w:p w14:paraId="502FD458" w14:textId="5B3ACF1E" w:rsidR="00D4667B" w:rsidRPr="00834149" w:rsidRDefault="00D4667B" w:rsidP="00FD5F3C">
            <w:pPr>
              <w:rPr>
                <w:rFonts w:cs="Times New Roman"/>
                <w:lang w:val="fr-FR"/>
              </w:rPr>
            </w:pPr>
            <w:r w:rsidRPr="00834149">
              <w:rPr>
                <w:rFonts w:cs="Times New Roman"/>
                <w:lang w:val="fr-FR"/>
              </w:rPr>
              <w:t>Nena Stoiljkovic</w:t>
            </w:r>
          </w:p>
          <w:p w14:paraId="437B5F30" w14:textId="7A28A4C3" w:rsidR="00D4667B" w:rsidRPr="00834149" w:rsidRDefault="00D4667B" w:rsidP="00FD5F3C">
            <w:pPr>
              <w:rPr>
                <w:rFonts w:cs="Times New Roman"/>
                <w:lang w:val="fr-FR"/>
              </w:rPr>
            </w:pPr>
            <w:r w:rsidRPr="00834149">
              <w:rPr>
                <w:rFonts w:cs="Times New Roman"/>
                <w:lang w:val="fr-FR"/>
              </w:rPr>
              <w:t>Vera Songwe</w:t>
            </w:r>
          </w:p>
          <w:p w14:paraId="1DD35872" w14:textId="3C7B4204" w:rsidR="00D4667B" w:rsidRPr="00834149" w:rsidRDefault="00D4667B" w:rsidP="00FD5F3C">
            <w:pPr>
              <w:spacing w:after="120"/>
              <w:rPr>
                <w:rFonts w:eastAsia="Calibri" w:cs="Times New Roman"/>
                <w:lang w:val="fr-FR"/>
              </w:rPr>
            </w:pPr>
            <w:r w:rsidRPr="00834149">
              <w:rPr>
                <w:rFonts w:cs="Times New Roman"/>
                <w:lang w:val="fr-FR"/>
              </w:rPr>
              <w:t>Sizwe Mdluli</w:t>
            </w:r>
          </w:p>
        </w:tc>
        <w:tc>
          <w:tcPr>
            <w:tcW w:w="1150" w:type="pct"/>
            <w:tcBorders>
              <w:top w:val="single" w:sz="4" w:space="0" w:color="auto"/>
              <w:left w:val="single" w:sz="4" w:space="0" w:color="auto"/>
              <w:bottom w:val="single" w:sz="4" w:space="0" w:color="auto"/>
              <w:right w:val="single" w:sz="4" w:space="0" w:color="auto"/>
            </w:tcBorders>
          </w:tcPr>
          <w:p w14:paraId="3ACC0A3F" w14:textId="219E00E9" w:rsidR="00834149" w:rsidRPr="00A671F0" w:rsidRDefault="00834149" w:rsidP="00834149">
            <w:pPr>
              <w:rPr>
                <w:rFonts w:cs="Times New Roman"/>
                <w:sz w:val="21"/>
                <w:szCs w:val="21"/>
              </w:rPr>
            </w:pPr>
            <w:r w:rsidRPr="00A671F0">
              <w:rPr>
                <w:rFonts w:cs="Times New Roman"/>
                <w:sz w:val="21"/>
                <w:szCs w:val="21"/>
              </w:rPr>
              <w:t>Keiko Honda</w:t>
            </w:r>
          </w:p>
          <w:p w14:paraId="047D3120" w14:textId="25AC839A" w:rsidR="00834149" w:rsidRPr="00A671F0" w:rsidRDefault="00834149" w:rsidP="00834149">
            <w:pPr>
              <w:rPr>
                <w:rFonts w:cs="Times New Roman"/>
                <w:sz w:val="21"/>
                <w:szCs w:val="21"/>
              </w:rPr>
            </w:pPr>
            <w:r w:rsidRPr="00A671F0">
              <w:rPr>
                <w:rFonts w:cs="Times New Roman"/>
                <w:sz w:val="21"/>
                <w:szCs w:val="21"/>
              </w:rPr>
              <w:t>Merli Baroudi</w:t>
            </w:r>
          </w:p>
          <w:p w14:paraId="47E5EB8E" w14:textId="32C78FA9" w:rsidR="00D4667B" w:rsidRPr="00834149" w:rsidRDefault="00D4667B" w:rsidP="00FD5F3C">
            <w:pPr>
              <w:tabs>
                <w:tab w:val="left" w:pos="2189"/>
              </w:tabs>
              <w:rPr>
                <w:rFonts w:eastAsia="Calibri" w:cs="Times New Roman"/>
              </w:rPr>
            </w:pPr>
            <w:r w:rsidRPr="00834149">
              <w:rPr>
                <w:rFonts w:cs="Times New Roman"/>
              </w:rPr>
              <w:t>Conor Healy</w:t>
            </w:r>
          </w:p>
        </w:tc>
      </w:tr>
    </w:tbl>
    <w:p w14:paraId="7A625F22" w14:textId="0668D509" w:rsidR="001B001A" w:rsidRPr="00834149" w:rsidRDefault="001B001A" w:rsidP="00852CFB">
      <w:pPr>
        <w:pStyle w:val="TOCHeading"/>
        <w:jc w:val="center"/>
        <w:rPr>
          <w:rFonts w:asciiTheme="minorHAnsi" w:hAnsiTheme="minorHAnsi" w:cs="Times New Roman"/>
          <w:color w:val="000000"/>
          <w:sz w:val="22"/>
          <w:szCs w:val="22"/>
        </w:rPr>
      </w:pPr>
      <w:r w:rsidRPr="0020372C">
        <w:br w:type="page"/>
      </w:r>
      <w:r w:rsidRPr="00834149">
        <w:rPr>
          <w:rFonts w:asciiTheme="minorHAnsi" w:hAnsiTheme="minorHAnsi" w:cs="Times New Roman"/>
          <w:color w:val="000000"/>
          <w:sz w:val="22"/>
          <w:szCs w:val="22"/>
        </w:rPr>
        <w:lastRenderedPageBreak/>
        <w:t>FY17-FY20 COUNTRY PARTNERSHIP FRAMEWORK FOR TOGO</w:t>
      </w:r>
    </w:p>
    <w:p w14:paraId="031481F3" w14:textId="77777777" w:rsidR="00FB3A20" w:rsidRPr="00834149" w:rsidRDefault="00FB3A20" w:rsidP="00FB3A20">
      <w:pPr>
        <w:rPr>
          <w:lang w:bidi="en-US"/>
        </w:rPr>
      </w:pPr>
    </w:p>
    <w:sdt>
      <w:sdtPr>
        <w:rPr>
          <w:rFonts w:asciiTheme="minorHAnsi" w:eastAsiaTheme="minorEastAsia" w:hAnsiTheme="minorHAnsi" w:cs="Times New Roman"/>
          <w:b w:val="0"/>
          <w:bCs w:val="0"/>
          <w:sz w:val="22"/>
          <w:szCs w:val="22"/>
          <w:lang w:bidi="ar-SA"/>
        </w:rPr>
        <w:id w:val="-1581984874"/>
        <w:docPartObj>
          <w:docPartGallery w:val="Table of Contents"/>
          <w:docPartUnique/>
        </w:docPartObj>
      </w:sdtPr>
      <w:sdtEndPr>
        <w:rPr>
          <w:noProof/>
        </w:rPr>
      </w:sdtEndPr>
      <w:sdtContent>
        <w:p w14:paraId="213222E4" w14:textId="77777777" w:rsidR="001B001A" w:rsidRPr="00834149" w:rsidRDefault="001B001A" w:rsidP="00AF6F74">
          <w:pPr>
            <w:pStyle w:val="TOCHeading"/>
            <w:spacing w:before="0"/>
            <w:jc w:val="center"/>
            <w:rPr>
              <w:rFonts w:asciiTheme="minorHAnsi" w:hAnsiTheme="minorHAnsi" w:cs="Times New Roman"/>
              <w:sz w:val="22"/>
              <w:szCs w:val="22"/>
            </w:rPr>
          </w:pPr>
          <w:r w:rsidRPr="00834149">
            <w:rPr>
              <w:rFonts w:asciiTheme="minorHAnsi" w:hAnsiTheme="minorHAnsi" w:cs="Times New Roman"/>
              <w:sz w:val="22"/>
              <w:szCs w:val="22"/>
            </w:rPr>
            <w:t>Table of Contents</w:t>
          </w:r>
        </w:p>
        <w:p w14:paraId="7965044C" w14:textId="77777777" w:rsidR="00441788" w:rsidRPr="00434A65" w:rsidRDefault="004D7D57" w:rsidP="00434A65">
          <w:pPr>
            <w:pStyle w:val="TOC1"/>
            <w:rPr>
              <w:noProof/>
            </w:rPr>
          </w:pPr>
          <w:r w:rsidRPr="00834149">
            <w:fldChar w:fldCharType="begin"/>
          </w:r>
          <w:r w:rsidRPr="00834149">
            <w:instrText xml:space="preserve"> TOC \h \z \t "Heading 2,2,Heading 3,3,HEAD,1" </w:instrText>
          </w:r>
          <w:r w:rsidRPr="00834149">
            <w:fldChar w:fldCharType="separate"/>
          </w:r>
          <w:hyperlink w:anchor="_Toc480207628" w:history="1">
            <w:r w:rsidR="00441788" w:rsidRPr="00834149">
              <w:rPr>
                <w:rStyle w:val="Hyperlink"/>
                <w:rFonts w:asciiTheme="minorHAnsi" w:hAnsiTheme="minorHAnsi"/>
                <w:b/>
                <w:noProof/>
                <w:sz w:val="22"/>
              </w:rPr>
              <w:t xml:space="preserve">I. </w:t>
            </w:r>
            <w:r w:rsidR="00441788" w:rsidRPr="00834149">
              <w:rPr>
                <w:rStyle w:val="Hyperlink"/>
                <w:rFonts w:asciiTheme="minorHAnsi" w:hAnsiTheme="minorHAnsi"/>
                <w:b/>
                <w:bCs/>
                <w:noProof/>
                <w:sz w:val="22"/>
              </w:rPr>
              <w:t>INTRODUCTION</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_Toc480207628 \h </w:instrText>
            </w:r>
            <w:r w:rsidR="00441788" w:rsidRPr="00434A65">
              <w:rPr>
                <w:noProof/>
                <w:webHidden/>
              </w:rPr>
            </w:r>
            <w:r w:rsidR="00441788" w:rsidRPr="00434A65">
              <w:rPr>
                <w:noProof/>
                <w:webHidden/>
              </w:rPr>
              <w:fldChar w:fldCharType="separate"/>
            </w:r>
            <w:r w:rsidR="000D6ABB">
              <w:rPr>
                <w:noProof/>
                <w:webHidden/>
              </w:rPr>
              <w:t>1</w:t>
            </w:r>
            <w:r w:rsidR="00441788" w:rsidRPr="00434A65">
              <w:rPr>
                <w:noProof/>
                <w:webHidden/>
              </w:rPr>
              <w:fldChar w:fldCharType="end"/>
            </w:r>
          </w:hyperlink>
        </w:p>
        <w:p w14:paraId="3362CC93" w14:textId="77777777" w:rsidR="00441788" w:rsidRPr="00434A65" w:rsidRDefault="00455260" w:rsidP="00434A65">
          <w:pPr>
            <w:pStyle w:val="TOC1"/>
            <w:rPr>
              <w:noProof/>
            </w:rPr>
          </w:pPr>
          <w:hyperlink w:anchor="_Toc480207629" w:history="1">
            <w:r w:rsidR="00441788" w:rsidRPr="00834149">
              <w:rPr>
                <w:rStyle w:val="Hyperlink"/>
                <w:rFonts w:asciiTheme="minorHAnsi" w:hAnsiTheme="minorHAnsi"/>
                <w:b/>
                <w:noProof/>
                <w:sz w:val="22"/>
              </w:rPr>
              <w:t>II. COUNTRY CONTEXT AND DEVELOPMENT AGENDA</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_Toc480207629 \h </w:instrText>
            </w:r>
            <w:r w:rsidR="00441788" w:rsidRPr="00434A65">
              <w:rPr>
                <w:noProof/>
                <w:webHidden/>
              </w:rPr>
            </w:r>
            <w:r w:rsidR="00441788" w:rsidRPr="00434A65">
              <w:rPr>
                <w:noProof/>
                <w:webHidden/>
              </w:rPr>
              <w:fldChar w:fldCharType="separate"/>
            </w:r>
            <w:r w:rsidR="000D6ABB">
              <w:rPr>
                <w:noProof/>
                <w:webHidden/>
              </w:rPr>
              <w:t>1</w:t>
            </w:r>
            <w:r w:rsidR="00441788" w:rsidRPr="00434A65">
              <w:rPr>
                <w:noProof/>
                <w:webHidden/>
              </w:rPr>
              <w:fldChar w:fldCharType="end"/>
            </w:r>
          </w:hyperlink>
        </w:p>
        <w:p w14:paraId="704EEBB5" w14:textId="77777777" w:rsidR="00441788" w:rsidRPr="00434A65" w:rsidRDefault="00455260" w:rsidP="00834149">
          <w:pPr>
            <w:pStyle w:val="TOC1"/>
            <w:rPr>
              <w:noProof/>
            </w:rPr>
          </w:pPr>
          <w:hyperlink w:anchor="_Toc480207630" w:history="1">
            <w:r w:rsidR="00441788" w:rsidRPr="00834149">
              <w:rPr>
                <w:rStyle w:val="Hyperlink"/>
                <w:rFonts w:asciiTheme="minorHAnsi" w:hAnsiTheme="minorHAnsi" w:cs="Times New Roman"/>
                <w:noProof/>
                <w:sz w:val="22"/>
              </w:rPr>
              <w:t>2.1 Social and Political Context</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_Toc480207630 \h </w:instrText>
            </w:r>
            <w:r w:rsidR="00441788" w:rsidRPr="00434A65">
              <w:rPr>
                <w:noProof/>
                <w:webHidden/>
              </w:rPr>
            </w:r>
            <w:r w:rsidR="00441788" w:rsidRPr="00434A65">
              <w:rPr>
                <w:noProof/>
                <w:webHidden/>
              </w:rPr>
              <w:fldChar w:fldCharType="separate"/>
            </w:r>
            <w:r w:rsidR="000D6ABB">
              <w:rPr>
                <w:noProof/>
                <w:webHidden/>
              </w:rPr>
              <w:t>1</w:t>
            </w:r>
            <w:r w:rsidR="00441788" w:rsidRPr="00434A65">
              <w:rPr>
                <w:noProof/>
                <w:webHidden/>
              </w:rPr>
              <w:fldChar w:fldCharType="end"/>
            </w:r>
          </w:hyperlink>
        </w:p>
        <w:p w14:paraId="1EB56376" w14:textId="77777777" w:rsidR="00441788" w:rsidRPr="00434A65" w:rsidRDefault="00455260" w:rsidP="00834149">
          <w:pPr>
            <w:pStyle w:val="TOC1"/>
            <w:rPr>
              <w:noProof/>
            </w:rPr>
          </w:pPr>
          <w:hyperlink w:anchor="_Toc480207631" w:history="1">
            <w:r w:rsidR="00441788" w:rsidRPr="00834149">
              <w:rPr>
                <w:rStyle w:val="Hyperlink"/>
                <w:rFonts w:asciiTheme="minorHAnsi" w:hAnsiTheme="minorHAnsi" w:cs="Times New Roman"/>
                <w:noProof/>
                <w:sz w:val="22"/>
              </w:rPr>
              <w:t>2.2 Recent Economic Development and Outlook</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_Toc480207631 \h </w:instrText>
            </w:r>
            <w:r w:rsidR="00441788" w:rsidRPr="00434A65">
              <w:rPr>
                <w:noProof/>
                <w:webHidden/>
              </w:rPr>
            </w:r>
            <w:r w:rsidR="00441788" w:rsidRPr="00434A65">
              <w:rPr>
                <w:noProof/>
                <w:webHidden/>
              </w:rPr>
              <w:fldChar w:fldCharType="separate"/>
            </w:r>
            <w:r w:rsidR="000D6ABB">
              <w:rPr>
                <w:noProof/>
                <w:webHidden/>
              </w:rPr>
              <w:t>2</w:t>
            </w:r>
            <w:r w:rsidR="00441788" w:rsidRPr="00434A65">
              <w:rPr>
                <w:noProof/>
                <w:webHidden/>
              </w:rPr>
              <w:fldChar w:fldCharType="end"/>
            </w:r>
          </w:hyperlink>
        </w:p>
        <w:p w14:paraId="2FB55E24" w14:textId="77777777" w:rsidR="00441788" w:rsidRPr="00434A65" w:rsidRDefault="00455260" w:rsidP="00834149">
          <w:pPr>
            <w:pStyle w:val="TOC1"/>
            <w:rPr>
              <w:noProof/>
            </w:rPr>
          </w:pPr>
          <w:hyperlink w:anchor="_Toc480207632" w:history="1">
            <w:r w:rsidR="00441788" w:rsidRPr="00834149">
              <w:rPr>
                <w:rStyle w:val="Hyperlink"/>
                <w:rFonts w:asciiTheme="minorHAnsi" w:hAnsiTheme="minorHAnsi" w:cs="Times New Roman"/>
                <w:noProof/>
                <w:sz w:val="22"/>
              </w:rPr>
              <w:t>2.3 Poverty Profile</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_Toc480207632 \h </w:instrText>
            </w:r>
            <w:r w:rsidR="00441788" w:rsidRPr="00434A65">
              <w:rPr>
                <w:noProof/>
                <w:webHidden/>
              </w:rPr>
            </w:r>
            <w:r w:rsidR="00441788" w:rsidRPr="00434A65">
              <w:rPr>
                <w:noProof/>
                <w:webHidden/>
              </w:rPr>
              <w:fldChar w:fldCharType="separate"/>
            </w:r>
            <w:r w:rsidR="000D6ABB">
              <w:rPr>
                <w:noProof/>
                <w:webHidden/>
              </w:rPr>
              <w:t>6</w:t>
            </w:r>
            <w:r w:rsidR="00441788" w:rsidRPr="00434A65">
              <w:rPr>
                <w:noProof/>
                <w:webHidden/>
              </w:rPr>
              <w:fldChar w:fldCharType="end"/>
            </w:r>
          </w:hyperlink>
        </w:p>
        <w:p w14:paraId="5BE94E5D" w14:textId="77777777" w:rsidR="00441788" w:rsidRPr="00434A65" w:rsidRDefault="00455260" w:rsidP="00834149">
          <w:pPr>
            <w:pStyle w:val="TOC1"/>
            <w:rPr>
              <w:noProof/>
            </w:rPr>
          </w:pPr>
          <w:hyperlink w:anchor="_Toc480207633" w:history="1">
            <w:r w:rsidR="00441788" w:rsidRPr="00834149">
              <w:rPr>
                <w:rStyle w:val="Hyperlink"/>
                <w:rFonts w:asciiTheme="minorHAnsi" w:hAnsiTheme="minorHAnsi" w:cs="Times New Roman"/>
                <w:noProof/>
                <w:sz w:val="22"/>
              </w:rPr>
              <w:t>2.4 Challenges to Poverty Reduction and Shared Prosperity</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_Toc480207633 \h </w:instrText>
            </w:r>
            <w:r w:rsidR="00441788" w:rsidRPr="00434A65">
              <w:rPr>
                <w:noProof/>
                <w:webHidden/>
              </w:rPr>
            </w:r>
            <w:r w:rsidR="00441788" w:rsidRPr="00434A65">
              <w:rPr>
                <w:noProof/>
                <w:webHidden/>
              </w:rPr>
              <w:fldChar w:fldCharType="separate"/>
            </w:r>
            <w:r w:rsidR="000D6ABB">
              <w:rPr>
                <w:noProof/>
                <w:webHidden/>
              </w:rPr>
              <w:t>8</w:t>
            </w:r>
            <w:r w:rsidR="00441788" w:rsidRPr="00434A65">
              <w:rPr>
                <w:noProof/>
                <w:webHidden/>
              </w:rPr>
              <w:fldChar w:fldCharType="end"/>
            </w:r>
          </w:hyperlink>
        </w:p>
        <w:p w14:paraId="207023F9" w14:textId="7EC15EAE" w:rsidR="00441788" w:rsidRPr="00434A65" w:rsidRDefault="00455260" w:rsidP="00434A65">
          <w:pPr>
            <w:pStyle w:val="TOC1"/>
            <w:rPr>
              <w:noProof/>
            </w:rPr>
          </w:pPr>
          <w:hyperlink w:anchor="_Toc480207634" w:history="1">
            <w:r w:rsidR="00441788" w:rsidRPr="00834149">
              <w:rPr>
                <w:rStyle w:val="Hyperlink"/>
                <w:rFonts w:asciiTheme="minorHAnsi" w:hAnsiTheme="minorHAnsi"/>
                <w:b/>
                <w:bCs/>
                <w:noProof/>
                <w:sz w:val="22"/>
              </w:rPr>
              <w:t xml:space="preserve">III. </w:t>
            </w:r>
            <w:r w:rsidR="00441788" w:rsidRPr="00834149">
              <w:rPr>
                <w:rStyle w:val="Hyperlink"/>
                <w:rFonts w:asciiTheme="minorHAnsi" w:hAnsiTheme="minorHAnsi"/>
                <w:b/>
                <w:noProof/>
                <w:sz w:val="22"/>
              </w:rPr>
              <w:t>WORLD</w:t>
            </w:r>
            <w:r w:rsidR="00441788" w:rsidRPr="00834149">
              <w:rPr>
                <w:rStyle w:val="Hyperlink"/>
                <w:rFonts w:asciiTheme="minorHAnsi" w:hAnsiTheme="minorHAnsi"/>
                <w:b/>
                <w:bCs/>
                <w:noProof/>
                <w:sz w:val="22"/>
              </w:rPr>
              <w:t xml:space="preserve"> BANK GROUP PARTNERSHIP </w:t>
            </w:r>
            <w:r w:rsidR="00D4667B" w:rsidRPr="00834149">
              <w:rPr>
                <w:rStyle w:val="Hyperlink"/>
                <w:rFonts w:asciiTheme="minorHAnsi" w:hAnsiTheme="minorHAnsi"/>
                <w:b/>
                <w:bCs/>
                <w:noProof/>
                <w:sz w:val="22"/>
              </w:rPr>
              <w:t>FRAMEWORK</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_Toc480207634 \h </w:instrText>
            </w:r>
            <w:r w:rsidR="00441788" w:rsidRPr="00434A65">
              <w:rPr>
                <w:noProof/>
                <w:webHidden/>
              </w:rPr>
            </w:r>
            <w:r w:rsidR="00441788" w:rsidRPr="00434A65">
              <w:rPr>
                <w:noProof/>
                <w:webHidden/>
              </w:rPr>
              <w:fldChar w:fldCharType="separate"/>
            </w:r>
            <w:r w:rsidR="000D6ABB">
              <w:rPr>
                <w:noProof/>
                <w:webHidden/>
              </w:rPr>
              <w:t>10</w:t>
            </w:r>
            <w:r w:rsidR="00441788" w:rsidRPr="00434A65">
              <w:rPr>
                <w:noProof/>
                <w:webHidden/>
              </w:rPr>
              <w:fldChar w:fldCharType="end"/>
            </w:r>
          </w:hyperlink>
        </w:p>
        <w:p w14:paraId="0920C74D" w14:textId="77777777" w:rsidR="00441788" w:rsidRPr="00434A65" w:rsidRDefault="00455260" w:rsidP="00834149">
          <w:pPr>
            <w:pStyle w:val="TOC1"/>
            <w:rPr>
              <w:noProof/>
            </w:rPr>
          </w:pPr>
          <w:hyperlink w:anchor="_Toc480207635" w:history="1">
            <w:r w:rsidR="00441788" w:rsidRPr="00834149">
              <w:rPr>
                <w:rStyle w:val="Hyperlink"/>
                <w:rFonts w:asciiTheme="minorHAnsi" w:hAnsiTheme="minorHAnsi" w:cs="Times New Roman"/>
                <w:noProof/>
                <w:sz w:val="22"/>
              </w:rPr>
              <w:t>3.1 The Government’s National Development Plan</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_Toc480207635 \h </w:instrText>
            </w:r>
            <w:r w:rsidR="00441788" w:rsidRPr="00434A65">
              <w:rPr>
                <w:noProof/>
                <w:webHidden/>
              </w:rPr>
            </w:r>
            <w:r w:rsidR="00441788" w:rsidRPr="00434A65">
              <w:rPr>
                <w:noProof/>
                <w:webHidden/>
              </w:rPr>
              <w:fldChar w:fldCharType="separate"/>
            </w:r>
            <w:r w:rsidR="000D6ABB">
              <w:rPr>
                <w:noProof/>
                <w:webHidden/>
              </w:rPr>
              <w:t>10</w:t>
            </w:r>
            <w:r w:rsidR="00441788" w:rsidRPr="00434A65">
              <w:rPr>
                <w:noProof/>
                <w:webHidden/>
              </w:rPr>
              <w:fldChar w:fldCharType="end"/>
            </w:r>
          </w:hyperlink>
        </w:p>
        <w:p w14:paraId="498A7F28" w14:textId="77777777" w:rsidR="00441788" w:rsidRPr="00434A65" w:rsidRDefault="00455260" w:rsidP="00834149">
          <w:pPr>
            <w:pStyle w:val="TOC1"/>
            <w:rPr>
              <w:noProof/>
            </w:rPr>
          </w:pPr>
          <w:hyperlink w:anchor="_Toc480207636" w:history="1">
            <w:r w:rsidR="00441788" w:rsidRPr="00834149">
              <w:rPr>
                <w:rStyle w:val="Hyperlink"/>
                <w:rFonts w:asciiTheme="minorHAnsi" w:hAnsiTheme="minorHAnsi" w:cs="Times New Roman"/>
                <w:noProof/>
                <w:sz w:val="22"/>
              </w:rPr>
              <w:t>3.2 World Bank Group Country Partnership Framework</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_Toc480207636 \h </w:instrText>
            </w:r>
            <w:r w:rsidR="00441788" w:rsidRPr="00434A65">
              <w:rPr>
                <w:noProof/>
                <w:webHidden/>
              </w:rPr>
            </w:r>
            <w:r w:rsidR="00441788" w:rsidRPr="00434A65">
              <w:rPr>
                <w:noProof/>
                <w:webHidden/>
              </w:rPr>
              <w:fldChar w:fldCharType="separate"/>
            </w:r>
            <w:r w:rsidR="000D6ABB">
              <w:rPr>
                <w:noProof/>
                <w:webHidden/>
              </w:rPr>
              <w:t>11</w:t>
            </w:r>
            <w:r w:rsidR="00441788" w:rsidRPr="00434A65">
              <w:rPr>
                <w:noProof/>
                <w:webHidden/>
              </w:rPr>
              <w:fldChar w:fldCharType="end"/>
            </w:r>
          </w:hyperlink>
        </w:p>
        <w:p w14:paraId="613D057C" w14:textId="77777777" w:rsidR="00441788" w:rsidRPr="00434A65" w:rsidRDefault="00455260" w:rsidP="00834149">
          <w:pPr>
            <w:pStyle w:val="TOC1"/>
            <w:rPr>
              <w:noProof/>
            </w:rPr>
          </w:pPr>
          <w:hyperlink w:anchor="_Toc480207637" w:history="1">
            <w:r w:rsidR="00441788" w:rsidRPr="00834149">
              <w:rPr>
                <w:rStyle w:val="Hyperlink"/>
                <w:rFonts w:asciiTheme="minorHAnsi" w:hAnsiTheme="minorHAnsi" w:cs="Times New Roman"/>
                <w:noProof/>
                <w:sz w:val="22"/>
              </w:rPr>
              <w:t>3.2.1 Lessons Learned from the 2008 and 2012 Interim Strategy Notes</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_Toc480207637 \h </w:instrText>
            </w:r>
            <w:r w:rsidR="00441788" w:rsidRPr="00434A65">
              <w:rPr>
                <w:noProof/>
                <w:webHidden/>
              </w:rPr>
            </w:r>
            <w:r w:rsidR="00441788" w:rsidRPr="00434A65">
              <w:rPr>
                <w:noProof/>
                <w:webHidden/>
              </w:rPr>
              <w:fldChar w:fldCharType="separate"/>
            </w:r>
            <w:r w:rsidR="000D6ABB">
              <w:rPr>
                <w:noProof/>
                <w:webHidden/>
              </w:rPr>
              <w:t>11</w:t>
            </w:r>
            <w:r w:rsidR="00441788" w:rsidRPr="00434A65">
              <w:rPr>
                <w:noProof/>
                <w:webHidden/>
              </w:rPr>
              <w:fldChar w:fldCharType="end"/>
            </w:r>
          </w:hyperlink>
        </w:p>
        <w:p w14:paraId="7D084BB9" w14:textId="77777777" w:rsidR="00441788" w:rsidRPr="00434A65" w:rsidRDefault="00455260" w:rsidP="00834149">
          <w:pPr>
            <w:pStyle w:val="TOC1"/>
            <w:rPr>
              <w:noProof/>
            </w:rPr>
          </w:pPr>
          <w:hyperlink w:anchor="_Toc480207638" w:history="1">
            <w:r w:rsidR="00441788" w:rsidRPr="00834149">
              <w:rPr>
                <w:rStyle w:val="Hyperlink"/>
                <w:rFonts w:asciiTheme="minorHAnsi" w:hAnsiTheme="minorHAnsi" w:cs="Times New Roman"/>
                <w:noProof/>
                <w:sz w:val="22"/>
              </w:rPr>
              <w:t>3.2.2 Overview of Strategy</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_Toc480207638 \h </w:instrText>
            </w:r>
            <w:r w:rsidR="00441788" w:rsidRPr="00434A65">
              <w:rPr>
                <w:noProof/>
                <w:webHidden/>
              </w:rPr>
            </w:r>
            <w:r w:rsidR="00441788" w:rsidRPr="00434A65">
              <w:rPr>
                <w:noProof/>
                <w:webHidden/>
              </w:rPr>
              <w:fldChar w:fldCharType="separate"/>
            </w:r>
            <w:r w:rsidR="000D6ABB">
              <w:rPr>
                <w:noProof/>
                <w:webHidden/>
              </w:rPr>
              <w:t>13</w:t>
            </w:r>
            <w:r w:rsidR="00441788" w:rsidRPr="00434A65">
              <w:rPr>
                <w:noProof/>
                <w:webHidden/>
              </w:rPr>
              <w:fldChar w:fldCharType="end"/>
            </w:r>
          </w:hyperlink>
        </w:p>
        <w:p w14:paraId="424DE4B4" w14:textId="77777777" w:rsidR="00441788" w:rsidRPr="00434A65" w:rsidRDefault="00455260" w:rsidP="00834149">
          <w:pPr>
            <w:pStyle w:val="TOC1"/>
            <w:rPr>
              <w:noProof/>
            </w:rPr>
          </w:pPr>
          <w:hyperlink w:anchor="_Toc480207639" w:history="1">
            <w:r w:rsidR="00441788" w:rsidRPr="00834149">
              <w:rPr>
                <w:rStyle w:val="Hyperlink"/>
                <w:rFonts w:asciiTheme="minorHAnsi" w:hAnsiTheme="minorHAnsi" w:cs="Times New Roman"/>
                <w:noProof/>
                <w:sz w:val="22"/>
              </w:rPr>
              <w:t>3.2.3 Objectives and Planned Support</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_Toc480207639 \h </w:instrText>
            </w:r>
            <w:r w:rsidR="00441788" w:rsidRPr="00434A65">
              <w:rPr>
                <w:noProof/>
                <w:webHidden/>
              </w:rPr>
            </w:r>
            <w:r w:rsidR="00441788" w:rsidRPr="00434A65">
              <w:rPr>
                <w:noProof/>
                <w:webHidden/>
              </w:rPr>
              <w:fldChar w:fldCharType="separate"/>
            </w:r>
            <w:r w:rsidR="000D6ABB">
              <w:rPr>
                <w:noProof/>
                <w:webHidden/>
              </w:rPr>
              <w:t>17</w:t>
            </w:r>
            <w:r w:rsidR="00441788" w:rsidRPr="00434A65">
              <w:rPr>
                <w:noProof/>
                <w:webHidden/>
              </w:rPr>
              <w:fldChar w:fldCharType="end"/>
            </w:r>
          </w:hyperlink>
        </w:p>
        <w:p w14:paraId="414BA7D4" w14:textId="77777777" w:rsidR="00441788" w:rsidRPr="00434A65" w:rsidRDefault="00455260" w:rsidP="00834149">
          <w:pPr>
            <w:pStyle w:val="TOC1"/>
            <w:rPr>
              <w:noProof/>
            </w:rPr>
          </w:pPr>
          <w:hyperlink w:anchor="_Toc480207640" w:history="1">
            <w:r w:rsidR="00441788" w:rsidRPr="00834149">
              <w:rPr>
                <w:rStyle w:val="Hyperlink"/>
                <w:rFonts w:asciiTheme="minorHAnsi" w:hAnsiTheme="minorHAnsi" w:cs="Times New Roman"/>
                <w:noProof/>
                <w:sz w:val="22"/>
              </w:rPr>
              <w:t>3.3 Implementing the Country Partnership Framework</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_Toc480207640 \h </w:instrText>
            </w:r>
            <w:r w:rsidR="00441788" w:rsidRPr="00434A65">
              <w:rPr>
                <w:noProof/>
                <w:webHidden/>
              </w:rPr>
            </w:r>
            <w:r w:rsidR="00441788" w:rsidRPr="00434A65">
              <w:rPr>
                <w:noProof/>
                <w:webHidden/>
              </w:rPr>
              <w:fldChar w:fldCharType="separate"/>
            </w:r>
            <w:r w:rsidR="000D6ABB">
              <w:rPr>
                <w:noProof/>
                <w:webHidden/>
              </w:rPr>
              <w:t>30</w:t>
            </w:r>
            <w:r w:rsidR="00441788" w:rsidRPr="00434A65">
              <w:rPr>
                <w:noProof/>
                <w:webHidden/>
              </w:rPr>
              <w:fldChar w:fldCharType="end"/>
            </w:r>
          </w:hyperlink>
        </w:p>
        <w:p w14:paraId="0E725313" w14:textId="77777777" w:rsidR="00441788" w:rsidRPr="00434A65" w:rsidRDefault="00455260" w:rsidP="00834149">
          <w:pPr>
            <w:pStyle w:val="TOC1"/>
            <w:rPr>
              <w:noProof/>
            </w:rPr>
          </w:pPr>
          <w:hyperlink w:anchor="_Toc480207641" w:history="1">
            <w:r w:rsidR="00441788" w:rsidRPr="00834149">
              <w:rPr>
                <w:rStyle w:val="Hyperlink"/>
                <w:rFonts w:asciiTheme="minorHAnsi" w:hAnsiTheme="minorHAnsi" w:cs="Times New Roman"/>
                <w:noProof/>
                <w:sz w:val="22"/>
              </w:rPr>
              <w:t>3.3.1 IDA and Trust Fund Resources</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_Toc480207641 \h </w:instrText>
            </w:r>
            <w:r w:rsidR="00441788" w:rsidRPr="00434A65">
              <w:rPr>
                <w:noProof/>
                <w:webHidden/>
              </w:rPr>
            </w:r>
            <w:r w:rsidR="00441788" w:rsidRPr="00434A65">
              <w:rPr>
                <w:noProof/>
                <w:webHidden/>
              </w:rPr>
              <w:fldChar w:fldCharType="separate"/>
            </w:r>
            <w:r w:rsidR="000D6ABB">
              <w:rPr>
                <w:noProof/>
                <w:webHidden/>
              </w:rPr>
              <w:t>30</w:t>
            </w:r>
            <w:r w:rsidR="00441788" w:rsidRPr="00434A65">
              <w:rPr>
                <w:noProof/>
                <w:webHidden/>
              </w:rPr>
              <w:fldChar w:fldCharType="end"/>
            </w:r>
          </w:hyperlink>
        </w:p>
        <w:p w14:paraId="52E9B853" w14:textId="69892D19" w:rsidR="00441788" w:rsidRPr="00434A65" w:rsidRDefault="00455260" w:rsidP="00834149">
          <w:pPr>
            <w:pStyle w:val="TOC1"/>
            <w:rPr>
              <w:noProof/>
            </w:rPr>
          </w:pPr>
          <w:hyperlink w:anchor="_Toc480207642" w:history="1">
            <w:r w:rsidR="00441788" w:rsidRPr="00834149">
              <w:rPr>
                <w:rStyle w:val="Hyperlink"/>
                <w:rFonts w:asciiTheme="minorHAnsi" w:hAnsiTheme="minorHAnsi" w:cs="Times New Roman"/>
                <w:noProof/>
                <w:sz w:val="22"/>
              </w:rPr>
              <w:t>3.3.2</w:t>
            </w:r>
            <w:r w:rsidR="00A671F0">
              <w:rPr>
                <w:rStyle w:val="Hyperlink"/>
                <w:rFonts w:asciiTheme="minorHAnsi" w:hAnsiTheme="minorHAnsi" w:cs="Times New Roman"/>
                <w:noProof/>
                <w:sz w:val="22"/>
              </w:rPr>
              <w:t xml:space="preserve"> </w:t>
            </w:r>
            <w:r w:rsidR="00441788" w:rsidRPr="00834149">
              <w:rPr>
                <w:rStyle w:val="Hyperlink"/>
                <w:rFonts w:asciiTheme="minorHAnsi" w:hAnsiTheme="minorHAnsi" w:cs="Times New Roman"/>
                <w:noProof/>
                <w:sz w:val="22"/>
              </w:rPr>
              <w:t>Portfolio Status, Financial Management, and Procurement</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_Toc480207642 \h </w:instrText>
            </w:r>
            <w:r w:rsidR="00441788" w:rsidRPr="00434A65">
              <w:rPr>
                <w:noProof/>
                <w:webHidden/>
              </w:rPr>
            </w:r>
            <w:r w:rsidR="00441788" w:rsidRPr="00434A65">
              <w:rPr>
                <w:noProof/>
                <w:webHidden/>
              </w:rPr>
              <w:fldChar w:fldCharType="separate"/>
            </w:r>
            <w:r w:rsidR="000D6ABB">
              <w:rPr>
                <w:noProof/>
                <w:webHidden/>
              </w:rPr>
              <w:t>34</w:t>
            </w:r>
            <w:r w:rsidR="00441788" w:rsidRPr="00434A65">
              <w:rPr>
                <w:noProof/>
                <w:webHidden/>
              </w:rPr>
              <w:fldChar w:fldCharType="end"/>
            </w:r>
          </w:hyperlink>
        </w:p>
        <w:p w14:paraId="6B51195F" w14:textId="39040038" w:rsidR="00441788" w:rsidRPr="00434A65" w:rsidRDefault="00455260" w:rsidP="00834149">
          <w:pPr>
            <w:pStyle w:val="TOC1"/>
            <w:rPr>
              <w:noProof/>
            </w:rPr>
          </w:pPr>
          <w:hyperlink w:anchor="_Toc480207643" w:history="1">
            <w:r w:rsidR="00441788" w:rsidRPr="00834149">
              <w:rPr>
                <w:rStyle w:val="Hyperlink"/>
                <w:rFonts w:asciiTheme="minorHAnsi" w:hAnsiTheme="minorHAnsi" w:cs="Times New Roman"/>
                <w:noProof/>
                <w:sz w:val="22"/>
              </w:rPr>
              <w:t>3.3.4</w:t>
            </w:r>
            <w:r w:rsidR="00A671F0">
              <w:rPr>
                <w:noProof/>
              </w:rPr>
              <w:t xml:space="preserve"> </w:t>
            </w:r>
            <w:r w:rsidR="00441788" w:rsidRPr="00834149">
              <w:rPr>
                <w:rStyle w:val="Hyperlink"/>
                <w:rFonts w:asciiTheme="minorHAnsi" w:hAnsiTheme="minorHAnsi" w:cs="Times New Roman"/>
                <w:noProof/>
                <w:sz w:val="22"/>
              </w:rPr>
              <w:t>Monitoring and Evaluating CPF Performance and Results</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_Toc480207643 \h </w:instrText>
            </w:r>
            <w:r w:rsidR="00441788" w:rsidRPr="00434A65">
              <w:rPr>
                <w:noProof/>
                <w:webHidden/>
              </w:rPr>
            </w:r>
            <w:r w:rsidR="00441788" w:rsidRPr="00434A65">
              <w:rPr>
                <w:noProof/>
                <w:webHidden/>
              </w:rPr>
              <w:fldChar w:fldCharType="separate"/>
            </w:r>
            <w:r w:rsidR="000D6ABB">
              <w:rPr>
                <w:noProof/>
                <w:webHidden/>
              </w:rPr>
              <w:t>37</w:t>
            </w:r>
            <w:r w:rsidR="00441788" w:rsidRPr="00434A65">
              <w:rPr>
                <w:noProof/>
                <w:webHidden/>
              </w:rPr>
              <w:fldChar w:fldCharType="end"/>
            </w:r>
          </w:hyperlink>
        </w:p>
        <w:p w14:paraId="21474DD2" w14:textId="77777777" w:rsidR="00441788" w:rsidRPr="00434A65" w:rsidRDefault="00455260" w:rsidP="00434A65">
          <w:pPr>
            <w:pStyle w:val="TOC1"/>
            <w:rPr>
              <w:noProof/>
            </w:rPr>
          </w:pPr>
          <w:hyperlink w:anchor="_Toc480207644" w:history="1">
            <w:r w:rsidR="00441788" w:rsidRPr="00834149">
              <w:rPr>
                <w:rStyle w:val="Hyperlink"/>
                <w:rFonts w:asciiTheme="minorHAnsi" w:hAnsiTheme="minorHAnsi"/>
                <w:b/>
                <w:noProof/>
                <w:sz w:val="22"/>
              </w:rPr>
              <w:t>IV. MANAGING RISKS TO THE CPF PROGRAM</w:t>
            </w:r>
            <w:r w:rsidR="00441788" w:rsidRPr="00434A65">
              <w:rPr>
                <w:noProof/>
                <w:webHidden/>
              </w:rPr>
              <w:tab/>
            </w:r>
            <w:r w:rsidR="00441788" w:rsidRPr="00434A65">
              <w:rPr>
                <w:noProof/>
                <w:webHidden/>
              </w:rPr>
              <w:fldChar w:fldCharType="begin"/>
            </w:r>
            <w:r w:rsidR="00441788" w:rsidRPr="00434A65">
              <w:rPr>
                <w:noProof/>
                <w:webHidden/>
              </w:rPr>
              <w:instrText xml:space="preserve"> PAGEREF _Toc480207644 \h </w:instrText>
            </w:r>
            <w:r w:rsidR="00441788" w:rsidRPr="00434A65">
              <w:rPr>
                <w:noProof/>
                <w:webHidden/>
              </w:rPr>
            </w:r>
            <w:r w:rsidR="00441788" w:rsidRPr="00434A65">
              <w:rPr>
                <w:noProof/>
                <w:webHidden/>
              </w:rPr>
              <w:fldChar w:fldCharType="separate"/>
            </w:r>
            <w:r w:rsidR="000D6ABB">
              <w:rPr>
                <w:noProof/>
                <w:webHidden/>
              </w:rPr>
              <w:t>38</w:t>
            </w:r>
            <w:r w:rsidR="00441788" w:rsidRPr="00434A65">
              <w:rPr>
                <w:noProof/>
                <w:webHidden/>
              </w:rPr>
              <w:fldChar w:fldCharType="end"/>
            </w:r>
          </w:hyperlink>
        </w:p>
        <w:p w14:paraId="319AE71E" w14:textId="5FD6843E" w:rsidR="001B001A" w:rsidRPr="00834149" w:rsidRDefault="004D7D57" w:rsidP="00AF6F74">
          <w:pPr>
            <w:jc w:val="both"/>
            <w:rPr>
              <w:rFonts w:cs="Times New Roman"/>
            </w:rPr>
          </w:pPr>
          <w:r w:rsidRPr="00834149">
            <w:rPr>
              <w:rFonts w:cs="Times New Roman"/>
            </w:rPr>
            <w:fldChar w:fldCharType="end"/>
          </w:r>
        </w:p>
      </w:sdtContent>
    </w:sdt>
    <w:p w14:paraId="1EA143F7" w14:textId="77777777" w:rsidR="001B001A" w:rsidRPr="00834149" w:rsidRDefault="001B001A" w:rsidP="00FB3A20">
      <w:pPr>
        <w:widowControl w:val="0"/>
        <w:tabs>
          <w:tab w:val="left" w:pos="1704"/>
        </w:tabs>
        <w:autoSpaceDE w:val="0"/>
        <w:autoSpaceDN w:val="0"/>
        <w:adjustRightInd w:val="0"/>
        <w:jc w:val="both"/>
        <w:rPr>
          <w:rFonts w:cs="Times New Roman"/>
          <w:b/>
          <w:bCs/>
          <w:color w:val="000000"/>
        </w:rPr>
      </w:pPr>
      <w:r w:rsidRPr="00834149">
        <w:rPr>
          <w:rFonts w:cs="Times New Roman"/>
          <w:b/>
          <w:bCs/>
          <w:color w:val="000000"/>
        </w:rPr>
        <w:t>LIST OF TABLES</w:t>
      </w:r>
    </w:p>
    <w:p w14:paraId="69DC6BDD" w14:textId="77777777" w:rsidR="00441788" w:rsidRPr="00434A65" w:rsidRDefault="00590160">
      <w:pPr>
        <w:pStyle w:val="TableofFigures"/>
        <w:tabs>
          <w:tab w:val="right" w:leader="dot" w:pos="9350"/>
        </w:tabs>
        <w:rPr>
          <w:rFonts w:asciiTheme="minorHAnsi" w:hAnsiTheme="minorHAnsi"/>
          <w:noProof/>
          <w:sz w:val="22"/>
        </w:rPr>
      </w:pPr>
      <w:r w:rsidRPr="00834149">
        <w:rPr>
          <w:rFonts w:asciiTheme="minorHAnsi" w:hAnsiTheme="minorHAnsi" w:cs="Times New Roman"/>
          <w:b/>
          <w:bCs/>
          <w:color w:val="000000"/>
          <w:sz w:val="22"/>
        </w:rPr>
        <w:fldChar w:fldCharType="begin"/>
      </w:r>
      <w:r w:rsidRPr="00834149">
        <w:rPr>
          <w:rFonts w:asciiTheme="minorHAnsi" w:hAnsiTheme="minorHAnsi" w:cs="Times New Roman"/>
          <w:b/>
          <w:bCs/>
          <w:color w:val="000000"/>
          <w:sz w:val="22"/>
        </w:rPr>
        <w:instrText xml:space="preserve"> TOC \h \z \c "Table" </w:instrText>
      </w:r>
      <w:r w:rsidRPr="00834149">
        <w:rPr>
          <w:rFonts w:asciiTheme="minorHAnsi" w:hAnsiTheme="minorHAnsi" w:cs="Times New Roman"/>
          <w:b/>
          <w:bCs/>
          <w:color w:val="000000"/>
          <w:sz w:val="22"/>
        </w:rPr>
        <w:fldChar w:fldCharType="separate"/>
      </w:r>
      <w:hyperlink w:anchor="_Toc480207645" w:history="1">
        <w:r w:rsidR="00441788" w:rsidRPr="00834149">
          <w:rPr>
            <w:rStyle w:val="Hyperlink"/>
            <w:rFonts w:asciiTheme="minorHAnsi" w:hAnsiTheme="minorHAnsi" w:cs="Times New Roman"/>
            <w:noProof/>
            <w:sz w:val="22"/>
          </w:rPr>
          <w:t>Table 1: Selected Economic and Financial Indicators</w:t>
        </w:r>
        <w:r w:rsidR="00441788" w:rsidRPr="00834149">
          <w:rPr>
            <w:rFonts w:asciiTheme="minorHAnsi" w:hAnsiTheme="minorHAnsi"/>
            <w:noProof/>
            <w:webHidden/>
            <w:sz w:val="22"/>
          </w:rPr>
          <w:tab/>
        </w:r>
        <w:r w:rsidR="00441788" w:rsidRPr="00834149">
          <w:rPr>
            <w:rFonts w:asciiTheme="minorHAnsi" w:hAnsiTheme="minorHAnsi"/>
            <w:noProof/>
            <w:webHidden/>
            <w:sz w:val="22"/>
          </w:rPr>
          <w:fldChar w:fldCharType="begin"/>
        </w:r>
        <w:r w:rsidR="00441788" w:rsidRPr="00834149">
          <w:rPr>
            <w:rFonts w:asciiTheme="minorHAnsi" w:hAnsiTheme="minorHAnsi"/>
            <w:noProof/>
            <w:webHidden/>
            <w:sz w:val="22"/>
          </w:rPr>
          <w:instrText xml:space="preserve"> PAGEREF _Toc480207645 \h </w:instrText>
        </w:r>
        <w:r w:rsidR="00441788" w:rsidRPr="00834149">
          <w:rPr>
            <w:rFonts w:asciiTheme="minorHAnsi" w:hAnsiTheme="minorHAnsi"/>
            <w:noProof/>
            <w:webHidden/>
            <w:sz w:val="22"/>
          </w:rPr>
        </w:r>
        <w:r w:rsidR="00441788" w:rsidRPr="00834149">
          <w:rPr>
            <w:rFonts w:asciiTheme="minorHAnsi" w:hAnsiTheme="minorHAnsi"/>
            <w:noProof/>
            <w:webHidden/>
            <w:sz w:val="22"/>
          </w:rPr>
          <w:fldChar w:fldCharType="separate"/>
        </w:r>
        <w:r w:rsidR="000D6ABB">
          <w:rPr>
            <w:rFonts w:asciiTheme="minorHAnsi" w:hAnsiTheme="minorHAnsi"/>
            <w:noProof/>
            <w:webHidden/>
            <w:sz w:val="22"/>
          </w:rPr>
          <w:t>5</w:t>
        </w:r>
        <w:r w:rsidR="00441788" w:rsidRPr="00834149">
          <w:rPr>
            <w:rFonts w:asciiTheme="minorHAnsi" w:hAnsiTheme="minorHAnsi"/>
            <w:noProof/>
            <w:webHidden/>
            <w:sz w:val="22"/>
          </w:rPr>
          <w:fldChar w:fldCharType="end"/>
        </w:r>
      </w:hyperlink>
    </w:p>
    <w:p w14:paraId="4822F88B" w14:textId="77777777" w:rsidR="00441788" w:rsidRPr="00434A65" w:rsidRDefault="00455260">
      <w:pPr>
        <w:pStyle w:val="TableofFigures"/>
        <w:tabs>
          <w:tab w:val="right" w:leader="dot" w:pos="9350"/>
        </w:tabs>
        <w:rPr>
          <w:rFonts w:asciiTheme="minorHAnsi" w:hAnsiTheme="minorHAnsi"/>
          <w:noProof/>
          <w:sz w:val="22"/>
        </w:rPr>
      </w:pPr>
      <w:hyperlink w:anchor="_Toc480207646" w:history="1">
        <w:r w:rsidR="00441788" w:rsidRPr="00834149">
          <w:rPr>
            <w:rStyle w:val="Hyperlink"/>
            <w:rFonts w:asciiTheme="minorHAnsi" w:hAnsiTheme="minorHAnsi" w:cs="Times New Roman"/>
            <w:noProof/>
            <w:sz w:val="22"/>
          </w:rPr>
          <w:t>Table 2</w:t>
        </w:r>
        <w:r w:rsidR="00441788" w:rsidRPr="00834149">
          <w:rPr>
            <w:rStyle w:val="Hyperlink"/>
            <w:rFonts w:asciiTheme="minorHAnsi" w:hAnsiTheme="minorHAnsi" w:cs="Times New Roman"/>
            <w:iCs/>
            <w:noProof/>
            <w:sz w:val="22"/>
          </w:rPr>
          <w:t>: FY17 IDA Lending Program</w:t>
        </w:r>
        <w:r w:rsidR="00441788" w:rsidRPr="00834149">
          <w:rPr>
            <w:rFonts w:asciiTheme="minorHAnsi" w:hAnsiTheme="minorHAnsi"/>
            <w:noProof/>
            <w:webHidden/>
            <w:sz w:val="22"/>
          </w:rPr>
          <w:tab/>
        </w:r>
        <w:r w:rsidR="00441788" w:rsidRPr="00834149">
          <w:rPr>
            <w:rFonts w:asciiTheme="minorHAnsi" w:hAnsiTheme="minorHAnsi"/>
            <w:noProof/>
            <w:webHidden/>
            <w:sz w:val="22"/>
          </w:rPr>
          <w:fldChar w:fldCharType="begin"/>
        </w:r>
        <w:r w:rsidR="00441788" w:rsidRPr="00834149">
          <w:rPr>
            <w:rFonts w:asciiTheme="minorHAnsi" w:hAnsiTheme="minorHAnsi"/>
            <w:noProof/>
            <w:webHidden/>
            <w:sz w:val="22"/>
          </w:rPr>
          <w:instrText xml:space="preserve"> PAGEREF _Toc480207646 \h </w:instrText>
        </w:r>
        <w:r w:rsidR="00441788" w:rsidRPr="00834149">
          <w:rPr>
            <w:rFonts w:asciiTheme="minorHAnsi" w:hAnsiTheme="minorHAnsi"/>
            <w:noProof/>
            <w:webHidden/>
            <w:sz w:val="22"/>
          </w:rPr>
        </w:r>
        <w:r w:rsidR="00441788" w:rsidRPr="00834149">
          <w:rPr>
            <w:rFonts w:asciiTheme="minorHAnsi" w:hAnsiTheme="minorHAnsi"/>
            <w:noProof/>
            <w:webHidden/>
            <w:sz w:val="22"/>
          </w:rPr>
          <w:fldChar w:fldCharType="separate"/>
        </w:r>
        <w:r w:rsidR="000D6ABB">
          <w:rPr>
            <w:rFonts w:asciiTheme="minorHAnsi" w:hAnsiTheme="minorHAnsi"/>
            <w:noProof/>
            <w:webHidden/>
            <w:sz w:val="22"/>
          </w:rPr>
          <w:t>31</w:t>
        </w:r>
        <w:r w:rsidR="00441788" w:rsidRPr="00834149">
          <w:rPr>
            <w:rFonts w:asciiTheme="minorHAnsi" w:hAnsiTheme="minorHAnsi"/>
            <w:noProof/>
            <w:webHidden/>
            <w:sz w:val="22"/>
          </w:rPr>
          <w:fldChar w:fldCharType="end"/>
        </w:r>
      </w:hyperlink>
    </w:p>
    <w:p w14:paraId="00A5BE9F" w14:textId="77777777" w:rsidR="00441788" w:rsidRPr="00434A65" w:rsidRDefault="00455260">
      <w:pPr>
        <w:pStyle w:val="TableofFigures"/>
        <w:tabs>
          <w:tab w:val="right" w:leader="dot" w:pos="9350"/>
        </w:tabs>
        <w:rPr>
          <w:rFonts w:asciiTheme="minorHAnsi" w:hAnsiTheme="minorHAnsi"/>
          <w:noProof/>
          <w:sz w:val="22"/>
        </w:rPr>
      </w:pPr>
      <w:hyperlink w:anchor="_Toc480207647" w:history="1">
        <w:r w:rsidR="00441788" w:rsidRPr="00834149">
          <w:rPr>
            <w:rStyle w:val="Hyperlink"/>
            <w:rFonts w:asciiTheme="minorHAnsi" w:hAnsiTheme="minorHAnsi" w:cs="Times New Roman"/>
            <w:noProof/>
            <w:sz w:val="22"/>
          </w:rPr>
          <w:t>Table 3</w:t>
        </w:r>
        <w:r w:rsidR="00441788" w:rsidRPr="00834149">
          <w:rPr>
            <w:rStyle w:val="Hyperlink"/>
            <w:rFonts w:asciiTheme="minorHAnsi" w:hAnsiTheme="minorHAnsi" w:cs="Times New Roman"/>
            <w:iCs/>
            <w:noProof/>
            <w:sz w:val="22"/>
          </w:rPr>
          <w:t>: Indicative IDA18 Financing Program</w:t>
        </w:r>
        <w:r w:rsidR="00441788" w:rsidRPr="00834149">
          <w:rPr>
            <w:rFonts w:asciiTheme="minorHAnsi" w:hAnsiTheme="minorHAnsi"/>
            <w:noProof/>
            <w:webHidden/>
            <w:sz w:val="22"/>
          </w:rPr>
          <w:tab/>
        </w:r>
        <w:r w:rsidR="00441788" w:rsidRPr="00834149">
          <w:rPr>
            <w:rFonts w:asciiTheme="minorHAnsi" w:hAnsiTheme="minorHAnsi"/>
            <w:noProof/>
            <w:webHidden/>
            <w:sz w:val="22"/>
          </w:rPr>
          <w:fldChar w:fldCharType="begin"/>
        </w:r>
        <w:r w:rsidR="00441788" w:rsidRPr="00834149">
          <w:rPr>
            <w:rFonts w:asciiTheme="minorHAnsi" w:hAnsiTheme="minorHAnsi"/>
            <w:noProof/>
            <w:webHidden/>
            <w:sz w:val="22"/>
          </w:rPr>
          <w:instrText xml:space="preserve"> PAGEREF _Toc480207647 \h </w:instrText>
        </w:r>
        <w:r w:rsidR="00441788" w:rsidRPr="00834149">
          <w:rPr>
            <w:rFonts w:asciiTheme="minorHAnsi" w:hAnsiTheme="minorHAnsi"/>
            <w:noProof/>
            <w:webHidden/>
            <w:sz w:val="22"/>
          </w:rPr>
        </w:r>
        <w:r w:rsidR="00441788" w:rsidRPr="00834149">
          <w:rPr>
            <w:rFonts w:asciiTheme="minorHAnsi" w:hAnsiTheme="minorHAnsi"/>
            <w:noProof/>
            <w:webHidden/>
            <w:sz w:val="22"/>
          </w:rPr>
          <w:fldChar w:fldCharType="separate"/>
        </w:r>
        <w:r w:rsidR="000D6ABB">
          <w:rPr>
            <w:rFonts w:asciiTheme="minorHAnsi" w:hAnsiTheme="minorHAnsi"/>
            <w:noProof/>
            <w:webHidden/>
            <w:sz w:val="22"/>
          </w:rPr>
          <w:t>32</w:t>
        </w:r>
        <w:r w:rsidR="00441788" w:rsidRPr="00834149">
          <w:rPr>
            <w:rFonts w:asciiTheme="minorHAnsi" w:hAnsiTheme="minorHAnsi"/>
            <w:noProof/>
            <w:webHidden/>
            <w:sz w:val="22"/>
          </w:rPr>
          <w:fldChar w:fldCharType="end"/>
        </w:r>
      </w:hyperlink>
    </w:p>
    <w:p w14:paraId="718E903B" w14:textId="77777777" w:rsidR="00441788" w:rsidRPr="00434A65" w:rsidRDefault="00455260">
      <w:pPr>
        <w:pStyle w:val="TableofFigures"/>
        <w:tabs>
          <w:tab w:val="right" w:leader="dot" w:pos="9350"/>
        </w:tabs>
        <w:rPr>
          <w:rFonts w:asciiTheme="minorHAnsi" w:hAnsiTheme="minorHAnsi"/>
          <w:noProof/>
          <w:sz w:val="22"/>
        </w:rPr>
      </w:pPr>
      <w:hyperlink w:anchor="_Toc480207648" w:history="1">
        <w:r w:rsidR="00441788" w:rsidRPr="00834149">
          <w:rPr>
            <w:rStyle w:val="Hyperlink"/>
            <w:rFonts w:asciiTheme="minorHAnsi" w:hAnsiTheme="minorHAnsi" w:cs="Times New Roman"/>
            <w:noProof/>
            <w:sz w:val="22"/>
          </w:rPr>
          <w:t>Table 4: Proposed Advisory Services and Analytics</w:t>
        </w:r>
        <w:r w:rsidR="00441788" w:rsidRPr="00834149">
          <w:rPr>
            <w:rFonts w:asciiTheme="minorHAnsi" w:hAnsiTheme="minorHAnsi"/>
            <w:noProof/>
            <w:webHidden/>
            <w:sz w:val="22"/>
          </w:rPr>
          <w:tab/>
        </w:r>
        <w:r w:rsidR="00441788" w:rsidRPr="00834149">
          <w:rPr>
            <w:rFonts w:asciiTheme="minorHAnsi" w:hAnsiTheme="minorHAnsi"/>
            <w:noProof/>
            <w:webHidden/>
            <w:sz w:val="22"/>
          </w:rPr>
          <w:fldChar w:fldCharType="begin"/>
        </w:r>
        <w:r w:rsidR="00441788" w:rsidRPr="00834149">
          <w:rPr>
            <w:rFonts w:asciiTheme="minorHAnsi" w:hAnsiTheme="minorHAnsi"/>
            <w:noProof/>
            <w:webHidden/>
            <w:sz w:val="22"/>
          </w:rPr>
          <w:instrText xml:space="preserve"> PAGEREF _Toc480207648 \h </w:instrText>
        </w:r>
        <w:r w:rsidR="00441788" w:rsidRPr="00834149">
          <w:rPr>
            <w:rFonts w:asciiTheme="minorHAnsi" w:hAnsiTheme="minorHAnsi"/>
            <w:noProof/>
            <w:webHidden/>
            <w:sz w:val="22"/>
          </w:rPr>
        </w:r>
        <w:r w:rsidR="00441788" w:rsidRPr="00834149">
          <w:rPr>
            <w:rFonts w:asciiTheme="minorHAnsi" w:hAnsiTheme="minorHAnsi"/>
            <w:noProof/>
            <w:webHidden/>
            <w:sz w:val="22"/>
          </w:rPr>
          <w:fldChar w:fldCharType="separate"/>
        </w:r>
        <w:r w:rsidR="000D6ABB">
          <w:rPr>
            <w:rFonts w:asciiTheme="minorHAnsi" w:hAnsiTheme="minorHAnsi"/>
            <w:noProof/>
            <w:webHidden/>
            <w:sz w:val="22"/>
          </w:rPr>
          <w:t>32</w:t>
        </w:r>
        <w:r w:rsidR="00441788" w:rsidRPr="00834149">
          <w:rPr>
            <w:rFonts w:asciiTheme="minorHAnsi" w:hAnsiTheme="minorHAnsi"/>
            <w:noProof/>
            <w:webHidden/>
            <w:sz w:val="22"/>
          </w:rPr>
          <w:fldChar w:fldCharType="end"/>
        </w:r>
      </w:hyperlink>
    </w:p>
    <w:p w14:paraId="054029AA" w14:textId="77777777" w:rsidR="00441788" w:rsidRPr="00434A65" w:rsidRDefault="00455260">
      <w:pPr>
        <w:pStyle w:val="TableofFigures"/>
        <w:tabs>
          <w:tab w:val="right" w:leader="dot" w:pos="9350"/>
        </w:tabs>
        <w:rPr>
          <w:rFonts w:asciiTheme="minorHAnsi" w:hAnsiTheme="minorHAnsi"/>
          <w:noProof/>
          <w:sz w:val="22"/>
        </w:rPr>
      </w:pPr>
      <w:hyperlink w:anchor="_Toc480207649" w:history="1">
        <w:r w:rsidR="00441788" w:rsidRPr="00834149">
          <w:rPr>
            <w:rStyle w:val="Hyperlink"/>
            <w:rFonts w:asciiTheme="minorHAnsi" w:hAnsiTheme="minorHAnsi" w:cs="Times New Roman"/>
            <w:noProof/>
            <w:sz w:val="22"/>
          </w:rPr>
          <w:t>Table 5: Trust Fund and TA administered by the World Bank</w:t>
        </w:r>
        <w:r w:rsidR="00441788" w:rsidRPr="00834149">
          <w:rPr>
            <w:rFonts w:asciiTheme="minorHAnsi" w:hAnsiTheme="minorHAnsi"/>
            <w:noProof/>
            <w:webHidden/>
            <w:sz w:val="22"/>
          </w:rPr>
          <w:tab/>
        </w:r>
        <w:r w:rsidR="00441788" w:rsidRPr="00834149">
          <w:rPr>
            <w:rFonts w:asciiTheme="minorHAnsi" w:hAnsiTheme="minorHAnsi"/>
            <w:noProof/>
            <w:webHidden/>
            <w:sz w:val="22"/>
          </w:rPr>
          <w:fldChar w:fldCharType="begin"/>
        </w:r>
        <w:r w:rsidR="00441788" w:rsidRPr="00834149">
          <w:rPr>
            <w:rFonts w:asciiTheme="minorHAnsi" w:hAnsiTheme="minorHAnsi"/>
            <w:noProof/>
            <w:webHidden/>
            <w:sz w:val="22"/>
          </w:rPr>
          <w:instrText xml:space="preserve"> PAGEREF _Toc480207649 \h </w:instrText>
        </w:r>
        <w:r w:rsidR="00441788" w:rsidRPr="00834149">
          <w:rPr>
            <w:rFonts w:asciiTheme="minorHAnsi" w:hAnsiTheme="minorHAnsi"/>
            <w:noProof/>
            <w:webHidden/>
            <w:sz w:val="22"/>
          </w:rPr>
        </w:r>
        <w:r w:rsidR="00441788" w:rsidRPr="00834149">
          <w:rPr>
            <w:rFonts w:asciiTheme="minorHAnsi" w:hAnsiTheme="minorHAnsi"/>
            <w:noProof/>
            <w:webHidden/>
            <w:sz w:val="22"/>
          </w:rPr>
          <w:fldChar w:fldCharType="separate"/>
        </w:r>
        <w:r w:rsidR="000D6ABB">
          <w:rPr>
            <w:rFonts w:asciiTheme="minorHAnsi" w:hAnsiTheme="minorHAnsi"/>
            <w:noProof/>
            <w:webHidden/>
            <w:sz w:val="22"/>
          </w:rPr>
          <w:t>34</w:t>
        </w:r>
        <w:r w:rsidR="00441788" w:rsidRPr="00834149">
          <w:rPr>
            <w:rFonts w:asciiTheme="minorHAnsi" w:hAnsiTheme="minorHAnsi"/>
            <w:noProof/>
            <w:webHidden/>
            <w:sz w:val="22"/>
          </w:rPr>
          <w:fldChar w:fldCharType="end"/>
        </w:r>
      </w:hyperlink>
    </w:p>
    <w:p w14:paraId="290D65E2" w14:textId="3F3C5ED4" w:rsidR="001B001A" w:rsidRPr="00834149" w:rsidRDefault="00590160" w:rsidP="00FB3A20">
      <w:pPr>
        <w:widowControl w:val="0"/>
        <w:tabs>
          <w:tab w:val="left" w:pos="1704"/>
        </w:tabs>
        <w:autoSpaceDE w:val="0"/>
        <w:autoSpaceDN w:val="0"/>
        <w:adjustRightInd w:val="0"/>
        <w:jc w:val="both"/>
        <w:rPr>
          <w:rFonts w:cs="Times New Roman"/>
          <w:b/>
          <w:bCs/>
          <w:color w:val="000000"/>
        </w:rPr>
      </w:pPr>
      <w:r w:rsidRPr="00834149">
        <w:rPr>
          <w:rFonts w:cs="Times New Roman"/>
          <w:b/>
          <w:bCs/>
          <w:color w:val="000000"/>
        </w:rPr>
        <w:fldChar w:fldCharType="end"/>
      </w:r>
    </w:p>
    <w:p w14:paraId="6CA8CE4D" w14:textId="378FCD53" w:rsidR="00D54B57" w:rsidRPr="00834149" w:rsidRDefault="00D54B57" w:rsidP="00FB3A20">
      <w:pPr>
        <w:widowControl w:val="0"/>
        <w:tabs>
          <w:tab w:val="left" w:pos="1704"/>
        </w:tabs>
        <w:autoSpaceDE w:val="0"/>
        <w:autoSpaceDN w:val="0"/>
        <w:adjustRightInd w:val="0"/>
        <w:jc w:val="both"/>
        <w:rPr>
          <w:rFonts w:cs="Times New Roman"/>
          <w:b/>
          <w:bCs/>
          <w:color w:val="000000"/>
        </w:rPr>
      </w:pPr>
      <w:r w:rsidRPr="00834149">
        <w:rPr>
          <w:rFonts w:cs="Times New Roman"/>
          <w:b/>
          <w:bCs/>
          <w:color w:val="000000"/>
        </w:rPr>
        <w:t>LIST OF FIGURES</w:t>
      </w:r>
    </w:p>
    <w:p w14:paraId="7A2D450A" w14:textId="77777777" w:rsidR="00441788" w:rsidRPr="00434A65" w:rsidRDefault="00D54B57">
      <w:pPr>
        <w:pStyle w:val="TableofFigures"/>
        <w:tabs>
          <w:tab w:val="right" w:pos="9350"/>
        </w:tabs>
        <w:rPr>
          <w:rFonts w:asciiTheme="minorHAnsi" w:hAnsiTheme="minorHAnsi"/>
          <w:noProof/>
          <w:sz w:val="22"/>
        </w:rPr>
      </w:pPr>
      <w:r w:rsidRPr="00834149">
        <w:rPr>
          <w:rFonts w:asciiTheme="minorHAnsi" w:hAnsiTheme="minorHAnsi" w:cs="Times New Roman"/>
          <w:b/>
          <w:bCs/>
          <w:color w:val="000000"/>
          <w:sz w:val="22"/>
          <w:highlight w:val="yellow"/>
        </w:rPr>
        <w:fldChar w:fldCharType="begin"/>
      </w:r>
      <w:r w:rsidRPr="00834149">
        <w:rPr>
          <w:rFonts w:asciiTheme="minorHAnsi" w:hAnsiTheme="minorHAnsi" w:cs="Times New Roman"/>
          <w:b/>
          <w:bCs/>
          <w:color w:val="000000"/>
          <w:sz w:val="22"/>
          <w:highlight w:val="yellow"/>
        </w:rPr>
        <w:instrText xml:space="preserve"> TOC \h \z \c "Figure" </w:instrText>
      </w:r>
      <w:r w:rsidRPr="00834149">
        <w:rPr>
          <w:rFonts w:asciiTheme="minorHAnsi" w:hAnsiTheme="minorHAnsi" w:cs="Times New Roman"/>
          <w:b/>
          <w:bCs/>
          <w:color w:val="000000"/>
          <w:sz w:val="22"/>
          <w:highlight w:val="yellow"/>
        </w:rPr>
        <w:fldChar w:fldCharType="separate"/>
      </w:r>
      <w:hyperlink w:anchor="_Toc480207650" w:history="1">
        <w:r w:rsidR="00441788" w:rsidRPr="00834149">
          <w:rPr>
            <w:rStyle w:val="Hyperlink"/>
            <w:rFonts w:asciiTheme="minorHAnsi" w:hAnsiTheme="minorHAnsi" w:cs="Times New Roman"/>
            <w:noProof/>
            <w:sz w:val="22"/>
          </w:rPr>
          <w:t>Figure 1: Average Per-Capita Income in Togo, 1961–2013</w:t>
        </w:r>
        <w:r w:rsidR="00441788" w:rsidRPr="00834149">
          <w:rPr>
            <w:rFonts w:asciiTheme="minorHAnsi" w:hAnsiTheme="minorHAnsi"/>
            <w:noProof/>
            <w:webHidden/>
            <w:sz w:val="22"/>
          </w:rPr>
          <w:tab/>
        </w:r>
        <w:r w:rsidR="00441788" w:rsidRPr="00834149">
          <w:rPr>
            <w:rFonts w:asciiTheme="minorHAnsi" w:hAnsiTheme="minorHAnsi"/>
            <w:noProof/>
            <w:webHidden/>
            <w:sz w:val="22"/>
          </w:rPr>
          <w:fldChar w:fldCharType="begin"/>
        </w:r>
        <w:r w:rsidR="00441788" w:rsidRPr="00834149">
          <w:rPr>
            <w:rFonts w:asciiTheme="minorHAnsi" w:hAnsiTheme="minorHAnsi"/>
            <w:noProof/>
            <w:webHidden/>
            <w:sz w:val="22"/>
          </w:rPr>
          <w:instrText xml:space="preserve"> PAGEREF _Toc480207650 \h </w:instrText>
        </w:r>
        <w:r w:rsidR="00441788" w:rsidRPr="00834149">
          <w:rPr>
            <w:rFonts w:asciiTheme="minorHAnsi" w:hAnsiTheme="minorHAnsi"/>
            <w:noProof/>
            <w:webHidden/>
            <w:sz w:val="22"/>
          </w:rPr>
        </w:r>
        <w:r w:rsidR="00441788" w:rsidRPr="00834149">
          <w:rPr>
            <w:rFonts w:asciiTheme="minorHAnsi" w:hAnsiTheme="minorHAnsi"/>
            <w:noProof/>
            <w:webHidden/>
            <w:sz w:val="22"/>
          </w:rPr>
          <w:fldChar w:fldCharType="separate"/>
        </w:r>
        <w:r w:rsidR="000D6ABB">
          <w:rPr>
            <w:rFonts w:asciiTheme="minorHAnsi" w:hAnsiTheme="minorHAnsi"/>
            <w:noProof/>
            <w:webHidden/>
            <w:sz w:val="22"/>
          </w:rPr>
          <w:t>6</w:t>
        </w:r>
        <w:r w:rsidR="00441788" w:rsidRPr="00834149">
          <w:rPr>
            <w:rFonts w:asciiTheme="minorHAnsi" w:hAnsiTheme="minorHAnsi"/>
            <w:noProof/>
            <w:webHidden/>
            <w:sz w:val="22"/>
          </w:rPr>
          <w:fldChar w:fldCharType="end"/>
        </w:r>
      </w:hyperlink>
    </w:p>
    <w:p w14:paraId="35BE9CE6" w14:textId="77777777" w:rsidR="00441788" w:rsidRPr="00434A65" w:rsidRDefault="00455260">
      <w:pPr>
        <w:pStyle w:val="TableofFigures"/>
        <w:tabs>
          <w:tab w:val="right" w:pos="9350"/>
        </w:tabs>
        <w:rPr>
          <w:rFonts w:asciiTheme="minorHAnsi" w:hAnsiTheme="minorHAnsi"/>
          <w:noProof/>
          <w:sz w:val="22"/>
        </w:rPr>
      </w:pPr>
      <w:hyperlink r:id="rId10" w:anchor="_Toc480207651" w:history="1">
        <w:r w:rsidR="00441788" w:rsidRPr="00834149">
          <w:rPr>
            <w:rStyle w:val="Hyperlink"/>
            <w:rFonts w:asciiTheme="minorHAnsi" w:hAnsiTheme="minorHAnsi" w:cs="Times New Roman"/>
            <w:noProof/>
            <w:sz w:val="22"/>
          </w:rPr>
          <w:t>Figure 2: Growth Rate and Real GDP per Capita</w:t>
        </w:r>
        <w:r w:rsidR="00441788" w:rsidRPr="00834149">
          <w:rPr>
            <w:rFonts w:asciiTheme="minorHAnsi" w:hAnsiTheme="minorHAnsi"/>
            <w:noProof/>
            <w:webHidden/>
            <w:sz w:val="22"/>
          </w:rPr>
          <w:tab/>
        </w:r>
        <w:r w:rsidR="00441788" w:rsidRPr="00834149">
          <w:rPr>
            <w:rFonts w:asciiTheme="minorHAnsi" w:hAnsiTheme="minorHAnsi"/>
            <w:noProof/>
            <w:webHidden/>
            <w:sz w:val="22"/>
          </w:rPr>
          <w:fldChar w:fldCharType="begin"/>
        </w:r>
        <w:r w:rsidR="00441788" w:rsidRPr="00834149">
          <w:rPr>
            <w:rFonts w:asciiTheme="minorHAnsi" w:hAnsiTheme="minorHAnsi"/>
            <w:noProof/>
            <w:webHidden/>
            <w:sz w:val="22"/>
          </w:rPr>
          <w:instrText xml:space="preserve"> PAGEREF _Toc480207651 \h </w:instrText>
        </w:r>
        <w:r w:rsidR="00441788" w:rsidRPr="00834149">
          <w:rPr>
            <w:rFonts w:asciiTheme="minorHAnsi" w:hAnsiTheme="minorHAnsi"/>
            <w:noProof/>
            <w:webHidden/>
            <w:sz w:val="22"/>
          </w:rPr>
        </w:r>
        <w:r w:rsidR="00441788" w:rsidRPr="00834149">
          <w:rPr>
            <w:rFonts w:asciiTheme="minorHAnsi" w:hAnsiTheme="minorHAnsi"/>
            <w:noProof/>
            <w:webHidden/>
            <w:sz w:val="22"/>
          </w:rPr>
          <w:fldChar w:fldCharType="separate"/>
        </w:r>
        <w:r w:rsidR="000D6ABB">
          <w:rPr>
            <w:rFonts w:asciiTheme="minorHAnsi" w:hAnsiTheme="minorHAnsi"/>
            <w:noProof/>
            <w:webHidden/>
            <w:sz w:val="22"/>
          </w:rPr>
          <w:t>7</w:t>
        </w:r>
        <w:r w:rsidR="00441788" w:rsidRPr="00834149">
          <w:rPr>
            <w:rFonts w:asciiTheme="minorHAnsi" w:hAnsiTheme="minorHAnsi"/>
            <w:noProof/>
            <w:webHidden/>
            <w:sz w:val="22"/>
          </w:rPr>
          <w:fldChar w:fldCharType="end"/>
        </w:r>
      </w:hyperlink>
    </w:p>
    <w:p w14:paraId="6C95FE97" w14:textId="77777777" w:rsidR="00441788" w:rsidRPr="00434A65" w:rsidRDefault="00455260">
      <w:pPr>
        <w:pStyle w:val="TableofFigures"/>
        <w:tabs>
          <w:tab w:val="right" w:pos="9350"/>
        </w:tabs>
        <w:rPr>
          <w:rFonts w:asciiTheme="minorHAnsi" w:hAnsiTheme="minorHAnsi"/>
          <w:noProof/>
          <w:sz w:val="22"/>
        </w:rPr>
      </w:pPr>
      <w:hyperlink w:anchor="_Toc480207652" w:history="1">
        <w:r w:rsidR="00441788" w:rsidRPr="00834149">
          <w:rPr>
            <w:rStyle w:val="Hyperlink"/>
            <w:rFonts w:asciiTheme="minorHAnsi" w:hAnsiTheme="minorHAnsi" w:cs="Times New Roman"/>
            <w:noProof/>
            <w:sz w:val="22"/>
          </w:rPr>
          <w:t>Figure 3: Access to Health Services in Togo</w:t>
        </w:r>
        <w:r w:rsidR="00441788" w:rsidRPr="00834149">
          <w:rPr>
            <w:rFonts w:asciiTheme="minorHAnsi" w:hAnsiTheme="minorHAnsi"/>
            <w:noProof/>
            <w:webHidden/>
            <w:sz w:val="22"/>
          </w:rPr>
          <w:tab/>
        </w:r>
        <w:r w:rsidR="00441788" w:rsidRPr="00834149">
          <w:rPr>
            <w:rFonts w:asciiTheme="minorHAnsi" w:hAnsiTheme="minorHAnsi"/>
            <w:noProof/>
            <w:webHidden/>
            <w:sz w:val="22"/>
          </w:rPr>
          <w:fldChar w:fldCharType="begin"/>
        </w:r>
        <w:r w:rsidR="00441788" w:rsidRPr="00834149">
          <w:rPr>
            <w:rFonts w:asciiTheme="minorHAnsi" w:hAnsiTheme="minorHAnsi"/>
            <w:noProof/>
            <w:webHidden/>
            <w:sz w:val="22"/>
          </w:rPr>
          <w:instrText xml:space="preserve"> PAGEREF _Toc480207652 \h </w:instrText>
        </w:r>
        <w:r w:rsidR="00441788" w:rsidRPr="00834149">
          <w:rPr>
            <w:rFonts w:asciiTheme="minorHAnsi" w:hAnsiTheme="minorHAnsi"/>
            <w:noProof/>
            <w:webHidden/>
            <w:sz w:val="22"/>
          </w:rPr>
        </w:r>
        <w:r w:rsidR="00441788" w:rsidRPr="00834149">
          <w:rPr>
            <w:rFonts w:asciiTheme="minorHAnsi" w:hAnsiTheme="minorHAnsi"/>
            <w:noProof/>
            <w:webHidden/>
            <w:sz w:val="22"/>
          </w:rPr>
          <w:fldChar w:fldCharType="separate"/>
        </w:r>
        <w:r w:rsidR="000D6ABB">
          <w:rPr>
            <w:rFonts w:asciiTheme="minorHAnsi" w:hAnsiTheme="minorHAnsi"/>
            <w:noProof/>
            <w:webHidden/>
            <w:sz w:val="22"/>
          </w:rPr>
          <w:t>9</w:t>
        </w:r>
        <w:r w:rsidR="00441788" w:rsidRPr="00834149">
          <w:rPr>
            <w:rFonts w:asciiTheme="minorHAnsi" w:hAnsiTheme="minorHAnsi"/>
            <w:noProof/>
            <w:webHidden/>
            <w:sz w:val="22"/>
          </w:rPr>
          <w:fldChar w:fldCharType="end"/>
        </w:r>
      </w:hyperlink>
    </w:p>
    <w:p w14:paraId="5154DB4B" w14:textId="77777777" w:rsidR="00441788" w:rsidRPr="00434A65" w:rsidRDefault="00455260">
      <w:pPr>
        <w:pStyle w:val="TableofFigures"/>
        <w:tabs>
          <w:tab w:val="right" w:pos="9350"/>
        </w:tabs>
        <w:rPr>
          <w:rFonts w:asciiTheme="minorHAnsi" w:hAnsiTheme="minorHAnsi"/>
          <w:noProof/>
          <w:sz w:val="22"/>
        </w:rPr>
      </w:pPr>
      <w:hyperlink w:anchor="_Toc480207653" w:history="1">
        <w:r w:rsidR="00441788" w:rsidRPr="00834149">
          <w:rPr>
            <w:rStyle w:val="Hyperlink"/>
            <w:rFonts w:asciiTheme="minorHAnsi" w:hAnsiTheme="minorHAnsi" w:cs="Times New Roman"/>
            <w:noProof/>
            <w:sz w:val="22"/>
          </w:rPr>
          <w:t>Figure 4: SCD Priorities, CPF Focus Areas and Objectives and Togo PND Pillars</w:t>
        </w:r>
        <w:r w:rsidR="00441788" w:rsidRPr="00834149">
          <w:rPr>
            <w:rFonts w:asciiTheme="minorHAnsi" w:hAnsiTheme="minorHAnsi"/>
            <w:noProof/>
            <w:webHidden/>
            <w:sz w:val="22"/>
          </w:rPr>
          <w:tab/>
        </w:r>
        <w:r w:rsidR="00441788" w:rsidRPr="00834149">
          <w:rPr>
            <w:rFonts w:asciiTheme="minorHAnsi" w:hAnsiTheme="minorHAnsi"/>
            <w:noProof/>
            <w:webHidden/>
            <w:sz w:val="22"/>
          </w:rPr>
          <w:fldChar w:fldCharType="begin"/>
        </w:r>
        <w:r w:rsidR="00441788" w:rsidRPr="00834149">
          <w:rPr>
            <w:rFonts w:asciiTheme="minorHAnsi" w:hAnsiTheme="minorHAnsi"/>
            <w:noProof/>
            <w:webHidden/>
            <w:sz w:val="22"/>
          </w:rPr>
          <w:instrText xml:space="preserve"> PAGEREF _Toc480207653 \h </w:instrText>
        </w:r>
        <w:r w:rsidR="00441788" w:rsidRPr="00834149">
          <w:rPr>
            <w:rFonts w:asciiTheme="minorHAnsi" w:hAnsiTheme="minorHAnsi"/>
            <w:noProof/>
            <w:webHidden/>
            <w:sz w:val="22"/>
          </w:rPr>
        </w:r>
        <w:r w:rsidR="00441788" w:rsidRPr="00834149">
          <w:rPr>
            <w:rFonts w:asciiTheme="minorHAnsi" w:hAnsiTheme="minorHAnsi"/>
            <w:noProof/>
            <w:webHidden/>
            <w:sz w:val="22"/>
          </w:rPr>
          <w:fldChar w:fldCharType="separate"/>
        </w:r>
        <w:r w:rsidR="000D6ABB">
          <w:rPr>
            <w:rFonts w:asciiTheme="minorHAnsi" w:hAnsiTheme="minorHAnsi"/>
            <w:noProof/>
            <w:webHidden/>
            <w:sz w:val="22"/>
          </w:rPr>
          <w:t>16</w:t>
        </w:r>
        <w:r w:rsidR="00441788" w:rsidRPr="00834149">
          <w:rPr>
            <w:rFonts w:asciiTheme="minorHAnsi" w:hAnsiTheme="minorHAnsi"/>
            <w:noProof/>
            <w:webHidden/>
            <w:sz w:val="22"/>
          </w:rPr>
          <w:fldChar w:fldCharType="end"/>
        </w:r>
      </w:hyperlink>
    </w:p>
    <w:p w14:paraId="22FF4F3E" w14:textId="77777777" w:rsidR="00D54B57" w:rsidRPr="00834149" w:rsidRDefault="00D54B57" w:rsidP="00FB3A20">
      <w:pPr>
        <w:widowControl w:val="0"/>
        <w:tabs>
          <w:tab w:val="left" w:pos="1704"/>
        </w:tabs>
        <w:autoSpaceDE w:val="0"/>
        <w:autoSpaceDN w:val="0"/>
        <w:adjustRightInd w:val="0"/>
        <w:jc w:val="both"/>
        <w:rPr>
          <w:rFonts w:cs="Times New Roman"/>
          <w:b/>
          <w:bCs/>
          <w:color w:val="000000"/>
        </w:rPr>
      </w:pPr>
      <w:r w:rsidRPr="00834149">
        <w:rPr>
          <w:rFonts w:cs="Times New Roman"/>
          <w:b/>
          <w:bCs/>
          <w:color w:val="000000"/>
          <w:highlight w:val="yellow"/>
        </w:rPr>
        <w:fldChar w:fldCharType="end"/>
      </w:r>
    </w:p>
    <w:p w14:paraId="020A5F0E" w14:textId="77777777" w:rsidR="001B001A" w:rsidRPr="00834149" w:rsidRDefault="001B001A" w:rsidP="00FB3A20">
      <w:pPr>
        <w:widowControl w:val="0"/>
        <w:tabs>
          <w:tab w:val="left" w:pos="1704"/>
        </w:tabs>
        <w:autoSpaceDE w:val="0"/>
        <w:autoSpaceDN w:val="0"/>
        <w:adjustRightInd w:val="0"/>
        <w:jc w:val="both"/>
        <w:rPr>
          <w:rFonts w:cs="Times New Roman"/>
          <w:b/>
          <w:bCs/>
          <w:color w:val="000000"/>
        </w:rPr>
      </w:pPr>
      <w:r w:rsidRPr="00834149">
        <w:rPr>
          <w:rFonts w:cs="Times New Roman"/>
          <w:b/>
          <w:bCs/>
          <w:color w:val="000000"/>
        </w:rPr>
        <w:t>LIST OF BOXES</w:t>
      </w:r>
    </w:p>
    <w:p w14:paraId="403A97D3" w14:textId="77777777" w:rsidR="00441788" w:rsidRPr="00434A65" w:rsidRDefault="001B001A">
      <w:pPr>
        <w:pStyle w:val="TableofFigures"/>
        <w:tabs>
          <w:tab w:val="right" w:leader="dot" w:pos="9350"/>
        </w:tabs>
        <w:rPr>
          <w:rFonts w:asciiTheme="minorHAnsi" w:hAnsiTheme="minorHAnsi"/>
          <w:noProof/>
          <w:sz w:val="22"/>
        </w:rPr>
      </w:pPr>
      <w:r w:rsidRPr="00834149">
        <w:rPr>
          <w:rFonts w:asciiTheme="minorHAnsi" w:hAnsiTheme="minorHAnsi" w:cs="Times New Roman"/>
          <w:b/>
          <w:bCs/>
          <w:color w:val="000000"/>
          <w:sz w:val="22"/>
        </w:rPr>
        <w:fldChar w:fldCharType="begin"/>
      </w:r>
      <w:r w:rsidRPr="00834149">
        <w:rPr>
          <w:rFonts w:asciiTheme="minorHAnsi" w:hAnsiTheme="minorHAnsi" w:cs="Times New Roman"/>
          <w:b/>
          <w:bCs/>
          <w:color w:val="000000"/>
          <w:sz w:val="22"/>
        </w:rPr>
        <w:instrText xml:space="preserve"> TOC \h \z \c "Box" </w:instrText>
      </w:r>
      <w:r w:rsidRPr="00834149">
        <w:rPr>
          <w:rFonts w:asciiTheme="minorHAnsi" w:hAnsiTheme="minorHAnsi" w:cs="Times New Roman"/>
          <w:b/>
          <w:bCs/>
          <w:color w:val="000000"/>
          <w:sz w:val="22"/>
        </w:rPr>
        <w:fldChar w:fldCharType="separate"/>
      </w:r>
      <w:hyperlink w:anchor="_Toc480207654" w:history="1">
        <w:r w:rsidR="00441788" w:rsidRPr="00834149">
          <w:rPr>
            <w:rStyle w:val="Hyperlink"/>
            <w:rFonts w:asciiTheme="minorHAnsi" w:hAnsiTheme="minorHAnsi" w:cs="Times New Roman"/>
            <w:noProof/>
            <w:sz w:val="22"/>
          </w:rPr>
          <w:t>Box 1. Stakeholder Consultations</w:t>
        </w:r>
        <w:r w:rsidR="00441788" w:rsidRPr="00834149">
          <w:rPr>
            <w:rFonts w:asciiTheme="minorHAnsi" w:hAnsiTheme="minorHAnsi"/>
            <w:noProof/>
            <w:webHidden/>
            <w:sz w:val="22"/>
          </w:rPr>
          <w:tab/>
        </w:r>
        <w:r w:rsidR="00441788" w:rsidRPr="00834149">
          <w:rPr>
            <w:rFonts w:asciiTheme="minorHAnsi" w:hAnsiTheme="minorHAnsi"/>
            <w:noProof/>
            <w:webHidden/>
            <w:sz w:val="22"/>
          </w:rPr>
          <w:fldChar w:fldCharType="begin"/>
        </w:r>
        <w:r w:rsidR="00441788" w:rsidRPr="00834149">
          <w:rPr>
            <w:rFonts w:asciiTheme="minorHAnsi" w:hAnsiTheme="minorHAnsi"/>
            <w:noProof/>
            <w:webHidden/>
            <w:sz w:val="22"/>
          </w:rPr>
          <w:instrText xml:space="preserve"> PAGEREF _Toc480207654 \h </w:instrText>
        </w:r>
        <w:r w:rsidR="00441788" w:rsidRPr="00834149">
          <w:rPr>
            <w:rFonts w:asciiTheme="minorHAnsi" w:hAnsiTheme="minorHAnsi"/>
            <w:noProof/>
            <w:webHidden/>
            <w:sz w:val="22"/>
          </w:rPr>
        </w:r>
        <w:r w:rsidR="00441788" w:rsidRPr="00834149">
          <w:rPr>
            <w:rFonts w:asciiTheme="minorHAnsi" w:hAnsiTheme="minorHAnsi"/>
            <w:noProof/>
            <w:webHidden/>
            <w:sz w:val="22"/>
          </w:rPr>
          <w:fldChar w:fldCharType="separate"/>
        </w:r>
        <w:r w:rsidR="000D6ABB">
          <w:rPr>
            <w:rFonts w:asciiTheme="minorHAnsi" w:hAnsiTheme="minorHAnsi"/>
            <w:noProof/>
            <w:webHidden/>
            <w:sz w:val="22"/>
          </w:rPr>
          <w:t>12</w:t>
        </w:r>
        <w:r w:rsidR="00441788" w:rsidRPr="00834149">
          <w:rPr>
            <w:rFonts w:asciiTheme="minorHAnsi" w:hAnsiTheme="minorHAnsi"/>
            <w:noProof/>
            <w:webHidden/>
            <w:sz w:val="22"/>
          </w:rPr>
          <w:fldChar w:fldCharType="end"/>
        </w:r>
      </w:hyperlink>
    </w:p>
    <w:p w14:paraId="22DF4DCD" w14:textId="77777777" w:rsidR="00441788" w:rsidRPr="00434A65" w:rsidRDefault="00455260">
      <w:pPr>
        <w:pStyle w:val="TableofFigures"/>
        <w:tabs>
          <w:tab w:val="right" w:leader="dot" w:pos="9350"/>
        </w:tabs>
        <w:rPr>
          <w:rFonts w:asciiTheme="minorHAnsi" w:hAnsiTheme="minorHAnsi"/>
          <w:noProof/>
          <w:sz w:val="22"/>
        </w:rPr>
      </w:pPr>
      <w:hyperlink w:anchor="_Toc480207655" w:history="1">
        <w:r w:rsidR="00441788" w:rsidRPr="00834149">
          <w:rPr>
            <w:rStyle w:val="Hyperlink"/>
            <w:rFonts w:asciiTheme="minorHAnsi" w:hAnsiTheme="minorHAnsi" w:cs="Times New Roman"/>
            <w:noProof/>
            <w:sz w:val="22"/>
          </w:rPr>
          <w:t>Box 2. Service Delivery Indicators in Togo</w:t>
        </w:r>
        <w:r w:rsidR="00441788" w:rsidRPr="00834149">
          <w:rPr>
            <w:rFonts w:asciiTheme="minorHAnsi" w:hAnsiTheme="minorHAnsi"/>
            <w:noProof/>
            <w:webHidden/>
            <w:sz w:val="22"/>
          </w:rPr>
          <w:tab/>
        </w:r>
        <w:r w:rsidR="00441788" w:rsidRPr="00834149">
          <w:rPr>
            <w:rFonts w:asciiTheme="minorHAnsi" w:hAnsiTheme="minorHAnsi"/>
            <w:noProof/>
            <w:webHidden/>
            <w:sz w:val="22"/>
          </w:rPr>
          <w:fldChar w:fldCharType="begin"/>
        </w:r>
        <w:r w:rsidR="00441788" w:rsidRPr="00834149">
          <w:rPr>
            <w:rFonts w:asciiTheme="minorHAnsi" w:hAnsiTheme="minorHAnsi"/>
            <w:noProof/>
            <w:webHidden/>
            <w:sz w:val="22"/>
          </w:rPr>
          <w:instrText xml:space="preserve"> PAGEREF _Toc480207655 \h </w:instrText>
        </w:r>
        <w:r w:rsidR="00441788" w:rsidRPr="00834149">
          <w:rPr>
            <w:rFonts w:asciiTheme="minorHAnsi" w:hAnsiTheme="minorHAnsi"/>
            <w:noProof/>
            <w:webHidden/>
            <w:sz w:val="22"/>
          </w:rPr>
        </w:r>
        <w:r w:rsidR="00441788" w:rsidRPr="00834149">
          <w:rPr>
            <w:rFonts w:asciiTheme="minorHAnsi" w:hAnsiTheme="minorHAnsi"/>
            <w:noProof/>
            <w:webHidden/>
            <w:sz w:val="22"/>
          </w:rPr>
          <w:fldChar w:fldCharType="separate"/>
        </w:r>
        <w:r w:rsidR="000D6ABB">
          <w:rPr>
            <w:rFonts w:asciiTheme="minorHAnsi" w:hAnsiTheme="minorHAnsi"/>
            <w:noProof/>
            <w:webHidden/>
            <w:sz w:val="22"/>
          </w:rPr>
          <w:t>26</w:t>
        </w:r>
        <w:r w:rsidR="00441788" w:rsidRPr="00834149">
          <w:rPr>
            <w:rFonts w:asciiTheme="minorHAnsi" w:hAnsiTheme="minorHAnsi"/>
            <w:noProof/>
            <w:webHidden/>
            <w:sz w:val="22"/>
          </w:rPr>
          <w:fldChar w:fldCharType="end"/>
        </w:r>
      </w:hyperlink>
    </w:p>
    <w:p w14:paraId="6BB86446" w14:textId="77777777" w:rsidR="00441788" w:rsidRPr="00434A65" w:rsidRDefault="00455260">
      <w:pPr>
        <w:pStyle w:val="TableofFigures"/>
        <w:tabs>
          <w:tab w:val="right" w:leader="dot" w:pos="9350"/>
        </w:tabs>
        <w:rPr>
          <w:rFonts w:asciiTheme="minorHAnsi" w:hAnsiTheme="minorHAnsi"/>
          <w:noProof/>
          <w:sz w:val="22"/>
        </w:rPr>
      </w:pPr>
      <w:hyperlink w:anchor="_Toc480207656" w:history="1">
        <w:r w:rsidR="00441788" w:rsidRPr="00834149">
          <w:rPr>
            <w:rStyle w:val="Hyperlink"/>
            <w:rFonts w:asciiTheme="minorHAnsi" w:hAnsiTheme="minorHAnsi" w:cs="Times New Roman"/>
            <w:noProof/>
            <w:sz w:val="22"/>
          </w:rPr>
          <w:t>Box 3. Promoting Opportunities for Girls and Women–Integrating Gender Priorities in the CPF</w:t>
        </w:r>
        <w:r w:rsidR="00441788" w:rsidRPr="00834149">
          <w:rPr>
            <w:rFonts w:asciiTheme="minorHAnsi" w:hAnsiTheme="minorHAnsi"/>
            <w:noProof/>
            <w:webHidden/>
            <w:sz w:val="22"/>
          </w:rPr>
          <w:tab/>
        </w:r>
        <w:r w:rsidR="00441788" w:rsidRPr="00834149">
          <w:rPr>
            <w:rFonts w:asciiTheme="minorHAnsi" w:hAnsiTheme="minorHAnsi"/>
            <w:noProof/>
            <w:webHidden/>
            <w:sz w:val="22"/>
          </w:rPr>
          <w:fldChar w:fldCharType="begin"/>
        </w:r>
        <w:r w:rsidR="00441788" w:rsidRPr="00834149">
          <w:rPr>
            <w:rFonts w:asciiTheme="minorHAnsi" w:hAnsiTheme="minorHAnsi"/>
            <w:noProof/>
            <w:webHidden/>
            <w:sz w:val="22"/>
          </w:rPr>
          <w:instrText xml:space="preserve"> PAGEREF _Toc480207656 \h </w:instrText>
        </w:r>
        <w:r w:rsidR="00441788" w:rsidRPr="00834149">
          <w:rPr>
            <w:rFonts w:asciiTheme="minorHAnsi" w:hAnsiTheme="minorHAnsi"/>
            <w:noProof/>
            <w:webHidden/>
            <w:sz w:val="22"/>
          </w:rPr>
        </w:r>
        <w:r w:rsidR="00441788" w:rsidRPr="00834149">
          <w:rPr>
            <w:rFonts w:asciiTheme="minorHAnsi" w:hAnsiTheme="minorHAnsi"/>
            <w:noProof/>
            <w:webHidden/>
            <w:sz w:val="22"/>
          </w:rPr>
          <w:fldChar w:fldCharType="separate"/>
        </w:r>
        <w:r w:rsidR="000D6ABB">
          <w:rPr>
            <w:rFonts w:asciiTheme="minorHAnsi" w:hAnsiTheme="minorHAnsi"/>
            <w:noProof/>
            <w:webHidden/>
            <w:sz w:val="22"/>
          </w:rPr>
          <w:t>28</w:t>
        </w:r>
        <w:r w:rsidR="00441788" w:rsidRPr="00834149">
          <w:rPr>
            <w:rFonts w:asciiTheme="minorHAnsi" w:hAnsiTheme="minorHAnsi"/>
            <w:noProof/>
            <w:webHidden/>
            <w:sz w:val="22"/>
          </w:rPr>
          <w:fldChar w:fldCharType="end"/>
        </w:r>
      </w:hyperlink>
    </w:p>
    <w:p w14:paraId="5E72743C" w14:textId="77777777" w:rsidR="000B177B" w:rsidRPr="00834149" w:rsidRDefault="001B001A" w:rsidP="00FB3A20">
      <w:pPr>
        <w:widowControl w:val="0"/>
        <w:tabs>
          <w:tab w:val="left" w:pos="1704"/>
        </w:tabs>
        <w:autoSpaceDE w:val="0"/>
        <w:autoSpaceDN w:val="0"/>
        <w:adjustRightInd w:val="0"/>
        <w:jc w:val="both"/>
        <w:rPr>
          <w:rFonts w:cs="Times New Roman"/>
          <w:b/>
          <w:bCs/>
          <w:color w:val="000000"/>
        </w:rPr>
      </w:pPr>
      <w:r w:rsidRPr="00834149">
        <w:rPr>
          <w:rFonts w:cs="Times New Roman"/>
          <w:b/>
          <w:bCs/>
          <w:color w:val="000000"/>
        </w:rPr>
        <w:fldChar w:fldCharType="end"/>
      </w:r>
    </w:p>
    <w:p w14:paraId="4A63043A" w14:textId="67E1F869" w:rsidR="00985A46" w:rsidRPr="00834149" w:rsidRDefault="00985A46" w:rsidP="00FB3A20">
      <w:pPr>
        <w:widowControl w:val="0"/>
        <w:tabs>
          <w:tab w:val="left" w:pos="1704"/>
        </w:tabs>
        <w:autoSpaceDE w:val="0"/>
        <w:autoSpaceDN w:val="0"/>
        <w:adjustRightInd w:val="0"/>
        <w:jc w:val="both"/>
        <w:rPr>
          <w:rFonts w:cs="Times New Roman"/>
          <w:b/>
          <w:bCs/>
          <w:color w:val="000000"/>
        </w:rPr>
      </w:pPr>
      <w:r w:rsidRPr="00834149">
        <w:rPr>
          <w:rFonts w:cs="Times New Roman"/>
          <w:b/>
          <w:bCs/>
          <w:color w:val="000000"/>
        </w:rPr>
        <w:t>LIST OF ANNEXES</w:t>
      </w:r>
    </w:p>
    <w:p w14:paraId="36470A4A" w14:textId="524CA4B4" w:rsidR="00DF6013" w:rsidRPr="00434A65" w:rsidRDefault="005C75BA">
      <w:pPr>
        <w:pStyle w:val="TableofFigures"/>
        <w:tabs>
          <w:tab w:val="right" w:leader="dot" w:pos="9350"/>
        </w:tabs>
        <w:rPr>
          <w:rFonts w:asciiTheme="minorHAnsi" w:hAnsiTheme="minorHAnsi"/>
          <w:noProof/>
          <w:sz w:val="22"/>
        </w:rPr>
      </w:pPr>
      <w:r w:rsidRPr="00834149">
        <w:rPr>
          <w:rStyle w:val="Strong"/>
          <w:rFonts w:asciiTheme="minorHAnsi" w:hAnsiTheme="minorHAnsi" w:cs="Times New Roman"/>
          <w:color w:val="000000"/>
          <w:sz w:val="22"/>
        </w:rPr>
        <w:fldChar w:fldCharType="begin"/>
      </w:r>
      <w:r w:rsidRPr="00834149">
        <w:rPr>
          <w:rStyle w:val="Strong"/>
          <w:rFonts w:asciiTheme="minorHAnsi" w:hAnsiTheme="minorHAnsi" w:cs="Times New Roman"/>
          <w:color w:val="000000"/>
          <w:sz w:val="22"/>
        </w:rPr>
        <w:instrText xml:space="preserve"> TOC \c "Annex" </w:instrText>
      </w:r>
      <w:r w:rsidRPr="00834149">
        <w:rPr>
          <w:rStyle w:val="Strong"/>
          <w:rFonts w:asciiTheme="minorHAnsi" w:hAnsiTheme="minorHAnsi" w:cs="Times New Roman"/>
          <w:color w:val="000000"/>
          <w:sz w:val="22"/>
        </w:rPr>
        <w:fldChar w:fldCharType="separate"/>
      </w:r>
      <w:r w:rsidR="00DF6013" w:rsidRPr="00834149">
        <w:rPr>
          <w:rFonts w:asciiTheme="minorHAnsi" w:hAnsiTheme="minorHAnsi" w:cs="Times New Roman"/>
          <w:noProof/>
          <w:sz w:val="22"/>
        </w:rPr>
        <w:t>Annex 1. CPF Results Matrix</w:t>
      </w:r>
      <w:r w:rsidR="00DF6013" w:rsidRPr="00834149">
        <w:rPr>
          <w:rFonts w:asciiTheme="minorHAnsi" w:hAnsiTheme="minorHAnsi"/>
          <w:noProof/>
          <w:sz w:val="22"/>
        </w:rPr>
        <w:tab/>
      </w:r>
      <w:r w:rsidR="00DF6013" w:rsidRPr="00834149">
        <w:rPr>
          <w:rFonts w:asciiTheme="minorHAnsi" w:hAnsiTheme="minorHAnsi"/>
          <w:noProof/>
          <w:sz w:val="22"/>
        </w:rPr>
        <w:fldChar w:fldCharType="begin"/>
      </w:r>
      <w:r w:rsidR="00DF6013" w:rsidRPr="00834149">
        <w:rPr>
          <w:rFonts w:asciiTheme="minorHAnsi" w:hAnsiTheme="minorHAnsi"/>
          <w:noProof/>
          <w:sz w:val="22"/>
        </w:rPr>
        <w:instrText xml:space="preserve"> PAGEREF _Toc477452441 \h </w:instrText>
      </w:r>
      <w:r w:rsidR="00DF6013" w:rsidRPr="00834149">
        <w:rPr>
          <w:rFonts w:asciiTheme="minorHAnsi" w:hAnsiTheme="minorHAnsi"/>
          <w:noProof/>
          <w:sz w:val="22"/>
        </w:rPr>
      </w:r>
      <w:r w:rsidR="00DF6013" w:rsidRPr="00834149">
        <w:rPr>
          <w:rFonts w:asciiTheme="minorHAnsi" w:hAnsiTheme="minorHAnsi"/>
          <w:noProof/>
          <w:sz w:val="22"/>
        </w:rPr>
        <w:fldChar w:fldCharType="separate"/>
      </w:r>
      <w:r w:rsidR="000D6ABB">
        <w:rPr>
          <w:rFonts w:asciiTheme="minorHAnsi" w:hAnsiTheme="minorHAnsi"/>
          <w:noProof/>
          <w:sz w:val="22"/>
        </w:rPr>
        <w:t>41</w:t>
      </w:r>
      <w:r w:rsidR="00DF6013" w:rsidRPr="00834149">
        <w:rPr>
          <w:rFonts w:asciiTheme="minorHAnsi" w:hAnsiTheme="minorHAnsi"/>
          <w:noProof/>
          <w:sz w:val="22"/>
        </w:rPr>
        <w:fldChar w:fldCharType="end"/>
      </w:r>
    </w:p>
    <w:p w14:paraId="5E62915F" w14:textId="6FA4A52D" w:rsidR="00DF6013" w:rsidRPr="00434A65" w:rsidRDefault="00DF6013">
      <w:pPr>
        <w:pStyle w:val="TableofFigures"/>
        <w:tabs>
          <w:tab w:val="right" w:leader="dot" w:pos="9350"/>
        </w:tabs>
        <w:rPr>
          <w:rFonts w:asciiTheme="minorHAnsi" w:hAnsiTheme="minorHAnsi"/>
          <w:noProof/>
          <w:sz w:val="22"/>
        </w:rPr>
      </w:pPr>
      <w:r w:rsidRPr="00834149">
        <w:rPr>
          <w:rFonts w:asciiTheme="minorHAnsi" w:hAnsiTheme="minorHAnsi" w:cs="Times New Roman"/>
          <w:noProof/>
          <w:sz w:val="22"/>
        </w:rPr>
        <w:t>Annex 2 Completion and Learning Report</w:t>
      </w:r>
      <w:r w:rsidRPr="00834149">
        <w:rPr>
          <w:rFonts w:asciiTheme="minorHAnsi" w:hAnsiTheme="minorHAnsi"/>
          <w:noProof/>
          <w:sz w:val="22"/>
        </w:rPr>
        <w:tab/>
      </w:r>
      <w:r w:rsidRPr="00834149">
        <w:rPr>
          <w:rFonts w:asciiTheme="minorHAnsi" w:hAnsiTheme="minorHAnsi"/>
          <w:noProof/>
          <w:sz w:val="22"/>
        </w:rPr>
        <w:fldChar w:fldCharType="begin"/>
      </w:r>
      <w:r w:rsidRPr="00834149">
        <w:rPr>
          <w:rFonts w:asciiTheme="minorHAnsi" w:hAnsiTheme="minorHAnsi"/>
          <w:noProof/>
          <w:sz w:val="22"/>
        </w:rPr>
        <w:instrText xml:space="preserve"> PAGEREF _Toc477452442 \h </w:instrText>
      </w:r>
      <w:r w:rsidRPr="00834149">
        <w:rPr>
          <w:rFonts w:asciiTheme="minorHAnsi" w:hAnsiTheme="minorHAnsi"/>
          <w:noProof/>
          <w:sz w:val="22"/>
        </w:rPr>
      </w:r>
      <w:r w:rsidRPr="00834149">
        <w:rPr>
          <w:rFonts w:asciiTheme="minorHAnsi" w:hAnsiTheme="minorHAnsi"/>
          <w:noProof/>
          <w:sz w:val="22"/>
        </w:rPr>
        <w:fldChar w:fldCharType="separate"/>
      </w:r>
      <w:r w:rsidR="000D6ABB">
        <w:rPr>
          <w:rFonts w:asciiTheme="minorHAnsi" w:hAnsiTheme="minorHAnsi"/>
          <w:noProof/>
          <w:sz w:val="22"/>
        </w:rPr>
        <w:t>52</w:t>
      </w:r>
      <w:r w:rsidRPr="00834149">
        <w:rPr>
          <w:rFonts w:asciiTheme="minorHAnsi" w:hAnsiTheme="minorHAnsi"/>
          <w:noProof/>
          <w:sz w:val="22"/>
        </w:rPr>
        <w:fldChar w:fldCharType="end"/>
      </w:r>
    </w:p>
    <w:p w14:paraId="066FD736" w14:textId="2BCFFD10" w:rsidR="00DF6013" w:rsidRPr="00434A65" w:rsidRDefault="00DF6013">
      <w:pPr>
        <w:pStyle w:val="TableofFigures"/>
        <w:tabs>
          <w:tab w:val="right" w:leader="dot" w:pos="9350"/>
        </w:tabs>
        <w:rPr>
          <w:rFonts w:asciiTheme="minorHAnsi" w:hAnsiTheme="minorHAnsi"/>
          <w:noProof/>
          <w:sz w:val="22"/>
        </w:rPr>
      </w:pPr>
      <w:r w:rsidRPr="00834149">
        <w:rPr>
          <w:rFonts w:asciiTheme="minorHAnsi" w:hAnsiTheme="minorHAnsi" w:cs="Times New Roman"/>
          <w:noProof/>
          <w:sz w:val="22"/>
        </w:rPr>
        <w:t>Annex 3. Selected Indicators of Bank Portfolio Performance and Management</w:t>
      </w:r>
      <w:r w:rsidRPr="00834149">
        <w:rPr>
          <w:rFonts w:asciiTheme="minorHAnsi" w:hAnsiTheme="minorHAnsi"/>
          <w:noProof/>
          <w:sz w:val="22"/>
        </w:rPr>
        <w:tab/>
      </w:r>
      <w:r w:rsidRPr="00834149">
        <w:rPr>
          <w:rFonts w:asciiTheme="minorHAnsi" w:hAnsiTheme="minorHAnsi"/>
          <w:noProof/>
          <w:sz w:val="22"/>
        </w:rPr>
        <w:fldChar w:fldCharType="begin"/>
      </w:r>
      <w:r w:rsidRPr="00834149">
        <w:rPr>
          <w:rFonts w:asciiTheme="minorHAnsi" w:hAnsiTheme="minorHAnsi"/>
          <w:noProof/>
          <w:sz w:val="22"/>
        </w:rPr>
        <w:instrText xml:space="preserve"> PAGEREF _Toc477452443 \h </w:instrText>
      </w:r>
      <w:r w:rsidRPr="00834149">
        <w:rPr>
          <w:rFonts w:asciiTheme="minorHAnsi" w:hAnsiTheme="minorHAnsi"/>
          <w:noProof/>
          <w:sz w:val="22"/>
        </w:rPr>
      </w:r>
      <w:r w:rsidRPr="00834149">
        <w:rPr>
          <w:rFonts w:asciiTheme="minorHAnsi" w:hAnsiTheme="minorHAnsi"/>
          <w:noProof/>
          <w:sz w:val="22"/>
        </w:rPr>
        <w:fldChar w:fldCharType="separate"/>
      </w:r>
      <w:r w:rsidR="000D6ABB">
        <w:rPr>
          <w:rFonts w:asciiTheme="minorHAnsi" w:hAnsiTheme="minorHAnsi"/>
          <w:noProof/>
          <w:sz w:val="22"/>
        </w:rPr>
        <w:t>80</w:t>
      </w:r>
      <w:r w:rsidRPr="00834149">
        <w:rPr>
          <w:rFonts w:asciiTheme="minorHAnsi" w:hAnsiTheme="minorHAnsi"/>
          <w:noProof/>
          <w:sz w:val="22"/>
        </w:rPr>
        <w:fldChar w:fldCharType="end"/>
      </w:r>
    </w:p>
    <w:p w14:paraId="0B9FE319" w14:textId="69BBC4DD" w:rsidR="00DF6013" w:rsidRPr="00434A65" w:rsidRDefault="00DF6013">
      <w:pPr>
        <w:pStyle w:val="TableofFigures"/>
        <w:tabs>
          <w:tab w:val="right" w:leader="dot" w:pos="9350"/>
        </w:tabs>
        <w:rPr>
          <w:rFonts w:asciiTheme="minorHAnsi" w:hAnsiTheme="minorHAnsi"/>
          <w:noProof/>
          <w:sz w:val="22"/>
        </w:rPr>
      </w:pPr>
      <w:r w:rsidRPr="00834149">
        <w:rPr>
          <w:rFonts w:asciiTheme="minorHAnsi" w:hAnsiTheme="minorHAnsi" w:cs="Times New Roman"/>
          <w:noProof/>
          <w:sz w:val="22"/>
        </w:rPr>
        <w:t>Annex 4. Operations Portfolio (IBRD/IDA and Grants)</w:t>
      </w:r>
      <w:r w:rsidRPr="00834149">
        <w:rPr>
          <w:rFonts w:asciiTheme="minorHAnsi" w:hAnsiTheme="minorHAnsi"/>
          <w:noProof/>
          <w:sz w:val="22"/>
        </w:rPr>
        <w:tab/>
      </w:r>
      <w:r w:rsidRPr="00834149">
        <w:rPr>
          <w:rFonts w:asciiTheme="minorHAnsi" w:hAnsiTheme="minorHAnsi"/>
          <w:noProof/>
          <w:sz w:val="22"/>
        </w:rPr>
        <w:fldChar w:fldCharType="begin"/>
      </w:r>
      <w:r w:rsidRPr="00834149">
        <w:rPr>
          <w:rFonts w:asciiTheme="minorHAnsi" w:hAnsiTheme="minorHAnsi"/>
          <w:noProof/>
          <w:sz w:val="22"/>
        </w:rPr>
        <w:instrText xml:space="preserve"> PAGEREF _Toc477452444 \h </w:instrText>
      </w:r>
      <w:r w:rsidRPr="00834149">
        <w:rPr>
          <w:rFonts w:asciiTheme="minorHAnsi" w:hAnsiTheme="minorHAnsi"/>
          <w:noProof/>
          <w:sz w:val="22"/>
        </w:rPr>
      </w:r>
      <w:r w:rsidRPr="00834149">
        <w:rPr>
          <w:rFonts w:asciiTheme="minorHAnsi" w:hAnsiTheme="minorHAnsi"/>
          <w:noProof/>
          <w:sz w:val="22"/>
        </w:rPr>
        <w:fldChar w:fldCharType="separate"/>
      </w:r>
      <w:r w:rsidR="000D6ABB">
        <w:rPr>
          <w:rFonts w:asciiTheme="minorHAnsi" w:hAnsiTheme="minorHAnsi"/>
          <w:noProof/>
          <w:sz w:val="22"/>
        </w:rPr>
        <w:t>81</w:t>
      </w:r>
      <w:r w:rsidRPr="00834149">
        <w:rPr>
          <w:rFonts w:asciiTheme="minorHAnsi" w:hAnsiTheme="minorHAnsi"/>
          <w:noProof/>
          <w:sz w:val="22"/>
        </w:rPr>
        <w:fldChar w:fldCharType="end"/>
      </w:r>
    </w:p>
    <w:p w14:paraId="0FD7FD91" w14:textId="320287C4" w:rsidR="00DF6013" w:rsidRPr="00434A65" w:rsidRDefault="00DF6013">
      <w:pPr>
        <w:pStyle w:val="TableofFigures"/>
        <w:tabs>
          <w:tab w:val="right" w:leader="dot" w:pos="9350"/>
        </w:tabs>
        <w:rPr>
          <w:rFonts w:asciiTheme="minorHAnsi" w:hAnsiTheme="minorHAnsi"/>
          <w:noProof/>
          <w:sz w:val="22"/>
        </w:rPr>
      </w:pPr>
      <w:r w:rsidRPr="00834149">
        <w:rPr>
          <w:rFonts w:asciiTheme="minorHAnsi" w:hAnsiTheme="minorHAnsi" w:cs="Times New Roman"/>
          <w:noProof/>
          <w:sz w:val="22"/>
        </w:rPr>
        <w:t>Annex 5 Statement of IFC’s Held and Disbursed Portfolio</w:t>
      </w:r>
      <w:r w:rsidRPr="00834149">
        <w:rPr>
          <w:rFonts w:asciiTheme="minorHAnsi" w:hAnsiTheme="minorHAnsi"/>
          <w:noProof/>
          <w:sz w:val="22"/>
        </w:rPr>
        <w:tab/>
      </w:r>
      <w:r w:rsidRPr="00834149">
        <w:rPr>
          <w:rFonts w:asciiTheme="minorHAnsi" w:hAnsiTheme="minorHAnsi"/>
          <w:noProof/>
          <w:sz w:val="22"/>
        </w:rPr>
        <w:fldChar w:fldCharType="begin"/>
      </w:r>
      <w:r w:rsidRPr="00834149">
        <w:rPr>
          <w:rFonts w:asciiTheme="minorHAnsi" w:hAnsiTheme="minorHAnsi"/>
          <w:noProof/>
          <w:sz w:val="22"/>
        </w:rPr>
        <w:instrText xml:space="preserve"> PAGEREF _Toc477452445 \h </w:instrText>
      </w:r>
      <w:r w:rsidRPr="00834149">
        <w:rPr>
          <w:rFonts w:asciiTheme="minorHAnsi" w:hAnsiTheme="minorHAnsi"/>
          <w:noProof/>
          <w:sz w:val="22"/>
        </w:rPr>
      </w:r>
      <w:r w:rsidRPr="00834149">
        <w:rPr>
          <w:rFonts w:asciiTheme="minorHAnsi" w:hAnsiTheme="minorHAnsi"/>
          <w:noProof/>
          <w:sz w:val="22"/>
        </w:rPr>
        <w:fldChar w:fldCharType="separate"/>
      </w:r>
      <w:r w:rsidR="000D6ABB">
        <w:rPr>
          <w:rFonts w:asciiTheme="minorHAnsi" w:hAnsiTheme="minorHAnsi"/>
          <w:noProof/>
          <w:sz w:val="22"/>
        </w:rPr>
        <w:t>82</w:t>
      </w:r>
      <w:r w:rsidRPr="00834149">
        <w:rPr>
          <w:rFonts w:asciiTheme="minorHAnsi" w:hAnsiTheme="minorHAnsi"/>
          <w:noProof/>
          <w:sz w:val="22"/>
        </w:rPr>
        <w:fldChar w:fldCharType="end"/>
      </w:r>
    </w:p>
    <w:p w14:paraId="0C368E97" w14:textId="179F15E3" w:rsidR="00DF6013" w:rsidRPr="00834149" w:rsidRDefault="00DF6013">
      <w:pPr>
        <w:pStyle w:val="TableofFigures"/>
        <w:tabs>
          <w:tab w:val="right" w:leader="dot" w:pos="9350"/>
        </w:tabs>
        <w:rPr>
          <w:rFonts w:asciiTheme="minorHAnsi" w:hAnsiTheme="minorHAnsi"/>
          <w:noProof/>
          <w:sz w:val="22"/>
        </w:rPr>
      </w:pPr>
      <w:r w:rsidRPr="00834149">
        <w:rPr>
          <w:rFonts w:asciiTheme="minorHAnsi" w:hAnsiTheme="minorHAnsi" w:cs="Times New Roman"/>
          <w:noProof/>
          <w:sz w:val="22"/>
        </w:rPr>
        <w:t>Annex 6. Partnerships and Donor Coordination</w:t>
      </w:r>
      <w:r w:rsidRPr="00834149">
        <w:rPr>
          <w:rFonts w:asciiTheme="minorHAnsi" w:hAnsiTheme="minorHAnsi"/>
          <w:noProof/>
          <w:sz w:val="22"/>
        </w:rPr>
        <w:tab/>
      </w:r>
      <w:r w:rsidRPr="00834149">
        <w:rPr>
          <w:rFonts w:asciiTheme="minorHAnsi" w:hAnsiTheme="minorHAnsi"/>
          <w:noProof/>
          <w:sz w:val="22"/>
        </w:rPr>
        <w:fldChar w:fldCharType="begin"/>
      </w:r>
      <w:r w:rsidRPr="00834149">
        <w:rPr>
          <w:rFonts w:asciiTheme="minorHAnsi" w:hAnsiTheme="minorHAnsi"/>
          <w:noProof/>
          <w:sz w:val="22"/>
        </w:rPr>
        <w:instrText xml:space="preserve"> PAGEREF _Toc477452446 \h </w:instrText>
      </w:r>
      <w:r w:rsidRPr="00834149">
        <w:rPr>
          <w:rFonts w:asciiTheme="minorHAnsi" w:hAnsiTheme="minorHAnsi"/>
          <w:noProof/>
          <w:sz w:val="22"/>
        </w:rPr>
      </w:r>
      <w:r w:rsidRPr="00834149">
        <w:rPr>
          <w:rFonts w:asciiTheme="minorHAnsi" w:hAnsiTheme="minorHAnsi"/>
          <w:noProof/>
          <w:sz w:val="22"/>
        </w:rPr>
        <w:fldChar w:fldCharType="separate"/>
      </w:r>
      <w:r w:rsidR="000D6ABB">
        <w:rPr>
          <w:rFonts w:asciiTheme="minorHAnsi" w:hAnsiTheme="minorHAnsi"/>
          <w:noProof/>
          <w:sz w:val="22"/>
        </w:rPr>
        <w:t>83</w:t>
      </w:r>
      <w:r w:rsidRPr="00834149">
        <w:rPr>
          <w:rFonts w:asciiTheme="minorHAnsi" w:hAnsiTheme="minorHAnsi"/>
          <w:noProof/>
          <w:sz w:val="22"/>
        </w:rPr>
        <w:fldChar w:fldCharType="end"/>
      </w:r>
    </w:p>
    <w:p w14:paraId="4696090B" w14:textId="77777777" w:rsidR="00DF6013" w:rsidRPr="00434A65" w:rsidRDefault="00DF6013" w:rsidP="00DF6013">
      <w:pPr>
        <w:rPr>
          <w:noProof/>
        </w:rPr>
        <w:sectPr w:rsidR="00DF6013" w:rsidRPr="00434A65" w:rsidSect="00DF6013">
          <w:footerReference w:type="first" r:id="rId11"/>
          <w:pgSz w:w="12240" w:h="15840"/>
          <w:pgMar w:top="1440" w:right="1440" w:bottom="1440" w:left="1440" w:header="720" w:footer="720" w:gutter="0"/>
          <w:pgNumType w:fmt="lowerRoman" w:start="2"/>
          <w:cols w:space="720"/>
          <w:docGrid w:linePitch="360"/>
        </w:sectPr>
      </w:pPr>
    </w:p>
    <w:p w14:paraId="632131A4" w14:textId="04E5BAA6" w:rsidR="001B001A" w:rsidRPr="00F566F5" w:rsidRDefault="005C75BA" w:rsidP="004D7D57">
      <w:pPr>
        <w:pStyle w:val="HEAD"/>
        <w:rPr>
          <w:rStyle w:val="Strong"/>
          <w:rFonts w:asciiTheme="minorHAnsi" w:hAnsiTheme="minorHAnsi"/>
          <w:bCs w:val="0"/>
          <w:sz w:val="22"/>
          <w:szCs w:val="22"/>
        </w:rPr>
      </w:pPr>
      <w:r w:rsidRPr="00834149">
        <w:rPr>
          <w:rStyle w:val="Strong"/>
          <w:rFonts w:asciiTheme="minorHAnsi" w:hAnsiTheme="minorHAnsi"/>
          <w:color w:val="000000"/>
          <w:sz w:val="22"/>
          <w:szCs w:val="22"/>
        </w:rPr>
        <w:lastRenderedPageBreak/>
        <w:fldChar w:fldCharType="end"/>
      </w:r>
      <w:bookmarkStart w:id="1" w:name="_Toc480207628"/>
      <w:r w:rsidR="001B001A" w:rsidRPr="00834149">
        <w:rPr>
          <w:rStyle w:val="Strong"/>
          <w:rFonts w:asciiTheme="minorHAnsi" w:hAnsiTheme="minorHAnsi"/>
          <w:bCs w:val="0"/>
          <w:sz w:val="22"/>
          <w:szCs w:val="22"/>
        </w:rPr>
        <w:t xml:space="preserve">I. </w:t>
      </w:r>
      <w:bookmarkEnd w:id="0"/>
      <w:r w:rsidR="0008122A" w:rsidRPr="00834149">
        <w:rPr>
          <w:rStyle w:val="Strong"/>
          <w:rFonts w:asciiTheme="minorHAnsi" w:hAnsiTheme="minorHAnsi"/>
          <w:sz w:val="22"/>
          <w:szCs w:val="22"/>
        </w:rPr>
        <w:t>INTRODUCTION</w:t>
      </w:r>
      <w:bookmarkEnd w:id="1"/>
    </w:p>
    <w:p w14:paraId="0B7A449C" w14:textId="77777777" w:rsidR="001B001A" w:rsidRPr="00834149" w:rsidRDefault="001B001A">
      <w:pPr>
        <w:autoSpaceDE w:val="0"/>
        <w:autoSpaceDN w:val="0"/>
        <w:adjustRightInd w:val="0"/>
        <w:jc w:val="both"/>
        <w:rPr>
          <w:rFonts w:eastAsiaTheme="minorHAnsi" w:cs="Times New Roman"/>
          <w:b/>
          <w:bCs/>
        </w:rPr>
      </w:pPr>
    </w:p>
    <w:p w14:paraId="55354C4C" w14:textId="7735DF01" w:rsidR="00647E8D" w:rsidRPr="00834149" w:rsidRDefault="001B001A" w:rsidP="00647E8D">
      <w:pPr>
        <w:pStyle w:val="ListParagraph"/>
        <w:numPr>
          <w:ilvl w:val="0"/>
          <w:numId w:val="2"/>
        </w:numPr>
        <w:autoSpaceDE w:val="0"/>
        <w:autoSpaceDN w:val="0"/>
        <w:adjustRightInd w:val="0"/>
        <w:ind w:left="0" w:firstLine="0"/>
        <w:jc w:val="both"/>
        <w:rPr>
          <w:rFonts w:eastAsiaTheme="minorHAnsi" w:cs="Times New Roman"/>
        </w:rPr>
      </w:pPr>
      <w:r w:rsidRPr="00834149">
        <w:rPr>
          <w:rFonts w:eastAsiaTheme="minorHAnsi" w:cs="Times New Roman"/>
          <w:b/>
          <w:bCs/>
        </w:rPr>
        <w:t>This Country Partnership Framework (CPF), prepared jointly by the International Bank for Reconstruction and Development (IBRD)</w:t>
      </w:r>
      <w:r w:rsidR="0071132A" w:rsidRPr="00834149">
        <w:rPr>
          <w:rFonts w:eastAsiaTheme="minorHAnsi" w:cs="Times New Roman"/>
          <w:b/>
          <w:bCs/>
        </w:rPr>
        <w:t>,</w:t>
      </w:r>
      <w:r w:rsidRPr="00834149">
        <w:rPr>
          <w:rFonts w:eastAsiaTheme="minorHAnsi" w:cs="Times New Roman"/>
          <w:b/>
          <w:bCs/>
        </w:rPr>
        <w:t xml:space="preserve"> the International Finance Corporation (IFC)</w:t>
      </w:r>
      <w:r w:rsidR="00A0566C" w:rsidRPr="00834149">
        <w:rPr>
          <w:rFonts w:eastAsiaTheme="minorHAnsi" w:cs="Times New Roman"/>
          <w:b/>
          <w:bCs/>
        </w:rPr>
        <w:t>,</w:t>
      </w:r>
      <w:r w:rsidR="00E14CF3" w:rsidRPr="00834149">
        <w:rPr>
          <w:rFonts w:eastAsiaTheme="minorHAnsi" w:cs="Times New Roman"/>
          <w:b/>
          <w:bCs/>
        </w:rPr>
        <w:t xml:space="preserve"> and the Multilateral Investment Guarantee Agency (MIGA)</w:t>
      </w:r>
      <w:r w:rsidRPr="00834149">
        <w:rPr>
          <w:rFonts w:eastAsiaTheme="minorHAnsi" w:cs="Times New Roman"/>
          <w:b/>
          <w:bCs/>
        </w:rPr>
        <w:t xml:space="preserve"> </w:t>
      </w:r>
      <w:r w:rsidR="00E4554E" w:rsidRPr="00834149">
        <w:rPr>
          <w:rFonts w:eastAsiaTheme="minorHAnsi" w:cs="Times New Roman"/>
          <w:b/>
          <w:bCs/>
        </w:rPr>
        <w:t xml:space="preserve">presents the World Bank Group’s (WBG’s) proposed program for Togo during </w:t>
      </w:r>
      <w:r w:rsidRPr="00834149">
        <w:rPr>
          <w:rFonts w:eastAsiaTheme="minorHAnsi" w:cs="Times New Roman"/>
          <w:b/>
          <w:bCs/>
        </w:rPr>
        <w:t>the period FY17 through FY</w:t>
      </w:r>
      <w:r w:rsidR="00E765EC" w:rsidRPr="00834149">
        <w:rPr>
          <w:rFonts w:eastAsiaTheme="minorHAnsi" w:cs="Times New Roman"/>
          <w:b/>
          <w:bCs/>
        </w:rPr>
        <w:t>2</w:t>
      </w:r>
      <w:r w:rsidR="0042797E" w:rsidRPr="00834149">
        <w:rPr>
          <w:rFonts w:eastAsiaTheme="minorHAnsi" w:cs="Times New Roman"/>
          <w:b/>
          <w:bCs/>
        </w:rPr>
        <w:t>0</w:t>
      </w:r>
      <w:r w:rsidRPr="00834149">
        <w:rPr>
          <w:rFonts w:eastAsiaTheme="minorHAnsi" w:cs="Times New Roman"/>
          <w:bCs/>
        </w:rPr>
        <w:t xml:space="preserve">. </w:t>
      </w:r>
      <w:r w:rsidR="006B488D" w:rsidRPr="00834149">
        <w:rPr>
          <w:rFonts w:eastAsiaTheme="minorHAnsi" w:cs="Times New Roman"/>
          <w:bCs/>
        </w:rPr>
        <w:t xml:space="preserve">The CPF is </w:t>
      </w:r>
      <w:r w:rsidR="00625749" w:rsidRPr="00834149">
        <w:rPr>
          <w:rFonts w:eastAsiaTheme="minorHAnsi" w:cs="Times New Roman"/>
          <w:bCs/>
        </w:rPr>
        <w:t>aligned with</w:t>
      </w:r>
      <w:r w:rsidR="006B488D" w:rsidRPr="00834149">
        <w:rPr>
          <w:rFonts w:eastAsiaTheme="minorHAnsi" w:cs="Times New Roman"/>
          <w:bCs/>
        </w:rPr>
        <w:t xml:space="preserve"> the Government of Togo’s </w:t>
      </w:r>
      <w:r w:rsidR="0071132A" w:rsidRPr="00834149">
        <w:rPr>
          <w:rFonts w:eastAsiaTheme="minorHAnsi" w:cs="Times New Roman"/>
          <w:bCs/>
        </w:rPr>
        <w:t xml:space="preserve">forthcoming </w:t>
      </w:r>
      <w:r w:rsidR="006B488D" w:rsidRPr="00834149">
        <w:rPr>
          <w:rFonts w:eastAsiaTheme="minorHAnsi" w:cs="Times New Roman"/>
          <w:bCs/>
        </w:rPr>
        <w:t xml:space="preserve">National Development Plan (PND) for </w:t>
      </w:r>
      <w:r w:rsidR="001531DD" w:rsidRPr="00834149">
        <w:rPr>
          <w:rFonts w:cs="Times New Roman"/>
        </w:rPr>
        <w:t>2018–</w:t>
      </w:r>
      <w:r w:rsidR="00C622A7">
        <w:rPr>
          <w:rFonts w:cs="Times New Roman"/>
        </w:rPr>
        <w:t>20</w:t>
      </w:r>
      <w:r w:rsidR="001531DD" w:rsidRPr="00834149">
        <w:rPr>
          <w:rFonts w:cs="Times New Roman"/>
        </w:rPr>
        <w:t xml:space="preserve">22, which focuses on </w:t>
      </w:r>
      <w:r w:rsidR="00C51F56" w:rsidRPr="00834149">
        <w:rPr>
          <w:rFonts w:cs="Times New Roman"/>
        </w:rPr>
        <w:t>forging a</w:t>
      </w:r>
      <w:r w:rsidR="001531DD" w:rsidRPr="00834149">
        <w:rPr>
          <w:rFonts w:cs="Times New Roman"/>
        </w:rPr>
        <w:t xml:space="preserve"> solid, stable</w:t>
      </w:r>
      <w:r w:rsidR="00351EF9" w:rsidRPr="00834149">
        <w:rPr>
          <w:rFonts w:cs="Times New Roman"/>
        </w:rPr>
        <w:t xml:space="preserve"> democratic nat</w:t>
      </w:r>
      <w:r w:rsidR="00ED0B3B" w:rsidRPr="00834149">
        <w:rPr>
          <w:rFonts w:cs="Times New Roman"/>
        </w:rPr>
        <w:t xml:space="preserve">ion with </w:t>
      </w:r>
      <w:r w:rsidR="001531DD" w:rsidRPr="00834149">
        <w:rPr>
          <w:rFonts w:cs="Times New Roman"/>
        </w:rPr>
        <w:t>strong, sustainable, inclusive growth</w:t>
      </w:r>
      <w:r w:rsidR="004D614B" w:rsidRPr="00834149">
        <w:rPr>
          <w:rFonts w:cs="Times New Roman"/>
        </w:rPr>
        <w:t>;</w:t>
      </w:r>
      <w:r w:rsidR="001531DD" w:rsidRPr="00834149">
        <w:rPr>
          <w:rFonts w:cs="Times New Roman"/>
        </w:rPr>
        <w:t xml:space="preserve"> equitable access to good-quality social services</w:t>
      </w:r>
      <w:r w:rsidR="00EC71C8" w:rsidRPr="00834149">
        <w:rPr>
          <w:rFonts w:cs="Times New Roman"/>
        </w:rPr>
        <w:t>; and</w:t>
      </w:r>
      <w:r w:rsidR="001531DD" w:rsidRPr="00834149">
        <w:rPr>
          <w:rFonts w:cs="Times New Roman"/>
        </w:rPr>
        <w:t xml:space="preserve"> respect for the environment. </w:t>
      </w:r>
      <w:r w:rsidR="00EB55F8" w:rsidRPr="00834149">
        <w:rPr>
          <w:rFonts w:eastAsiaTheme="minorHAnsi" w:cs="Times New Roman"/>
        </w:rPr>
        <w:t>This is the first full-fledged WBG country strategy in Togo since the Country Assistance Strategy of 1995.</w:t>
      </w:r>
    </w:p>
    <w:p w14:paraId="02C061FE" w14:textId="77777777" w:rsidR="00647E8D" w:rsidRPr="00834149" w:rsidRDefault="00647E8D" w:rsidP="00647E8D">
      <w:pPr>
        <w:pStyle w:val="ListParagraph"/>
        <w:autoSpaceDE w:val="0"/>
        <w:autoSpaceDN w:val="0"/>
        <w:adjustRightInd w:val="0"/>
        <w:ind w:left="0"/>
        <w:jc w:val="both"/>
        <w:rPr>
          <w:rFonts w:eastAsiaTheme="minorHAnsi" w:cs="Times New Roman"/>
        </w:rPr>
      </w:pPr>
    </w:p>
    <w:p w14:paraId="12D80E3C" w14:textId="40439C70" w:rsidR="00647E8D" w:rsidRPr="00834149" w:rsidRDefault="00647E8D" w:rsidP="00647E8D">
      <w:pPr>
        <w:pStyle w:val="ListParagraph"/>
        <w:numPr>
          <w:ilvl w:val="0"/>
          <w:numId w:val="2"/>
        </w:numPr>
        <w:autoSpaceDE w:val="0"/>
        <w:autoSpaceDN w:val="0"/>
        <w:adjustRightInd w:val="0"/>
        <w:ind w:left="0" w:firstLine="0"/>
        <w:jc w:val="both"/>
        <w:rPr>
          <w:rFonts w:eastAsiaTheme="minorHAnsi" w:cs="Times New Roman"/>
        </w:rPr>
      </w:pPr>
      <w:r w:rsidRPr="00834149">
        <w:rPr>
          <w:rFonts w:eastAsiaTheme="minorHAnsi" w:cs="Times New Roman"/>
          <w:b/>
          <w:bCs/>
        </w:rPr>
        <w:t xml:space="preserve">The overarching objective of the CPF is to </w:t>
      </w:r>
      <w:r w:rsidRPr="00834149">
        <w:rPr>
          <w:rFonts w:cs="Times New Roman"/>
          <w:b/>
        </w:rPr>
        <w:t xml:space="preserve">help pave the way to more </w:t>
      </w:r>
      <w:r w:rsidR="00844141" w:rsidRPr="00834149">
        <w:rPr>
          <w:rFonts w:cs="Times New Roman"/>
          <w:b/>
        </w:rPr>
        <w:t xml:space="preserve">inclusive and </w:t>
      </w:r>
      <w:r w:rsidRPr="00834149">
        <w:rPr>
          <w:rFonts w:cs="Times New Roman"/>
          <w:b/>
        </w:rPr>
        <w:t>sustainable growth in Togo, led both by a more dynamic private sector and more effective government policies, public investments and services</w:t>
      </w:r>
      <w:r w:rsidRPr="00834149">
        <w:rPr>
          <w:rFonts w:cs="Times New Roman"/>
        </w:rPr>
        <w:t xml:space="preserve">. The WBG’s strategy under the CPF </w:t>
      </w:r>
      <w:r w:rsidR="000737D8" w:rsidRPr="00834149">
        <w:rPr>
          <w:rFonts w:cs="Times New Roman"/>
        </w:rPr>
        <w:t>emphasizes</w:t>
      </w:r>
      <w:r w:rsidRPr="00834149">
        <w:rPr>
          <w:rFonts w:cs="Times New Roman"/>
        </w:rPr>
        <w:t xml:space="preserve"> strengthening governance, including strengthening institutions and accountability, as a </w:t>
      </w:r>
      <w:r w:rsidR="000737D8" w:rsidRPr="00834149">
        <w:rPr>
          <w:rFonts w:cs="Times New Roman"/>
        </w:rPr>
        <w:t>cross cutting theme integrated in three focus areas</w:t>
      </w:r>
      <w:r w:rsidR="00703CD8" w:rsidRPr="00834149">
        <w:rPr>
          <w:rFonts w:cs="Times New Roman"/>
        </w:rPr>
        <w:t>:</w:t>
      </w:r>
      <w:r w:rsidRPr="00834149">
        <w:rPr>
          <w:rFonts w:cs="Times New Roman"/>
        </w:rPr>
        <w:t xml:space="preserve"> (i) private sector performance and job creation</w:t>
      </w:r>
      <w:r w:rsidR="00C622A7">
        <w:rPr>
          <w:rFonts w:cs="Times New Roman"/>
        </w:rPr>
        <w:t>;</w:t>
      </w:r>
      <w:r w:rsidRPr="00834149">
        <w:rPr>
          <w:rFonts w:cs="Times New Roman"/>
        </w:rPr>
        <w:t xml:space="preserve"> (ii) </w:t>
      </w:r>
      <w:r w:rsidR="00844141" w:rsidRPr="00834149">
        <w:rPr>
          <w:rFonts w:cs="Times New Roman"/>
        </w:rPr>
        <w:t>inclusive public service delivery</w:t>
      </w:r>
      <w:r w:rsidR="00C622A7">
        <w:rPr>
          <w:rFonts w:cs="Times New Roman"/>
        </w:rPr>
        <w:t>;</w:t>
      </w:r>
      <w:r w:rsidRPr="00834149">
        <w:rPr>
          <w:rFonts w:cs="Times New Roman"/>
        </w:rPr>
        <w:t xml:space="preserve"> and (iii) environmental sustainability and resilience. </w:t>
      </w:r>
      <w:r w:rsidRPr="00834149">
        <w:rPr>
          <w:rFonts w:eastAsiaTheme="minorHAnsi" w:cs="Times New Roman"/>
          <w:bCs/>
        </w:rPr>
        <w:t>Th</w:t>
      </w:r>
      <w:r w:rsidR="00D7370A" w:rsidRPr="00834149">
        <w:rPr>
          <w:rFonts w:eastAsiaTheme="minorHAnsi" w:cs="Times New Roman"/>
          <w:bCs/>
        </w:rPr>
        <w:t>e</w:t>
      </w:r>
      <w:r w:rsidRPr="00834149">
        <w:rPr>
          <w:rFonts w:eastAsiaTheme="minorHAnsi" w:cs="Times New Roman"/>
          <w:bCs/>
        </w:rPr>
        <w:t xml:space="preserve"> IDA18 </w:t>
      </w:r>
      <w:r w:rsidR="000737D8" w:rsidRPr="00834149">
        <w:rPr>
          <w:rFonts w:eastAsiaTheme="minorHAnsi" w:cs="Times New Roman"/>
          <w:bCs/>
        </w:rPr>
        <w:t xml:space="preserve">special </w:t>
      </w:r>
      <w:r w:rsidR="00844141" w:rsidRPr="00834149">
        <w:rPr>
          <w:rFonts w:eastAsiaTheme="minorHAnsi" w:cs="Times New Roman"/>
          <w:bCs/>
        </w:rPr>
        <w:t>them</w:t>
      </w:r>
      <w:r w:rsidR="000737D8" w:rsidRPr="00834149">
        <w:rPr>
          <w:rFonts w:eastAsiaTheme="minorHAnsi" w:cs="Times New Roman"/>
          <w:bCs/>
        </w:rPr>
        <w:t>es of climate change, gender, fragility, jobs and economic transformation, and</w:t>
      </w:r>
      <w:r w:rsidRPr="00834149">
        <w:rPr>
          <w:rFonts w:eastAsiaTheme="minorHAnsi" w:cs="Times New Roman"/>
          <w:bCs/>
        </w:rPr>
        <w:t xml:space="preserve"> governance</w:t>
      </w:r>
      <w:r w:rsidR="000737D8" w:rsidRPr="00834149">
        <w:rPr>
          <w:rFonts w:eastAsiaTheme="minorHAnsi" w:cs="Times New Roman"/>
          <w:bCs/>
        </w:rPr>
        <w:t xml:space="preserve"> and institutions are integrated in the CPF focus areas.</w:t>
      </w:r>
      <w:r w:rsidRPr="00834149">
        <w:rPr>
          <w:rFonts w:eastAsiaTheme="minorHAnsi" w:cs="Times New Roman"/>
          <w:bCs/>
        </w:rPr>
        <w:t xml:space="preserve"> </w:t>
      </w:r>
    </w:p>
    <w:p w14:paraId="68ECACFF" w14:textId="77777777" w:rsidR="00647E8D" w:rsidRPr="00834149" w:rsidRDefault="00647E8D" w:rsidP="00647E8D">
      <w:pPr>
        <w:pStyle w:val="ListParagraph"/>
        <w:rPr>
          <w:rFonts w:eastAsiaTheme="minorHAnsi" w:cs="Times New Roman"/>
          <w:b/>
          <w:bCs/>
        </w:rPr>
      </w:pPr>
    </w:p>
    <w:p w14:paraId="6B1664D7" w14:textId="7CD54455" w:rsidR="00647E8D" w:rsidRPr="00834149" w:rsidRDefault="00382BC3" w:rsidP="00647E8D">
      <w:pPr>
        <w:pStyle w:val="ListParagraph"/>
        <w:numPr>
          <w:ilvl w:val="0"/>
          <w:numId w:val="2"/>
        </w:numPr>
        <w:autoSpaceDE w:val="0"/>
        <w:autoSpaceDN w:val="0"/>
        <w:adjustRightInd w:val="0"/>
        <w:ind w:left="0" w:firstLine="0"/>
        <w:jc w:val="both"/>
        <w:rPr>
          <w:rFonts w:eastAsiaTheme="minorHAnsi" w:cs="Times New Roman"/>
        </w:rPr>
      </w:pPr>
      <w:r w:rsidRPr="00834149">
        <w:rPr>
          <w:rFonts w:cs="Times New Roman"/>
          <w:b/>
          <w:iCs/>
        </w:rPr>
        <w:t>T</w:t>
      </w:r>
      <w:r w:rsidR="00490764" w:rsidRPr="00834149">
        <w:rPr>
          <w:rFonts w:cs="Times New Roman"/>
          <w:b/>
          <w:iCs/>
        </w:rPr>
        <w:t xml:space="preserve">he CPF </w:t>
      </w:r>
      <w:r w:rsidRPr="00834149">
        <w:rPr>
          <w:rFonts w:cs="Times New Roman"/>
          <w:b/>
          <w:iCs/>
        </w:rPr>
        <w:t>seeks to</w:t>
      </w:r>
      <w:r w:rsidR="00490764" w:rsidRPr="00834149">
        <w:rPr>
          <w:rFonts w:cs="Times New Roman"/>
          <w:b/>
          <w:iCs/>
        </w:rPr>
        <w:t xml:space="preserve"> take full advantage of the new IDA18 architecture and increased support for fragile states</w:t>
      </w:r>
      <w:r w:rsidRPr="00834149">
        <w:rPr>
          <w:rFonts w:cs="Times New Roman"/>
          <w:b/>
          <w:iCs/>
        </w:rPr>
        <w:t xml:space="preserve"> to scale up WBG support </w:t>
      </w:r>
      <w:r w:rsidR="00844141" w:rsidRPr="00834149">
        <w:rPr>
          <w:rFonts w:cs="Times New Roman"/>
          <w:b/>
          <w:iCs/>
        </w:rPr>
        <w:t>and</w:t>
      </w:r>
      <w:r w:rsidR="000737D8" w:rsidRPr="00834149">
        <w:rPr>
          <w:rFonts w:cs="Times New Roman"/>
          <w:b/>
          <w:iCs/>
        </w:rPr>
        <w:t xml:space="preserve"> promote joint IDA and IFC support</w:t>
      </w:r>
      <w:r w:rsidR="00490764" w:rsidRPr="00834149">
        <w:rPr>
          <w:rFonts w:cs="Times New Roman"/>
          <w:iCs/>
        </w:rPr>
        <w:t>.</w:t>
      </w:r>
      <w:r w:rsidR="00490764" w:rsidRPr="00834149">
        <w:rPr>
          <w:rFonts w:cs="Times New Roman"/>
          <w:b/>
          <w:iCs/>
        </w:rPr>
        <w:t xml:space="preserve"> </w:t>
      </w:r>
      <w:r w:rsidR="00A55286" w:rsidRPr="00834149">
        <w:rPr>
          <w:rFonts w:cs="Times New Roman"/>
          <w:iCs/>
        </w:rPr>
        <w:t xml:space="preserve">The CPF pursues new avenues for mobilizing private sector investments in Togo by promoting WBG </w:t>
      </w:r>
      <w:r w:rsidR="00B5543D" w:rsidRPr="00834149">
        <w:rPr>
          <w:rFonts w:cs="Times New Roman"/>
          <w:iCs/>
        </w:rPr>
        <w:t xml:space="preserve">financing </w:t>
      </w:r>
      <w:r w:rsidR="00A55286" w:rsidRPr="00834149">
        <w:rPr>
          <w:rFonts w:cs="Times New Roman"/>
          <w:iCs/>
        </w:rPr>
        <w:t xml:space="preserve">instruments to </w:t>
      </w:r>
      <w:r w:rsidRPr="00834149">
        <w:rPr>
          <w:rFonts w:cs="Times New Roman"/>
          <w:iCs/>
        </w:rPr>
        <w:t xml:space="preserve">de-risk </w:t>
      </w:r>
      <w:r w:rsidR="00A55286" w:rsidRPr="00834149">
        <w:rPr>
          <w:rFonts w:cs="Times New Roman"/>
          <w:iCs/>
        </w:rPr>
        <w:t>investment opportunities</w:t>
      </w:r>
      <w:r w:rsidR="000737D8" w:rsidRPr="00834149">
        <w:rPr>
          <w:rFonts w:cs="Times New Roman"/>
          <w:iCs/>
        </w:rPr>
        <w:t>. Togo will benefit from the increased poverty orientation of the performance-based allocation under IDA18, with a doubling of IDA resources and expanded budget resources to implement a growing portfolio during the CPF period.</w:t>
      </w:r>
      <w:r w:rsidRPr="00834149">
        <w:rPr>
          <w:rFonts w:cs="Times New Roman"/>
          <w:iCs/>
        </w:rPr>
        <w:t xml:space="preserve"> </w:t>
      </w:r>
      <w:r w:rsidR="004E0119" w:rsidRPr="00834149">
        <w:rPr>
          <w:rFonts w:cs="Times New Roman"/>
          <w:iCs/>
        </w:rPr>
        <w:t>The</w:t>
      </w:r>
      <w:r w:rsidRPr="00834149">
        <w:rPr>
          <w:rFonts w:cs="Times New Roman"/>
          <w:iCs/>
        </w:rPr>
        <w:t xml:space="preserve"> CPF </w:t>
      </w:r>
      <w:r w:rsidR="004E0119" w:rsidRPr="00834149">
        <w:rPr>
          <w:rFonts w:cs="Times New Roman"/>
          <w:iCs/>
        </w:rPr>
        <w:t xml:space="preserve">also seizes on a window of opportunity to </w:t>
      </w:r>
      <w:r w:rsidRPr="00834149">
        <w:rPr>
          <w:rFonts w:cs="Times New Roman"/>
          <w:iCs/>
        </w:rPr>
        <w:t>support</w:t>
      </w:r>
      <w:r w:rsidR="00A55286" w:rsidRPr="00834149">
        <w:rPr>
          <w:rFonts w:cs="Times New Roman"/>
          <w:iCs/>
        </w:rPr>
        <w:t xml:space="preserve"> the</w:t>
      </w:r>
      <w:r w:rsidRPr="00834149">
        <w:rPr>
          <w:rFonts w:cs="Times New Roman"/>
          <w:iCs/>
        </w:rPr>
        <w:t xml:space="preserve"> government’s ambitious efforts to </w:t>
      </w:r>
      <w:r w:rsidR="004E0119" w:rsidRPr="00834149">
        <w:rPr>
          <w:rFonts w:cs="Times New Roman"/>
          <w:iCs/>
        </w:rPr>
        <w:t xml:space="preserve">stabilize </w:t>
      </w:r>
      <w:r w:rsidRPr="00834149">
        <w:rPr>
          <w:rFonts w:cs="Times New Roman"/>
          <w:iCs/>
        </w:rPr>
        <w:t>the macroeconomic framework and mitigate fiscal risks</w:t>
      </w:r>
      <w:r w:rsidR="00A55286" w:rsidRPr="00834149">
        <w:rPr>
          <w:rFonts w:cs="Times New Roman"/>
          <w:iCs/>
        </w:rPr>
        <w:t>, a prerequisite for sustainable growth</w:t>
      </w:r>
      <w:r w:rsidRPr="00834149">
        <w:rPr>
          <w:rFonts w:cs="Times New Roman"/>
          <w:iCs/>
        </w:rPr>
        <w:t xml:space="preserve">. </w:t>
      </w:r>
      <w:r w:rsidR="002A5B07" w:rsidRPr="00834149">
        <w:rPr>
          <w:rFonts w:cs="Times New Roman"/>
        </w:rPr>
        <w:t>Given the substantial risks and challenges for government to sustain reforms</w:t>
      </w:r>
      <w:r w:rsidR="004E0119" w:rsidRPr="00834149">
        <w:rPr>
          <w:rFonts w:cs="Times New Roman"/>
        </w:rPr>
        <w:t xml:space="preserve"> proposed in the CPF program, </w:t>
      </w:r>
      <w:r w:rsidR="002A5B07" w:rsidRPr="00834149">
        <w:rPr>
          <w:rFonts w:cs="Times New Roman"/>
        </w:rPr>
        <w:t>two engagement scenarios</w:t>
      </w:r>
      <w:r w:rsidR="004E0119" w:rsidRPr="00834149">
        <w:rPr>
          <w:rFonts w:cs="Times New Roman"/>
        </w:rPr>
        <w:t xml:space="preserve"> are presented for IDA to support the twin objectives of poverty reduction and shared prosperity in Togo</w:t>
      </w:r>
      <w:r w:rsidR="002A5B07" w:rsidRPr="00834149">
        <w:rPr>
          <w:rFonts w:cs="Times New Roman"/>
        </w:rPr>
        <w:t>.</w:t>
      </w:r>
    </w:p>
    <w:p w14:paraId="3EA92838" w14:textId="77777777" w:rsidR="00E5110B" w:rsidRPr="00834149" w:rsidRDefault="00E5110B" w:rsidP="00E5110B">
      <w:pPr>
        <w:pStyle w:val="ListParagraph"/>
        <w:rPr>
          <w:rFonts w:eastAsiaTheme="minorHAnsi" w:cs="Times New Roman"/>
        </w:rPr>
      </w:pPr>
    </w:p>
    <w:p w14:paraId="3CF4571C" w14:textId="5ABE79F6" w:rsidR="001B001A" w:rsidRPr="00F566F5" w:rsidRDefault="001B001A" w:rsidP="004D7D57">
      <w:pPr>
        <w:pStyle w:val="HEAD"/>
        <w:rPr>
          <w:rStyle w:val="Strong"/>
          <w:rFonts w:asciiTheme="minorHAnsi" w:hAnsiTheme="minorHAnsi"/>
          <w:bCs w:val="0"/>
          <w:sz w:val="22"/>
          <w:szCs w:val="22"/>
        </w:rPr>
      </w:pPr>
      <w:bookmarkStart w:id="2" w:name="_Toc480207629"/>
      <w:r w:rsidRPr="00834149">
        <w:rPr>
          <w:rStyle w:val="Strong"/>
          <w:rFonts w:asciiTheme="minorHAnsi" w:hAnsiTheme="minorHAnsi"/>
          <w:bCs w:val="0"/>
          <w:sz w:val="22"/>
          <w:szCs w:val="22"/>
        </w:rPr>
        <w:t>II. COUNTRY CONTEXT AND DEVELOPMENT AGENDA</w:t>
      </w:r>
      <w:bookmarkEnd w:id="2"/>
    </w:p>
    <w:p w14:paraId="04BE933C" w14:textId="77777777" w:rsidR="001B001A" w:rsidRPr="00834149" w:rsidRDefault="001B001A" w:rsidP="004D7D57">
      <w:pPr>
        <w:pStyle w:val="HEAD"/>
        <w:rPr>
          <w:rStyle w:val="Strong"/>
          <w:rFonts w:asciiTheme="minorHAnsi" w:hAnsiTheme="minorHAnsi"/>
          <w:b w:val="0"/>
          <w:sz w:val="22"/>
          <w:szCs w:val="22"/>
        </w:rPr>
      </w:pPr>
    </w:p>
    <w:p w14:paraId="1E2311E8" w14:textId="42712246" w:rsidR="001B001A" w:rsidRPr="00834149" w:rsidRDefault="001B001A" w:rsidP="00E5110B">
      <w:pPr>
        <w:pStyle w:val="Heading2"/>
        <w:spacing w:before="0"/>
        <w:jc w:val="both"/>
        <w:rPr>
          <w:rFonts w:asciiTheme="minorHAnsi" w:hAnsiTheme="minorHAnsi" w:cs="Times New Roman"/>
          <w:sz w:val="22"/>
          <w:szCs w:val="22"/>
        </w:rPr>
      </w:pPr>
      <w:bookmarkStart w:id="3" w:name="_Toc480207630"/>
      <w:r w:rsidRPr="00834149">
        <w:rPr>
          <w:rFonts w:asciiTheme="minorHAnsi" w:hAnsiTheme="minorHAnsi" w:cs="Times New Roman"/>
          <w:sz w:val="22"/>
          <w:szCs w:val="22"/>
        </w:rPr>
        <w:t>2.1 Social and Political Context</w:t>
      </w:r>
      <w:bookmarkEnd w:id="3"/>
    </w:p>
    <w:p w14:paraId="4272B218" w14:textId="77777777" w:rsidR="002A4F05" w:rsidRPr="00834149" w:rsidRDefault="002A4F05" w:rsidP="00541C07">
      <w:pPr>
        <w:jc w:val="both"/>
        <w:rPr>
          <w:rFonts w:cs="Times New Roman"/>
        </w:rPr>
      </w:pPr>
    </w:p>
    <w:p w14:paraId="1F053AA3" w14:textId="7A6A8A33" w:rsidR="00DC2F27" w:rsidRPr="00834149" w:rsidRDefault="001B001A" w:rsidP="00FA0BB4">
      <w:pPr>
        <w:pStyle w:val="ListParagraph"/>
        <w:numPr>
          <w:ilvl w:val="0"/>
          <w:numId w:val="2"/>
        </w:numPr>
        <w:autoSpaceDE w:val="0"/>
        <w:autoSpaceDN w:val="0"/>
        <w:adjustRightInd w:val="0"/>
        <w:ind w:left="0" w:firstLine="0"/>
        <w:jc w:val="both"/>
        <w:rPr>
          <w:rFonts w:cs="Times New Roman"/>
        </w:rPr>
      </w:pPr>
      <w:r w:rsidRPr="00834149">
        <w:rPr>
          <w:rFonts w:cs="Times New Roman"/>
          <w:b/>
        </w:rPr>
        <w:t>Togo is a small country located along the West African coast on the Gulf of Guinea</w:t>
      </w:r>
      <w:r w:rsidR="00DE5803" w:rsidRPr="00834149">
        <w:rPr>
          <w:rFonts w:cs="Times New Roman"/>
          <w:b/>
        </w:rPr>
        <w:t>,</w:t>
      </w:r>
      <w:r w:rsidRPr="00834149">
        <w:rPr>
          <w:rFonts w:cs="Times New Roman"/>
          <w:b/>
        </w:rPr>
        <w:t xml:space="preserve"> between Ghana and Benin</w:t>
      </w:r>
      <w:r w:rsidRPr="00834149">
        <w:rPr>
          <w:rFonts w:cs="Times New Roman"/>
        </w:rPr>
        <w:t>.</w:t>
      </w:r>
      <w:r w:rsidR="00B91DAB" w:rsidRPr="00834149">
        <w:rPr>
          <w:rFonts w:cs="Times New Roman"/>
        </w:rPr>
        <w:t xml:space="preserve"> From its deep-water sea port in the </w:t>
      </w:r>
      <w:r w:rsidR="00992BE9" w:rsidRPr="00834149">
        <w:rPr>
          <w:rFonts w:cs="Times New Roman"/>
        </w:rPr>
        <w:t xml:space="preserve">coastal </w:t>
      </w:r>
      <w:r w:rsidR="00B91DAB" w:rsidRPr="00834149">
        <w:rPr>
          <w:rFonts w:cs="Times New Roman"/>
        </w:rPr>
        <w:t xml:space="preserve">south to its </w:t>
      </w:r>
      <w:r w:rsidR="002A4F05" w:rsidRPr="00834149">
        <w:rPr>
          <w:rFonts w:cs="Times New Roman"/>
        </w:rPr>
        <w:t xml:space="preserve">northern </w:t>
      </w:r>
      <w:r w:rsidR="00B91DAB" w:rsidRPr="00834149">
        <w:rPr>
          <w:rFonts w:cs="Times New Roman"/>
        </w:rPr>
        <w:t xml:space="preserve">border with Burkina Faso, Togo sits on a </w:t>
      </w:r>
      <w:r w:rsidR="006463A8" w:rsidRPr="00834149">
        <w:rPr>
          <w:rFonts w:cs="Times New Roman"/>
        </w:rPr>
        <w:t xml:space="preserve">narrow </w:t>
      </w:r>
      <w:r w:rsidR="00B91DAB" w:rsidRPr="00834149">
        <w:rPr>
          <w:rFonts w:cs="Times New Roman"/>
        </w:rPr>
        <w:t>territory of 57,000 square k</w:t>
      </w:r>
      <w:r w:rsidR="00DE5803" w:rsidRPr="00834149">
        <w:rPr>
          <w:rFonts w:cs="Times New Roman"/>
        </w:rPr>
        <w:t>ilo</w:t>
      </w:r>
      <w:r w:rsidR="00B91DAB" w:rsidRPr="00834149">
        <w:rPr>
          <w:rFonts w:cs="Times New Roman"/>
        </w:rPr>
        <w:t>m</w:t>
      </w:r>
      <w:r w:rsidR="00DE5803" w:rsidRPr="00834149">
        <w:rPr>
          <w:rFonts w:cs="Times New Roman"/>
        </w:rPr>
        <w:t>eters</w:t>
      </w:r>
      <w:r w:rsidR="00B91DAB" w:rsidRPr="00834149">
        <w:rPr>
          <w:rFonts w:cs="Times New Roman"/>
        </w:rPr>
        <w:t>, only 100 k</w:t>
      </w:r>
      <w:r w:rsidR="00DE5803" w:rsidRPr="00834149">
        <w:rPr>
          <w:rFonts w:cs="Times New Roman"/>
        </w:rPr>
        <w:t>ilo</w:t>
      </w:r>
      <w:r w:rsidR="00B91DAB" w:rsidRPr="00834149">
        <w:rPr>
          <w:rFonts w:cs="Times New Roman"/>
        </w:rPr>
        <w:t>m</w:t>
      </w:r>
      <w:r w:rsidR="00DE5803" w:rsidRPr="00834149">
        <w:rPr>
          <w:rFonts w:cs="Times New Roman"/>
        </w:rPr>
        <w:t>eters</w:t>
      </w:r>
      <w:r w:rsidR="00B91DAB" w:rsidRPr="00834149">
        <w:rPr>
          <w:rFonts w:cs="Times New Roman"/>
        </w:rPr>
        <w:t xml:space="preserve"> wide</w:t>
      </w:r>
      <w:r w:rsidR="006463A8" w:rsidRPr="00834149">
        <w:rPr>
          <w:rFonts w:cs="Times New Roman"/>
        </w:rPr>
        <w:t xml:space="preserve">, </w:t>
      </w:r>
      <w:r w:rsidR="00B91DAB" w:rsidRPr="00834149">
        <w:rPr>
          <w:rFonts w:cs="Times New Roman"/>
        </w:rPr>
        <w:t xml:space="preserve">creating a </w:t>
      </w:r>
      <w:r w:rsidR="006463A8" w:rsidRPr="00834149">
        <w:rPr>
          <w:rFonts w:cs="Times New Roman"/>
        </w:rPr>
        <w:t xml:space="preserve">natural </w:t>
      </w:r>
      <w:r w:rsidR="00B91DAB" w:rsidRPr="00834149">
        <w:rPr>
          <w:rFonts w:cs="Times New Roman"/>
        </w:rPr>
        <w:t xml:space="preserve">corridor </w:t>
      </w:r>
      <w:r w:rsidR="00DE5803" w:rsidRPr="00834149">
        <w:rPr>
          <w:rFonts w:cs="Times New Roman"/>
        </w:rPr>
        <w:t xml:space="preserve">that </w:t>
      </w:r>
      <w:r w:rsidR="00B91DAB" w:rsidRPr="00834149">
        <w:rPr>
          <w:rFonts w:cs="Times New Roman"/>
        </w:rPr>
        <w:t xml:space="preserve">lends itself well to </w:t>
      </w:r>
      <w:r w:rsidR="00DE5803" w:rsidRPr="00834149">
        <w:rPr>
          <w:rFonts w:cs="Times New Roman"/>
        </w:rPr>
        <w:t xml:space="preserve">the country’s </w:t>
      </w:r>
      <w:r w:rsidR="00B91DAB" w:rsidRPr="00834149">
        <w:rPr>
          <w:rFonts w:cs="Times New Roman"/>
        </w:rPr>
        <w:t>ambition</w:t>
      </w:r>
      <w:r w:rsidR="002E0F01" w:rsidRPr="00834149">
        <w:rPr>
          <w:rFonts w:cs="Times New Roman"/>
        </w:rPr>
        <w:t>s</w:t>
      </w:r>
      <w:r w:rsidR="00B91DAB" w:rsidRPr="00834149">
        <w:rPr>
          <w:rFonts w:cs="Times New Roman"/>
        </w:rPr>
        <w:t xml:space="preserve"> of becoming a transshipment hub</w:t>
      </w:r>
      <w:r w:rsidR="006463A8" w:rsidRPr="00834149">
        <w:rPr>
          <w:rFonts w:cs="Times New Roman"/>
        </w:rPr>
        <w:t xml:space="preserve"> and logistic</w:t>
      </w:r>
      <w:r w:rsidR="00DE5803" w:rsidRPr="00834149">
        <w:rPr>
          <w:rFonts w:cs="Times New Roman"/>
        </w:rPr>
        <w:t>s</w:t>
      </w:r>
      <w:r w:rsidR="006463A8" w:rsidRPr="00834149">
        <w:rPr>
          <w:rFonts w:cs="Times New Roman"/>
        </w:rPr>
        <w:t xml:space="preserve"> platform</w:t>
      </w:r>
      <w:r w:rsidR="00B91DAB" w:rsidRPr="00834149">
        <w:rPr>
          <w:rFonts w:cs="Times New Roman"/>
        </w:rPr>
        <w:t xml:space="preserve"> for the </w:t>
      </w:r>
      <w:r w:rsidR="00DE5803" w:rsidRPr="00834149">
        <w:rPr>
          <w:rFonts w:cs="Times New Roman"/>
        </w:rPr>
        <w:t xml:space="preserve">West African </w:t>
      </w:r>
      <w:r w:rsidR="00B91DAB" w:rsidRPr="00834149">
        <w:rPr>
          <w:rFonts w:cs="Times New Roman"/>
        </w:rPr>
        <w:t xml:space="preserve">subregion. </w:t>
      </w:r>
      <w:r w:rsidR="00992BE9" w:rsidRPr="00834149">
        <w:rPr>
          <w:rFonts w:cs="Times New Roman"/>
        </w:rPr>
        <w:t>J</w:t>
      </w:r>
      <w:r w:rsidR="00AB1EE3" w:rsidRPr="00834149">
        <w:rPr>
          <w:rFonts w:cs="Times New Roman"/>
        </w:rPr>
        <w:t xml:space="preserve">ust over a </w:t>
      </w:r>
      <w:r w:rsidR="002E0F01" w:rsidRPr="00834149">
        <w:rPr>
          <w:rFonts w:cs="Times New Roman"/>
        </w:rPr>
        <w:t xml:space="preserve">quarter of </w:t>
      </w:r>
      <w:r w:rsidR="00DE5803" w:rsidRPr="00834149">
        <w:rPr>
          <w:rFonts w:cs="Times New Roman"/>
        </w:rPr>
        <w:t xml:space="preserve">Togo’s population of </w:t>
      </w:r>
      <w:r w:rsidR="00992BE9" w:rsidRPr="00834149">
        <w:rPr>
          <w:rFonts w:cs="Times New Roman"/>
        </w:rPr>
        <w:t xml:space="preserve">7.3 million </w:t>
      </w:r>
      <w:r w:rsidR="00DE5803" w:rsidRPr="00834149">
        <w:rPr>
          <w:rFonts w:cs="Times New Roman"/>
        </w:rPr>
        <w:t xml:space="preserve">people </w:t>
      </w:r>
      <w:r w:rsidR="002E0F01" w:rsidRPr="00834149">
        <w:rPr>
          <w:rFonts w:cs="Times New Roman"/>
        </w:rPr>
        <w:t>live</w:t>
      </w:r>
      <w:r w:rsidR="00BA3ABF" w:rsidRPr="00834149">
        <w:rPr>
          <w:rFonts w:cs="Times New Roman"/>
        </w:rPr>
        <w:t>s</w:t>
      </w:r>
      <w:r w:rsidR="00AB1EE3" w:rsidRPr="00834149">
        <w:rPr>
          <w:rFonts w:cs="Times New Roman"/>
        </w:rPr>
        <w:t xml:space="preserve"> in the wealthier</w:t>
      </w:r>
      <w:r w:rsidR="00DE5803" w:rsidRPr="00834149">
        <w:rPr>
          <w:rFonts w:cs="Times New Roman"/>
        </w:rPr>
        <w:t>,</w:t>
      </w:r>
      <w:r w:rsidRPr="00834149">
        <w:rPr>
          <w:rFonts w:cs="Times New Roman"/>
        </w:rPr>
        <w:t xml:space="preserve"> </w:t>
      </w:r>
      <w:r w:rsidR="00AB1EE3" w:rsidRPr="00834149">
        <w:rPr>
          <w:rFonts w:cs="Times New Roman"/>
        </w:rPr>
        <w:t xml:space="preserve">more </w:t>
      </w:r>
      <w:r w:rsidRPr="00834149">
        <w:rPr>
          <w:rFonts w:cs="Times New Roman"/>
        </w:rPr>
        <w:t>industrialized coastal area where the capital city of Lomé is located.</w:t>
      </w:r>
      <w:r w:rsidR="00AB1EE3" w:rsidRPr="00834149">
        <w:rPr>
          <w:rFonts w:cs="Times New Roman"/>
        </w:rPr>
        <w:t xml:space="preserve"> </w:t>
      </w:r>
    </w:p>
    <w:p w14:paraId="7898333A" w14:textId="77777777" w:rsidR="00DC2F27" w:rsidRPr="00834149" w:rsidRDefault="00DC2F27" w:rsidP="00DC2F27">
      <w:pPr>
        <w:pStyle w:val="ListParagraph"/>
        <w:autoSpaceDE w:val="0"/>
        <w:autoSpaceDN w:val="0"/>
        <w:adjustRightInd w:val="0"/>
        <w:ind w:left="0"/>
        <w:jc w:val="both"/>
        <w:rPr>
          <w:rFonts w:cs="Times New Roman"/>
        </w:rPr>
      </w:pPr>
    </w:p>
    <w:p w14:paraId="58A306B4" w14:textId="07070754" w:rsidR="003B60FA" w:rsidRPr="00834149" w:rsidRDefault="00650BD7" w:rsidP="003B60FA">
      <w:pPr>
        <w:pStyle w:val="ListParagraph"/>
        <w:numPr>
          <w:ilvl w:val="0"/>
          <w:numId w:val="2"/>
        </w:numPr>
        <w:autoSpaceDE w:val="0"/>
        <w:autoSpaceDN w:val="0"/>
        <w:adjustRightInd w:val="0"/>
        <w:ind w:left="0" w:firstLine="0"/>
        <w:jc w:val="both"/>
        <w:rPr>
          <w:rFonts w:cs="Times New Roman"/>
        </w:rPr>
      </w:pPr>
      <w:r w:rsidRPr="00834149">
        <w:rPr>
          <w:rFonts w:cs="Times New Roman"/>
          <w:b/>
        </w:rPr>
        <w:t>The country</w:t>
      </w:r>
      <w:r w:rsidR="00DC2F27" w:rsidRPr="00834149">
        <w:rPr>
          <w:rFonts w:cs="Times New Roman"/>
          <w:b/>
        </w:rPr>
        <w:t xml:space="preserve"> is diverse in languages</w:t>
      </w:r>
      <w:r w:rsidR="00F22275" w:rsidRPr="00834149">
        <w:rPr>
          <w:rFonts w:cs="Times New Roman"/>
          <w:b/>
        </w:rPr>
        <w:t>,</w:t>
      </w:r>
      <w:r w:rsidR="00DC2F27" w:rsidRPr="00834149">
        <w:rPr>
          <w:rFonts w:cs="Times New Roman"/>
          <w:b/>
        </w:rPr>
        <w:t xml:space="preserve"> </w:t>
      </w:r>
      <w:r w:rsidR="00F22275" w:rsidRPr="00834149">
        <w:rPr>
          <w:rFonts w:cs="Times New Roman"/>
          <w:b/>
        </w:rPr>
        <w:t>e</w:t>
      </w:r>
      <w:r w:rsidR="00DC2F27" w:rsidRPr="00834149">
        <w:rPr>
          <w:rFonts w:cs="Times New Roman"/>
          <w:b/>
        </w:rPr>
        <w:t>thnic groups</w:t>
      </w:r>
      <w:r w:rsidR="00BA3ABF" w:rsidRPr="00834149">
        <w:rPr>
          <w:rFonts w:cs="Times New Roman"/>
          <w:b/>
        </w:rPr>
        <w:t>,</w:t>
      </w:r>
      <w:r w:rsidR="00F22275" w:rsidRPr="00834149">
        <w:rPr>
          <w:rFonts w:cs="Times New Roman"/>
          <w:b/>
        </w:rPr>
        <w:t xml:space="preserve"> and geography</w:t>
      </w:r>
      <w:r w:rsidR="00F22275" w:rsidRPr="00834149">
        <w:rPr>
          <w:rFonts w:cs="Times New Roman"/>
        </w:rPr>
        <w:t>.</w:t>
      </w:r>
      <w:r w:rsidR="00F22275" w:rsidRPr="00834149">
        <w:rPr>
          <w:rFonts w:cs="Times New Roman"/>
          <w:b/>
        </w:rPr>
        <w:t xml:space="preserve"> </w:t>
      </w:r>
      <w:r w:rsidR="00E14AF5" w:rsidRPr="00834149">
        <w:rPr>
          <w:rFonts w:cs="Times New Roman"/>
        </w:rPr>
        <w:t>While</w:t>
      </w:r>
      <w:r w:rsidR="00F22275" w:rsidRPr="00834149">
        <w:rPr>
          <w:rFonts w:cs="Times New Roman"/>
        </w:rPr>
        <w:t xml:space="preserve"> French is the official language, t</w:t>
      </w:r>
      <w:r w:rsidR="00DC2F27" w:rsidRPr="00834149">
        <w:rPr>
          <w:rFonts w:cs="Times New Roman"/>
        </w:rPr>
        <w:t>wo native languages</w:t>
      </w:r>
      <w:r w:rsidR="006F6190" w:rsidRPr="00834149">
        <w:rPr>
          <w:rFonts w:cs="Times New Roman"/>
        </w:rPr>
        <w:t xml:space="preserve"> are considered national languages</w:t>
      </w:r>
      <w:r w:rsidR="00F22275" w:rsidRPr="00834149">
        <w:rPr>
          <w:rFonts w:cs="Times New Roman"/>
        </w:rPr>
        <w:t>:</w:t>
      </w:r>
      <w:r w:rsidR="00DC2F27" w:rsidRPr="00834149">
        <w:rPr>
          <w:rFonts w:cs="Times New Roman"/>
        </w:rPr>
        <w:t xml:space="preserve"> </w:t>
      </w:r>
      <w:r w:rsidR="006F6190" w:rsidRPr="00834149">
        <w:rPr>
          <w:rFonts w:cs="Times New Roman"/>
          <w:lang w:val="en"/>
        </w:rPr>
        <w:t>Mina</w:t>
      </w:r>
      <w:r w:rsidR="002942F5" w:rsidRPr="00834149">
        <w:rPr>
          <w:rFonts w:cs="Times New Roman"/>
          <w:lang w:val="en"/>
        </w:rPr>
        <w:t xml:space="preserve"> (a</w:t>
      </w:r>
      <w:r w:rsidR="006F6190" w:rsidRPr="00834149">
        <w:rPr>
          <w:rFonts w:cs="Times New Roman"/>
          <w:lang w:val="en"/>
        </w:rPr>
        <w:t xml:space="preserve"> dialect of Ewé</w:t>
      </w:r>
      <w:r w:rsidR="002942F5" w:rsidRPr="00834149">
        <w:rPr>
          <w:rFonts w:cs="Times New Roman"/>
          <w:lang w:val="en"/>
        </w:rPr>
        <w:t>)</w:t>
      </w:r>
      <w:r w:rsidR="006F6190" w:rsidRPr="00834149">
        <w:rPr>
          <w:rFonts w:cs="Times New Roman"/>
          <w:lang w:val="en"/>
        </w:rPr>
        <w:t xml:space="preserve"> </w:t>
      </w:r>
      <w:r w:rsidR="001A77B6" w:rsidRPr="00834149">
        <w:rPr>
          <w:rFonts w:cs="Times New Roman"/>
          <w:lang w:val="en"/>
        </w:rPr>
        <w:t xml:space="preserve">is spoken </w:t>
      </w:r>
      <w:r w:rsidR="006F6190" w:rsidRPr="00834149">
        <w:rPr>
          <w:rFonts w:cs="Times New Roman"/>
          <w:lang w:val="en"/>
        </w:rPr>
        <w:t>in the south of the country and Kabiyé</w:t>
      </w:r>
      <w:r w:rsidR="00F22275" w:rsidRPr="00834149">
        <w:rPr>
          <w:rFonts w:cs="Times New Roman"/>
          <w:lang w:val="en"/>
        </w:rPr>
        <w:t>,</w:t>
      </w:r>
      <w:r w:rsidR="006F6190" w:rsidRPr="00834149">
        <w:rPr>
          <w:rFonts w:cs="Times New Roman"/>
          <w:lang w:val="en"/>
        </w:rPr>
        <w:t xml:space="preserve"> in the north. While a majority of Togolese practice indigenous beliefs (estimated at 51 percent), </w:t>
      </w:r>
      <w:r w:rsidR="006F6190" w:rsidRPr="00834149">
        <w:rPr>
          <w:rStyle w:val="tgc"/>
          <w:rFonts w:cs="Times New Roman"/>
          <w:color w:val="222222"/>
        </w:rPr>
        <w:t xml:space="preserve">there are significant </w:t>
      </w:r>
      <w:r w:rsidR="006F6190" w:rsidRPr="00834149">
        <w:rPr>
          <w:rStyle w:val="tgc"/>
          <w:rFonts w:cs="Times New Roman"/>
          <w:bCs/>
          <w:color w:val="222222"/>
        </w:rPr>
        <w:t>Christian</w:t>
      </w:r>
      <w:r w:rsidR="006F6190" w:rsidRPr="00834149">
        <w:rPr>
          <w:rStyle w:val="tgc"/>
          <w:rFonts w:cs="Times New Roman"/>
          <w:color w:val="222222"/>
        </w:rPr>
        <w:t xml:space="preserve"> (29 percent) and </w:t>
      </w:r>
      <w:r w:rsidR="006F6190" w:rsidRPr="00834149">
        <w:rPr>
          <w:rStyle w:val="tgc"/>
          <w:rFonts w:cs="Times New Roman"/>
          <w:bCs/>
          <w:color w:val="222222"/>
        </w:rPr>
        <w:t>Muslim</w:t>
      </w:r>
      <w:r w:rsidR="006F6190" w:rsidRPr="00834149">
        <w:rPr>
          <w:rStyle w:val="tgc"/>
          <w:rFonts w:cs="Times New Roman"/>
          <w:color w:val="222222"/>
        </w:rPr>
        <w:t xml:space="preserve"> (20 percent) minorities.</w:t>
      </w:r>
      <w:r w:rsidR="006F6190" w:rsidRPr="00834149">
        <w:rPr>
          <w:rFonts w:cs="Times New Roman"/>
        </w:rPr>
        <w:t xml:space="preserve"> </w:t>
      </w:r>
      <w:r w:rsidR="00DC2F27" w:rsidRPr="00834149">
        <w:rPr>
          <w:rFonts w:cs="Times New Roman"/>
        </w:rPr>
        <w:t>The count</w:t>
      </w:r>
      <w:r w:rsidR="00725459" w:rsidRPr="00834149">
        <w:rPr>
          <w:rFonts w:cs="Times New Roman"/>
        </w:rPr>
        <w:t xml:space="preserve">ry’s geography </w:t>
      </w:r>
      <w:r w:rsidR="00F22275" w:rsidRPr="00834149">
        <w:rPr>
          <w:rFonts w:cs="Times New Roman"/>
        </w:rPr>
        <w:t>ranges from</w:t>
      </w:r>
      <w:r w:rsidR="00F47420" w:rsidRPr="00834149">
        <w:rPr>
          <w:rFonts w:cs="Times New Roman"/>
        </w:rPr>
        <w:t xml:space="preserve"> a dry climate and</w:t>
      </w:r>
      <w:r w:rsidR="003E6CE2" w:rsidRPr="00834149">
        <w:rPr>
          <w:rFonts w:cs="Times New Roman"/>
        </w:rPr>
        <w:t xml:space="preserve"> savannas</w:t>
      </w:r>
      <w:r w:rsidR="00F47420" w:rsidRPr="00834149">
        <w:rPr>
          <w:rFonts w:cs="Times New Roman"/>
        </w:rPr>
        <w:t xml:space="preserve"> in the north, hills and mountains in the </w:t>
      </w:r>
      <w:r w:rsidR="00F47420" w:rsidRPr="00834149">
        <w:rPr>
          <w:rFonts w:cs="Times New Roman"/>
        </w:rPr>
        <w:lastRenderedPageBreak/>
        <w:t>central part of the country, and</w:t>
      </w:r>
      <w:r w:rsidR="003E6CE2" w:rsidRPr="00834149">
        <w:rPr>
          <w:rFonts w:cs="Times New Roman"/>
        </w:rPr>
        <w:t xml:space="preserve"> savannas and woodlands </w:t>
      </w:r>
      <w:r w:rsidR="00F47420" w:rsidRPr="00834149">
        <w:rPr>
          <w:rFonts w:cs="Times New Roman"/>
        </w:rPr>
        <w:t xml:space="preserve">giving way to </w:t>
      </w:r>
      <w:r w:rsidR="003E6CE2" w:rsidRPr="00834149">
        <w:rPr>
          <w:rFonts w:cs="Times New Roman"/>
        </w:rPr>
        <w:t>extensive lagoons and marshes</w:t>
      </w:r>
      <w:r w:rsidR="00F47420" w:rsidRPr="00834149">
        <w:rPr>
          <w:rFonts w:cs="Times New Roman"/>
        </w:rPr>
        <w:t xml:space="preserve"> in the</w:t>
      </w:r>
      <w:r w:rsidR="00F22275" w:rsidRPr="00834149">
        <w:rPr>
          <w:rFonts w:cs="Times New Roman"/>
        </w:rPr>
        <w:t xml:space="preserve"> southern</w:t>
      </w:r>
      <w:r w:rsidR="00F47420" w:rsidRPr="00834149">
        <w:rPr>
          <w:rFonts w:cs="Times New Roman"/>
        </w:rPr>
        <w:t xml:space="preserve"> coastal area</w:t>
      </w:r>
      <w:r w:rsidR="003E6CE2" w:rsidRPr="00834149">
        <w:rPr>
          <w:rFonts w:cs="Times New Roman"/>
        </w:rPr>
        <w:t xml:space="preserve">. </w:t>
      </w:r>
      <w:r w:rsidR="002D622C" w:rsidRPr="00834149">
        <w:rPr>
          <w:rFonts w:cs="Times New Roman"/>
        </w:rPr>
        <w:t xml:space="preserve">Togo is blessed with natural assets, including mineral resources, land favorable to agriculture, and generally good rainfall, but it is also susceptible to increasingly </w:t>
      </w:r>
      <w:r w:rsidR="00AF6675" w:rsidRPr="00834149">
        <w:rPr>
          <w:rFonts w:cs="Times New Roman"/>
        </w:rPr>
        <w:t>unpredictable weather patterns.</w:t>
      </w:r>
    </w:p>
    <w:p w14:paraId="2D094B85" w14:textId="77777777" w:rsidR="003B60FA" w:rsidRPr="00834149" w:rsidRDefault="003B60FA" w:rsidP="003B60FA">
      <w:pPr>
        <w:pStyle w:val="ListParagraph"/>
        <w:autoSpaceDE w:val="0"/>
        <w:autoSpaceDN w:val="0"/>
        <w:adjustRightInd w:val="0"/>
        <w:ind w:left="0"/>
        <w:jc w:val="both"/>
        <w:rPr>
          <w:rFonts w:cs="Times New Roman"/>
        </w:rPr>
      </w:pPr>
    </w:p>
    <w:p w14:paraId="277379F4" w14:textId="3179C93A" w:rsidR="00A46DE6" w:rsidRPr="00834149" w:rsidRDefault="007C0EBF" w:rsidP="00FA0BB4">
      <w:pPr>
        <w:pStyle w:val="ListParagraph"/>
        <w:numPr>
          <w:ilvl w:val="0"/>
          <w:numId w:val="2"/>
        </w:numPr>
        <w:autoSpaceDE w:val="0"/>
        <w:autoSpaceDN w:val="0"/>
        <w:adjustRightInd w:val="0"/>
        <w:ind w:left="0" w:firstLine="0"/>
        <w:jc w:val="both"/>
        <w:rPr>
          <w:rFonts w:cs="Times New Roman"/>
        </w:rPr>
      </w:pPr>
      <w:r w:rsidRPr="00834149">
        <w:rPr>
          <w:rFonts w:cs="Times New Roman"/>
          <w:b/>
        </w:rPr>
        <w:t xml:space="preserve">Togo is a fragile state </w:t>
      </w:r>
      <w:r w:rsidR="00FA0BB4" w:rsidRPr="00834149">
        <w:rPr>
          <w:rFonts w:cs="Times New Roman"/>
          <w:b/>
        </w:rPr>
        <w:t xml:space="preserve">that </w:t>
      </w:r>
      <w:r w:rsidRPr="00834149">
        <w:rPr>
          <w:rFonts w:cs="Times New Roman"/>
          <w:b/>
        </w:rPr>
        <w:t xml:space="preserve">is still emerging from the effects of years of isolation and donor disengagement </w:t>
      </w:r>
      <w:r w:rsidR="000D6ABB">
        <w:rPr>
          <w:rFonts w:cs="Times New Roman"/>
          <w:b/>
        </w:rPr>
        <w:t>(</w:t>
      </w:r>
      <w:r w:rsidR="009D14CF" w:rsidRPr="00834149">
        <w:rPr>
          <w:rFonts w:cs="Times New Roman"/>
          <w:b/>
        </w:rPr>
        <w:t>from 199</w:t>
      </w:r>
      <w:r w:rsidR="000D6ABB">
        <w:rPr>
          <w:rFonts w:cs="Times New Roman"/>
          <w:b/>
        </w:rPr>
        <w:t>3</w:t>
      </w:r>
      <w:r w:rsidR="00FA0BB4" w:rsidRPr="00834149">
        <w:rPr>
          <w:rFonts w:cs="Times New Roman"/>
          <w:b/>
        </w:rPr>
        <w:t>–</w:t>
      </w:r>
      <w:r w:rsidR="009D14CF" w:rsidRPr="00834149">
        <w:rPr>
          <w:rFonts w:cs="Times New Roman"/>
          <w:b/>
        </w:rPr>
        <w:t>200</w:t>
      </w:r>
      <w:r w:rsidR="0030411E">
        <w:rPr>
          <w:rFonts w:cs="Times New Roman"/>
          <w:b/>
        </w:rPr>
        <w:t>7</w:t>
      </w:r>
      <w:r w:rsidR="000D6ABB">
        <w:rPr>
          <w:rFonts w:cs="Times New Roman"/>
          <w:b/>
        </w:rPr>
        <w:t>)</w:t>
      </w:r>
      <w:r w:rsidR="009D14CF" w:rsidRPr="00834149">
        <w:rPr>
          <w:rFonts w:cs="Times New Roman"/>
          <w:b/>
        </w:rPr>
        <w:t xml:space="preserve"> </w:t>
      </w:r>
      <w:r w:rsidR="000D6ABB">
        <w:rPr>
          <w:rFonts w:cs="Times New Roman"/>
          <w:b/>
        </w:rPr>
        <w:t>due to political turmoil and</w:t>
      </w:r>
      <w:r w:rsidR="009D14CF" w:rsidRPr="00834149">
        <w:rPr>
          <w:rFonts w:cs="Times New Roman"/>
          <w:b/>
        </w:rPr>
        <w:t xml:space="preserve"> </w:t>
      </w:r>
      <w:r w:rsidRPr="00834149">
        <w:rPr>
          <w:rFonts w:cs="Times New Roman"/>
          <w:b/>
        </w:rPr>
        <w:t>economic mismanagement</w:t>
      </w:r>
      <w:r w:rsidRPr="00834149">
        <w:rPr>
          <w:rFonts w:cs="Times New Roman"/>
        </w:rPr>
        <w:t xml:space="preserve">. </w:t>
      </w:r>
      <w:r w:rsidR="009D14CF" w:rsidRPr="00834149">
        <w:rPr>
          <w:rFonts w:cs="Times New Roman"/>
        </w:rPr>
        <w:t>The</w:t>
      </w:r>
      <w:r w:rsidR="00A46DE6" w:rsidRPr="00834149">
        <w:rPr>
          <w:rFonts w:cs="Times New Roman"/>
        </w:rPr>
        <w:t xml:space="preserve"> </w:t>
      </w:r>
      <w:r w:rsidR="009D14CF" w:rsidRPr="00834149">
        <w:rPr>
          <w:rFonts w:cs="Times New Roman"/>
        </w:rPr>
        <w:t xml:space="preserve">death of </w:t>
      </w:r>
      <w:r w:rsidR="00072696" w:rsidRPr="00834149">
        <w:rPr>
          <w:rFonts w:cs="Times New Roman"/>
        </w:rPr>
        <w:t>P</w:t>
      </w:r>
      <w:r w:rsidR="00A46DE6" w:rsidRPr="00834149">
        <w:rPr>
          <w:rFonts w:cs="Times New Roman"/>
        </w:rPr>
        <w:t>res</w:t>
      </w:r>
      <w:r w:rsidR="001B001A" w:rsidRPr="00834149">
        <w:rPr>
          <w:rFonts w:cs="Times New Roman"/>
        </w:rPr>
        <w:t xml:space="preserve">ident </w:t>
      </w:r>
      <w:r w:rsidR="00EF27F8" w:rsidRPr="00834149">
        <w:rPr>
          <w:rFonts w:cs="Times New Roman"/>
        </w:rPr>
        <w:t xml:space="preserve">Gnassingbé </w:t>
      </w:r>
      <w:r w:rsidR="001B001A" w:rsidRPr="00834149">
        <w:rPr>
          <w:rFonts w:cs="Times New Roman"/>
        </w:rPr>
        <w:t>Eyadéma</w:t>
      </w:r>
      <w:r w:rsidR="009D14CF" w:rsidRPr="00834149">
        <w:rPr>
          <w:rFonts w:cs="Times New Roman"/>
        </w:rPr>
        <w:t xml:space="preserve"> in 2005, followed by the election of </w:t>
      </w:r>
      <w:r w:rsidR="00072696" w:rsidRPr="00834149">
        <w:rPr>
          <w:rFonts w:cs="Times New Roman"/>
        </w:rPr>
        <w:t>his son President</w:t>
      </w:r>
      <w:r w:rsidR="001B001A" w:rsidRPr="00834149">
        <w:rPr>
          <w:rFonts w:cs="Times New Roman"/>
        </w:rPr>
        <w:t xml:space="preserve"> Faure Gnassingbé</w:t>
      </w:r>
      <w:r w:rsidR="009D14CF" w:rsidRPr="00834149">
        <w:rPr>
          <w:rFonts w:cs="Times New Roman"/>
        </w:rPr>
        <w:t xml:space="preserve"> a few months later, marked an important </w:t>
      </w:r>
      <w:r w:rsidR="0050089F" w:rsidRPr="00834149">
        <w:rPr>
          <w:rFonts w:cs="Times New Roman"/>
        </w:rPr>
        <w:t>milestone</w:t>
      </w:r>
      <w:r w:rsidR="009D14CF" w:rsidRPr="00834149">
        <w:rPr>
          <w:rFonts w:cs="Times New Roman"/>
        </w:rPr>
        <w:t xml:space="preserve"> in the country’s </w:t>
      </w:r>
      <w:r w:rsidR="004E38DD" w:rsidRPr="00834149">
        <w:rPr>
          <w:rFonts w:cs="Times New Roman"/>
        </w:rPr>
        <w:t xml:space="preserve">recent </w:t>
      </w:r>
      <w:r w:rsidR="009D14CF" w:rsidRPr="00834149">
        <w:rPr>
          <w:rFonts w:cs="Times New Roman"/>
        </w:rPr>
        <w:t>history</w:t>
      </w:r>
      <w:r w:rsidR="008E3558" w:rsidRPr="00834149">
        <w:rPr>
          <w:rFonts w:cs="Times New Roman"/>
        </w:rPr>
        <w:t>,</w:t>
      </w:r>
      <w:r w:rsidR="001A77B6" w:rsidRPr="00834149">
        <w:rPr>
          <w:rFonts w:cs="Times New Roman"/>
        </w:rPr>
        <w:t xml:space="preserve"> </w:t>
      </w:r>
      <w:r w:rsidR="0050089F" w:rsidRPr="00834149">
        <w:rPr>
          <w:rFonts w:cs="Times New Roman"/>
        </w:rPr>
        <w:t>as it</w:t>
      </w:r>
      <w:r w:rsidR="001A77B6" w:rsidRPr="00834149">
        <w:rPr>
          <w:rFonts w:cs="Times New Roman"/>
        </w:rPr>
        <w:t xml:space="preserve"> would be followed by p</w:t>
      </w:r>
      <w:r w:rsidR="004E79C8" w:rsidRPr="00834149">
        <w:rPr>
          <w:rFonts w:cs="Times New Roman"/>
        </w:rPr>
        <w:t xml:space="preserve">olitical negotiations </w:t>
      </w:r>
      <w:r w:rsidR="0050089F" w:rsidRPr="00834149">
        <w:rPr>
          <w:rFonts w:cs="Times New Roman"/>
        </w:rPr>
        <w:t xml:space="preserve">to advance democratic reforms and </w:t>
      </w:r>
      <w:r w:rsidR="001A77B6" w:rsidRPr="00834149">
        <w:rPr>
          <w:rFonts w:cs="Times New Roman"/>
        </w:rPr>
        <w:t>lead</w:t>
      </w:r>
      <w:r w:rsidR="0050089F" w:rsidRPr="00834149">
        <w:rPr>
          <w:rFonts w:cs="Times New Roman"/>
        </w:rPr>
        <w:t xml:space="preserve"> </w:t>
      </w:r>
      <w:r w:rsidR="001A77B6" w:rsidRPr="00834149">
        <w:rPr>
          <w:rFonts w:cs="Times New Roman"/>
        </w:rPr>
        <w:t xml:space="preserve">to </w:t>
      </w:r>
      <w:r w:rsidR="004E79C8" w:rsidRPr="00834149">
        <w:rPr>
          <w:rFonts w:cs="Times New Roman"/>
        </w:rPr>
        <w:t>the return of development partners</w:t>
      </w:r>
      <w:r w:rsidR="009D14CF" w:rsidRPr="00834149">
        <w:rPr>
          <w:rFonts w:cs="Times New Roman"/>
        </w:rPr>
        <w:t>.</w:t>
      </w:r>
      <w:r w:rsidR="00072696" w:rsidRPr="00834149">
        <w:rPr>
          <w:rFonts w:cs="Times New Roman"/>
        </w:rPr>
        <w:t xml:space="preserve"> </w:t>
      </w:r>
      <w:r w:rsidR="001A77B6" w:rsidRPr="00834149">
        <w:rPr>
          <w:rFonts w:cs="Times New Roman"/>
        </w:rPr>
        <w:t>The 2005 presidential election results were widely contested by opposition groups, sparking a period of political confrontations and violence. Negotiations held in 2006 resulted in a Global Political Accord (GPA) signed by the ruli</w:t>
      </w:r>
      <w:r w:rsidR="0050089F" w:rsidRPr="00834149">
        <w:rPr>
          <w:rFonts w:cs="Times New Roman"/>
        </w:rPr>
        <w:t xml:space="preserve">ng party and opposition, which led to </w:t>
      </w:r>
      <w:r w:rsidR="001A77B6" w:rsidRPr="00834149">
        <w:rPr>
          <w:rFonts w:cs="Times New Roman"/>
        </w:rPr>
        <w:t>free and fair legislative elections in 2007</w:t>
      </w:r>
      <w:r w:rsidR="0050089F" w:rsidRPr="00834149">
        <w:rPr>
          <w:rFonts w:cs="Times New Roman"/>
        </w:rPr>
        <w:t xml:space="preserve">, with strong participation </w:t>
      </w:r>
      <w:r w:rsidR="002130CB" w:rsidRPr="00834149">
        <w:rPr>
          <w:rFonts w:cs="Times New Roman"/>
        </w:rPr>
        <w:t xml:space="preserve">among </w:t>
      </w:r>
      <w:r w:rsidR="0050089F" w:rsidRPr="00834149">
        <w:rPr>
          <w:rFonts w:cs="Times New Roman"/>
        </w:rPr>
        <w:t>opposition groups,</w:t>
      </w:r>
      <w:r w:rsidR="001A77B6" w:rsidRPr="00834149">
        <w:rPr>
          <w:rFonts w:cs="Times New Roman"/>
        </w:rPr>
        <w:t xml:space="preserve"> and reform</w:t>
      </w:r>
      <w:r w:rsidR="0050089F" w:rsidRPr="00834149">
        <w:rPr>
          <w:rFonts w:cs="Times New Roman"/>
        </w:rPr>
        <w:t>s in</w:t>
      </w:r>
      <w:r w:rsidR="001A77B6" w:rsidRPr="00834149">
        <w:rPr>
          <w:rFonts w:cs="Times New Roman"/>
        </w:rPr>
        <w:t xml:space="preserve"> the military. This put the country onto a path of</w:t>
      </w:r>
      <w:r w:rsidR="0050089F" w:rsidRPr="00834149">
        <w:rPr>
          <w:rFonts w:cs="Times New Roman"/>
        </w:rPr>
        <w:t xml:space="preserve"> increased</w:t>
      </w:r>
      <w:r w:rsidR="001A77B6" w:rsidRPr="00834149">
        <w:rPr>
          <w:rFonts w:cs="Times New Roman"/>
        </w:rPr>
        <w:t xml:space="preserve"> political and social stability and normalization of relations with international partners in a context of strong optimism.</w:t>
      </w:r>
    </w:p>
    <w:p w14:paraId="141A5AB0" w14:textId="77777777" w:rsidR="00A46DE6" w:rsidRPr="00834149" w:rsidRDefault="00A46DE6" w:rsidP="00FA0BB4">
      <w:pPr>
        <w:jc w:val="both"/>
        <w:rPr>
          <w:rFonts w:cs="Times New Roman"/>
        </w:rPr>
      </w:pPr>
    </w:p>
    <w:p w14:paraId="158C19D4" w14:textId="051F5C86" w:rsidR="009776E7" w:rsidRPr="00834149" w:rsidRDefault="00AF6675" w:rsidP="009776E7">
      <w:pPr>
        <w:pStyle w:val="ListParagraph"/>
        <w:numPr>
          <w:ilvl w:val="0"/>
          <w:numId w:val="2"/>
        </w:numPr>
        <w:autoSpaceDE w:val="0"/>
        <w:autoSpaceDN w:val="0"/>
        <w:adjustRightInd w:val="0"/>
        <w:ind w:left="0" w:firstLine="0"/>
        <w:jc w:val="both"/>
        <w:rPr>
          <w:rFonts w:cs="Times New Roman"/>
        </w:rPr>
      </w:pPr>
      <w:r w:rsidRPr="00834149">
        <w:rPr>
          <w:rFonts w:cs="Times New Roman"/>
          <w:b/>
        </w:rPr>
        <w:t xml:space="preserve">Implementation of political reforms has been slow and </w:t>
      </w:r>
      <w:r w:rsidR="00431303" w:rsidRPr="00834149">
        <w:rPr>
          <w:rFonts w:cs="Times New Roman"/>
          <w:b/>
        </w:rPr>
        <w:t xml:space="preserve">the question of </w:t>
      </w:r>
      <w:r w:rsidR="001B001A" w:rsidRPr="00834149">
        <w:rPr>
          <w:rFonts w:cs="Times New Roman"/>
          <w:b/>
        </w:rPr>
        <w:t>reinstating presidential term limits</w:t>
      </w:r>
      <w:r w:rsidR="00431303" w:rsidRPr="00834149">
        <w:rPr>
          <w:rFonts w:cs="Times New Roman"/>
          <w:b/>
        </w:rPr>
        <w:t xml:space="preserve"> remains a contentious topic</w:t>
      </w:r>
      <w:r w:rsidR="001B001A" w:rsidRPr="00834149">
        <w:rPr>
          <w:rFonts w:cs="Times New Roman"/>
        </w:rPr>
        <w:t>.</w:t>
      </w:r>
      <w:r w:rsidR="001B001A" w:rsidRPr="00834149">
        <w:rPr>
          <w:rStyle w:val="FootnoteReference"/>
          <w:rFonts w:cs="Times New Roman"/>
        </w:rPr>
        <w:footnoteReference w:id="1"/>
      </w:r>
      <w:r w:rsidR="001B001A" w:rsidRPr="00834149">
        <w:rPr>
          <w:rFonts w:cs="Times New Roman"/>
        </w:rPr>
        <w:t xml:space="preserve"> Having won </w:t>
      </w:r>
      <w:r w:rsidR="0028287D" w:rsidRPr="00834149">
        <w:rPr>
          <w:rFonts w:cs="Times New Roman"/>
        </w:rPr>
        <w:t xml:space="preserve">a third term in </w:t>
      </w:r>
      <w:r w:rsidR="001B001A" w:rsidRPr="00834149">
        <w:rPr>
          <w:rFonts w:cs="Times New Roman"/>
        </w:rPr>
        <w:t xml:space="preserve">the 2015 presidential elections, </w:t>
      </w:r>
      <w:r w:rsidR="00431303" w:rsidRPr="00834149">
        <w:rPr>
          <w:rFonts w:cs="Times New Roman"/>
        </w:rPr>
        <w:t xml:space="preserve">President Faure’s </w:t>
      </w:r>
      <w:r w:rsidR="001B001A" w:rsidRPr="00834149">
        <w:rPr>
          <w:rFonts w:cs="Times New Roman"/>
        </w:rPr>
        <w:t>UNIR</w:t>
      </w:r>
      <w:r w:rsidR="0050089F" w:rsidRPr="00834149">
        <w:rPr>
          <w:rFonts w:cs="Times New Roman"/>
        </w:rPr>
        <w:t xml:space="preserve"> party</w:t>
      </w:r>
      <w:r w:rsidR="00C35D18" w:rsidRPr="00834149">
        <w:rPr>
          <w:rFonts w:cs="Times New Roman"/>
        </w:rPr>
        <w:t xml:space="preserve"> (</w:t>
      </w:r>
      <w:r w:rsidR="00C35D18" w:rsidRPr="00834149">
        <w:rPr>
          <w:rFonts w:cs="Times New Roman"/>
          <w:i/>
        </w:rPr>
        <w:t>Union pour la République</w:t>
      </w:r>
      <w:r w:rsidR="00C35D18" w:rsidRPr="00834149">
        <w:rPr>
          <w:rFonts w:cs="Times New Roman"/>
        </w:rPr>
        <w:t>)</w:t>
      </w:r>
      <w:r w:rsidR="001B001A" w:rsidRPr="00834149">
        <w:rPr>
          <w:rFonts w:cs="Times New Roman"/>
        </w:rPr>
        <w:t xml:space="preserve"> </w:t>
      </w:r>
      <w:r w:rsidR="00431303" w:rsidRPr="00834149">
        <w:rPr>
          <w:rFonts w:cs="Times New Roman"/>
        </w:rPr>
        <w:t>also holds a majority in parliament. A</w:t>
      </w:r>
      <w:r w:rsidR="001B001A" w:rsidRPr="00834149">
        <w:rPr>
          <w:rFonts w:cs="Times New Roman"/>
        </w:rPr>
        <w:t xml:space="preserve"> fragmented opposition continue</w:t>
      </w:r>
      <w:r w:rsidR="00EF27F8" w:rsidRPr="00834149">
        <w:rPr>
          <w:rFonts w:cs="Times New Roman"/>
        </w:rPr>
        <w:t xml:space="preserve">s to call for </w:t>
      </w:r>
      <w:r w:rsidR="00431303" w:rsidRPr="00834149">
        <w:rPr>
          <w:rFonts w:cs="Times New Roman"/>
        </w:rPr>
        <w:t>presidential term limits to be reinstated</w:t>
      </w:r>
      <w:r w:rsidR="002130CB" w:rsidRPr="00834149">
        <w:rPr>
          <w:rFonts w:cs="Times New Roman"/>
        </w:rPr>
        <w:t>,</w:t>
      </w:r>
      <w:r w:rsidR="005D41C5" w:rsidRPr="00834149">
        <w:rPr>
          <w:rFonts w:cs="Times New Roman"/>
        </w:rPr>
        <w:t xml:space="preserve"> </w:t>
      </w:r>
      <w:r w:rsidR="0050089F" w:rsidRPr="00834149">
        <w:rPr>
          <w:rFonts w:cs="Times New Roman"/>
        </w:rPr>
        <w:t>along with</w:t>
      </w:r>
      <w:r w:rsidR="005D41C5" w:rsidRPr="00834149">
        <w:rPr>
          <w:rFonts w:cs="Times New Roman"/>
        </w:rPr>
        <w:t xml:space="preserve"> </w:t>
      </w:r>
      <w:r w:rsidR="0050089F" w:rsidRPr="00834149">
        <w:rPr>
          <w:rFonts w:cs="Times New Roman"/>
        </w:rPr>
        <w:t>other reforms from the 2006 GPA</w:t>
      </w:r>
      <w:r w:rsidR="001B001A" w:rsidRPr="00834149">
        <w:rPr>
          <w:rFonts w:cs="Times New Roman"/>
        </w:rPr>
        <w:t xml:space="preserve">. Calls for local elections </w:t>
      </w:r>
      <w:r w:rsidR="002942F5" w:rsidRPr="00834149">
        <w:rPr>
          <w:rFonts w:cs="Times New Roman"/>
        </w:rPr>
        <w:t>(which have</w:t>
      </w:r>
      <w:r w:rsidR="00144D04" w:rsidRPr="00834149">
        <w:rPr>
          <w:rFonts w:cs="Times New Roman"/>
        </w:rPr>
        <w:t xml:space="preserve"> not</w:t>
      </w:r>
      <w:r w:rsidR="002942F5" w:rsidRPr="00834149">
        <w:rPr>
          <w:rFonts w:cs="Times New Roman"/>
        </w:rPr>
        <w:t xml:space="preserve"> been held since 1986) </w:t>
      </w:r>
      <w:r w:rsidR="001B001A" w:rsidRPr="00834149">
        <w:rPr>
          <w:rFonts w:cs="Times New Roman"/>
        </w:rPr>
        <w:t>have</w:t>
      </w:r>
      <w:r w:rsidR="00EF27F8" w:rsidRPr="00834149">
        <w:rPr>
          <w:rFonts w:cs="Times New Roman"/>
        </w:rPr>
        <w:t xml:space="preserve"> </w:t>
      </w:r>
      <w:r w:rsidR="001B001A" w:rsidRPr="00834149">
        <w:rPr>
          <w:rFonts w:cs="Times New Roman"/>
        </w:rPr>
        <w:t>intensified over the years</w:t>
      </w:r>
      <w:r w:rsidR="005B3686" w:rsidRPr="00834149">
        <w:rPr>
          <w:rFonts w:cs="Times New Roman"/>
        </w:rPr>
        <w:t>,</w:t>
      </w:r>
      <w:r w:rsidR="001B001A" w:rsidRPr="00834149">
        <w:rPr>
          <w:rFonts w:cs="Times New Roman"/>
        </w:rPr>
        <w:t xml:space="preserve"> and efforts are underway to </w:t>
      </w:r>
      <w:r w:rsidR="00431303" w:rsidRPr="00834149">
        <w:rPr>
          <w:rFonts w:cs="Times New Roman"/>
        </w:rPr>
        <w:t>hold these as part of the government’s decentralization agenda</w:t>
      </w:r>
      <w:r w:rsidR="001B001A" w:rsidRPr="00834149">
        <w:rPr>
          <w:rFonts w:cs="Times New Roman"/>
        </w:rPr>
        <w:t>.</w:t>
      </w:r>
      <w:r w:rsidR="002500FD" w:rsidRPr="00834149">
        <w:rPr>
          <w:rFonts w:cs="Times New Roman"/>
        </w:rPr>
        <w:t xml:space="preserve"> In July 2016, the High </w:t>
      </w:r>
      <w:r w:rsidR="002130CB" w:rsidRPr="00834149">
        <w:rPr>
          <w:rFonts w:cs="Times New Roman"/>
        </w:rPr>
        <w:t>C</w:t>
      </w:r>
      <w:r w:rsidR="002500FD" w:rsidRPr="00834149">
        <w:rPr>
          <w:rFonts w:cs="Times New Roman"/>
        </w:rPr>
        <w:t xml:space="preserve">ommission for </w:t>
      </w:r>
      <w:r w:rsidR="002130CB" w:rsidRPr="00834149">
        <w:rPr>
          <w:rFonts w:cs="Times New Roman"/>
        </w:rPr>
        <w:t>R</w:t>
      </w:r>
      <w:r w:rsidR="002500FD" w:rsidRPr="00834149">
        <w:rPr>
          <w:rFonts w:cs="Times New Roman"/>
        </w:rPr>
        <w:t xml:space="preserve">econciliation and </w:t>
      </w:r>
      <w:r w:rsidR="002130CB" w:rsidRPr="00834149">
        <w:rPr>
          <w:rFonts w:cs="Times New Roman"/>
        </w:rPr>
        <w:t>N</w:t>
      </w:r>
      <w:r w:rsidR="002500FD" w:rsidRPr="00834149">
        <w:rPr>
          <w:rFonts w:cs="Times New Roman"/>
        </w:rPr>
        <w:t xml:space="preserve">ational </w:t>
      </w:r>
      <w:r w:rsidR="002130CB" w:rsidRPr="00834149">
        <w:rPr>
          <w:rFonts w:cs="Times New Roman"/>
        </w:rPr>
        <w:t>U</w:t>
      </w:r>
      <w:r w:rsidR="002500FD" w:rsidRPr="00834149">
        <w:rPr>
          <w:rFonts w:cs="Times New Roman"/>
        </w:rPr>
        <w:t>nity (HCRRUN), established by government in 2015 to implement the recommendations of a Truth, Justice</w:t>
      </w:r>
      <w:r w:rsidR="002130CB" w:rsidRPr="00834149">
        <w:rPr>
          <w:rFonts w:cs="Times New Roman"/>
        </w:rPr>
        <w:t>,</w:t>
      </w:r>
      <w:r w:rsidR="002500FD" w:rsidRPr="00834149">
        <w:rPr>
          <w:rFonts w:cs="Times New Roman"/>
        </w:rPr>
        <w:t xml:space="preserve"> and Reconciliation Committee (CVJR)</w:t>
      </w:r>
      <w:r w:rsidR="002130CB" w:rsidRPr="00834149">
        <w:rPr>
          <w:rFonts w:cs="Times New Roman"/>
        </w:rPr>
        <w:t>,</w:t>
      </w:r>
      <w:r w:rsidR="002500FD" w:rsidRPr="00834149">
        <w:rPr>
          <w:rStyle w:val="FootnoteReference"/>
          <w:rFonts w:cs="Times New Roman"/>
        </w:rPr>
        <w:footnoteReference w:id="2"/>
      </w:r>
      <w:r w:rsidR="002500FD" w:rsidRPr="00834149">
        <w:rPr>
          <w:rFonts w:cs="Times New Roman"/>
        </w:rPr>
        <w:t xml:space="preserve"> organized a workshop to discuss urgent political reforms (including holding local elections)</w:t>
      </w:r>
      <w:r w:rsidRPr="00834149">
        <w:rPr>
          <w:rFonts w:cs="Times New Roman"/>
        </w:rPr>
        <w:t>.</w:t>
      </w:r>
      <w:r w:rsidR="002500FD" w:rsidRPr="00834149">
        <w:rPr>
          <w:rFonts w:cs="Times New Roman"/>
        </w:rPr>
        <w:t xml:space="preserve"> </w:t>
      </w:r>
      <w:r w:rsidR="002942F5" w:rsidRPr="00834149">
        <w:rPr>
          <w:rFonts w:cs="Times New Roman"/>
        </w:rPr>
        <w:t xml:space="preserve">A special commission on political reform priorities and a commission on decentralization were created in early 2017 to make progress on these agendas. </w:t>
      </w:r>
      <w:r w:rsidRPr="00834149">
        <w:rPr>
          <w:rFonts w:cs="Times New Roman"/>
        </w:rPr>
        <w:t xml:space="preserve">The main opposition coalition remains critical of these political reform efforts. </w:t>
      </w:r>
      <w:r w:rsidR="00EF27F8" w:rsidRPr="00834149">
        <w:rPr>
          <w:rFonts w:cs="Times New Roman"/>
        </w:rPr>
        <w:t>The next legislative elections are due in 2018 and presidential elections in 2020.</w:t>
      </w:r>
    </w:p>
    <w:p w14:paraId="27CEB24E" w14:textId="77777777" w:rsidR="002500FD" w:rsidRPr="00834149" w:rsidRDefault="002500FD" w:rsidP="00A37536">
      <w:pPr>
        <w:rPr>
          <w:rFonts w:cs="Times New Roman"/>
        </w:rPr>
      </w:pPr>
    </w:p>
    <w:p w14:paraId="173A0496" w14:textId="6598ED83" w:rsidR="002500FD" w:rsidRPr="00834149" w:rsidRDefault="002500FD" w:rsidP="00CC3B43">
      <w:pPr>
        <w:pStyle w:val="ListParagraph"/>
        <w:numPr>
          <w:ilvl w:val="0"/>
          <w:numId w:val="2"/>
        </w:numPr>
        <w:autoSpaceDE w:val="0"/>
        <w:autoSpaceDN w:val="0"/>
        <w:adjustRightInd w:val="0"/>
        <w:ind w:left="0" w:firstLine="0"/>
        <w:jc w:val="both"/>
        <w:rPr>
          <w:rFonts w:cs="Times New Roman"/>
          <w:lang w:val="en"/>
        </w:rPr>
      </w:pPr>
      <w:r w:rsidRPr="00834149">
        <w:rPr>
          <w:rFonts w:cs="Times New Roman"/>
          <w:b/>
        </w:rPr>
        <w:t>Slow progress in boosting living standards has fueled social tensions over the past years</w:t>
      </w:r>
      <w:r w:rsidR="008B118C" w:rsidRPr="00834149">
        <w:rPr>
          <w:rFonts w:cs="Times New Roman"/>
          <w:b/>
        </w:rPr>
        <w:t>, including strikes by different sectors</w:t>
      </w:r>
      <w:r w:rsidR="008B118C" w:rsidRPr="00834149">
        <w:rPr>
          <w:rFonts w:cs="Times New Roman"/>
        </w:rPr>
        <w:t>.</w:t>
      </w:r>
      <w:r w:rsidR="008B118C" w:rsidRPr="00834149">
        <w:rPr>
          <w:rFonts w:cs="Times New Roman"/>
          <w:b/>
        </w:rPr>
        <w:t xml:space="preserve"> </w:t>
      </w:r>
      <w:r w:rsidR="008B118C" w:rsidRPr="00834149">
        <w:rPr>
          <w:rFonts w:cs="Times New Roman"/>
        </w:rPr>
        <w:t>T</w:t>
      </w:r>
      <w:r w:rsidRPr="00834149">
        <w:rPr>
          <w:rFonts w:cs="Times New Roman"/>
        </w:rPr>
        <w:t xml:space="preserve">he </w:t>
      </w:r>
      <w:r w:rsidR="008B118C" w:rsidRPr="00834149">
        <w:rPr>
          <w:rFonts w:cs="Times New Roman"/>
        </w:rPr>
        <w:t>2016</w:t>
      </w:r>
      <w:r w:rsidR="00AF6675" w:rsidRPr="00834149">
        <w:rPr>
          <w:rFonts w:cs="Times New Roman"/>
        </w:rPr>
        <w:t>-</w:t>
      </w:r>
      <w:r w:rsidR="00C622A7">
        <w:rPr>
          <w:rFonts w:cs="Times New Roman"/>
        </w:rPr>
        <w:t>20</w:t>
      </w:r>
      <w:r w:rsidR="008B118C" w:rsidRPr="00834149">
        <w:rPr>
          <w:rFonts w:cs="Times New Roman"/>
        </w:rPr>
        <w:t>17</w:t>
      </w:r>
      <w:r w:rsidRPr="00834149">
        <w:rPr>
          <w:rFonts w:cs="Times New Roman"/>
        </w:rPr>
        <w:t xml:space="preserve"> school year has been </w:t>
      </w:r>
      <w:r w:rsidR="002942F5" w:rsidRPr="00834149">
        <w:rPr>
          <w:rFonts w:cs="Times New Roman"/>
        </w:rPr>
        <w:t xml:space="preserve">disrupted </w:t>
      </w:r>
      <w:r w:rsidRPr="00834149">
        <w:rPr>
          <w:rFonts w:cs="Times New Roman"/>
        </w:rPr>
        <w:t>by</w:t>
      </w:r>
      <w:r w:rsidR="00AF6675" w:rsidRPr="00834149">
        <w:rPr>
          <w:rFonts w:cs="Times New Roman"/>
        </w:rPr>
        <w:t xml:space="preserve"> a delay in the start of the school year followed by</w:t>
      </w:r>
      <w:r w:rsidRPr="00834149">
        <w:rPr>
          <w:rFonts w:cs="Times New Roman"/>
        </w:rPr>
        <w:t xml:space="preserve"> persistent teacher strikes</w:t>
      </w:r>
      <w:r w:rsidR="002942F5" w:rsidRPr="00834149">
        <w:rPr>
          <w:rFonts w:cs="Times New Roman"/>
        </w:rPr>
        <w:t xml:space="preserve"> to demand better wages and benefits</w:t>
      </w:r>
      <w:r w:rsidRPr="00834149">
        <w:rPr>
          <w:rFonts w:cs="Times New Roman"/>
        </w:rPr>
        <w:t>.</w:t>
      </w:r>
      <w:r w:rsidR="0050089F" w:rsidRPr="00834149">
        <w:rPr>
          <w:rFonts w:cs="Times New Roman"/>
        </w:rPr>
        <w:t xml:space="preserve"> Canceled classes </w:t>
      </w:r>
      <w:r w:rsidR="00AF6675" w:rsidRPr="00834149">
        <w:rPr>
          <w:rFonts w:cs="Times New Roman"/>
        </w:rPr>
        <w:t xml:space="preserve">have </w:t>
      </w:r>
      <w:r w:rsidR="0050089F" w:rsidRPr="00834149">
        <w:rPr>
          <w:rFonts w:cs="Times New Roman"/>
        </w:rPr>
        <w:t>triggered student protests</w:t>
      </w:r>
      <w:r w:rsidR="00144D04" w:rsidRPr="00834149">
        <w:rPr>
          <w:rFonts w:cs="Times New Roman"/>
        </w:rPr>
        <w:t>,</w:t>
      </w:r>
      <w:r w:rsidR="002942F5" w:rsidRPr="00834149">
        <w:rPr>
          <w:rFonts w:cs="Times New Roman"/>
        </w:rPr>
        <w:t xml:space="preserve"> which further aggravated the situation</w:t>
      </w:r>
      <w:r w:rsidR="0050089F" w:rsidRPr="00834149">
        <w:rPr>
          <w:rFonts w:cs="Times New Roman"/>
        </w:rPr>
        <w:t>.</w:t>
      </w:r>
      <w:r w:rsidR="002942F5" w:rsidRPr="00834149">
        <w:rPr>
          <w:rFonts w:cs="Times New Roman"/>
        </w:rPr>
        <w:t xml:space="preserve"> </w:t>
      </w:r>
      <w:r w:rsidR="00C622A7">
        <w:rPr>
          <w:rFonts w:cs="Times New Roman"/>
        </w:rPr>
        <w:t>I</w:t>
      </w:r>
      <w:r w:rsidR="00C622A7" w:rsidRPr="00C554AE">
        <w:rPr>
          <w:rFonts w:cs="Times New Roman"/>
        </w:rPr>
        <w:t>n March 2017</w:t>
      </w:r>
      <w:r w:rsidR="00C622A7">
        <w:rPr>
          <w:rFonts w:cs="Times New Roman"/>
        </w:rPr>
        <w:t>,</w:t>
      </w:r>
      <w:r w:rsidR="00C622A7" w:rsidRPr="00C554AE">
        <w:rPr>
          <w:rFonts w:cs="Times New Roman"/>
        </w:rPr>
        <w:t xml:space="preserve"> </w:t>
      </w:r>
      <w:r w:rsidR="00C622A7">
        <w:rPr>
          <w:rFonts w:cs="Times New Roman"/>
        </w:rPr>
        <w:t>t</w:t>
      </w:r>
      <w:r w:rsidR="002942F5" w:rsidRPr="00834149">
        <w:rPr>
          <w:rFonts w:cs="Times New Roman"/>
        </w:rPr>
        <w:t xml:space="preserve">he </w:t>
      </w:r>
      <w:r w:rsidR="00C622A7">
        <w:rPr>
          <w:rFonts w:cs="Times New Roman"/>
        </w:rPr>
        <w:t>G</w:t>
      </w:r>
      <w:r w:rsidR="002942F5" w:rsidRPr="00834149">
        <w:rPr>
          <w:rFonts w:cs="Times New Roman"/>
        </w:rPr>
        <w:t>overnment proposed measures to respond to teachers’ demands</w:t>
      </w:r>
      <w:r w:rsidR="00144D04" w:rsidRPr="00834149">
        <w:rPr>
          <w:rFonts w:cs="Times New Roman"/>
        </w:rPr>
        <w:t>,</w:t>
      </w:r>
      <w:r w:rsidR="002942F5" w:rsidRPr="00834149">
        <w:rPr>
          <w:rFonts w:cs="Times New Roman"/>
        </w:rPr>
        <w:t xml:space="preserve"> which helped to calm tensions.</w:t>
      </w:r>
    </w:p>
    <w:p w14:paraId="11B883D1" w14:textId="77777777" w:rsidR="009776E7" w:rsidRPr="00834149" w:rsidRDefault="009776E7" w:rsidP="003B60FA">
      <w:pPr>
        <w:pStyle w:val="ListParagraph"/>
        <w:rPr>
          <w:rFonts w:cs="Times New Roman"/>
        </w:rPr>
      </w:pPr>
    </w:p>
    <w:p w14:paraId="579D6A2F" w14:textId="4AB6A59C" w:rsidR="009776E7" w:rsidRPr="00834149" w:rsidRDefault="009776E7" w:rsidP="003B60FA">
      <w:pPr>
        <w:pStyle w:val="Heading2"/>
        <w:spacing w:before="0"/>
        <w:jc w:val="both"/>
        <w:rPr>
          <w:rFonts w:asciiTheme="minorHAnsi" w:hAnsiTheme="minorHAnsi" w:cs="Times New Roman"/>
          <w:sz w:val="22"/>
          <w:szCs w:val="22"/>
        </w:rPr>
      </w:pPr>
      <w:bookmarkStart w:id="4" w:name="_Toc468918060"/>
      <w:bookmarkStart w:id="5" w:name="_Toc480207631"/>
      <w:r w:rsidRPr="00834149">
        <w:rPr>
          <w:rFonts w:asciiTheme="minorHAnsi" w:hAnsiTheme="minorHAnsi" w:cs="Times New Roman"/>
          <w:sz w:val="22"/>
          <w:szCs w:val="22"/>
        </w:rPr>
        <w:t>2.2 Recent Economic Development</w:t>
      </w:r>
      <w:bookmarkEnd w:id="4"/>
      <w:r w:rsidRPr="00834149">
        <w:rPr>
          <w:rFonts w:asciiTheme="minorHAnsi" w:hAnsiTheme="minorHAnsi" w:cs="Times New Roman"/>
          <w:sz w:val="22"/>
          <w:szCs w:val="22"/>
        </w:rPr>
        <w:t xml:space="preserve"> and Outlook</w:t>
      </w:r>
      <w:bookmarkEnd w:id="5"/>
    </w:p>
    <w:p w14:paraId="05474CB5" w14:textId="77777777" w:rsidR="002E5BA7" w:rsidRPr="00834149" w:rsidRDefault="002E5BA7" w:rsidP="002E5BA7">
      <w:pPr>
        <w:rPr>
          <w:rFonts w:cs="Times New Roman"/>
        </w:rPr>
      </w:pPr>
    </w:p>
    <w:p w14:paraId="1E4994A2" w14:textId="27442C76" w:rsidR="00AB08BD" w:rsidRPr="00834149" w:rsidRDefault="00AB08BD" w:rsidP="00AB08BD">
      <w:pPr>
        <w:pStyle w:val="ListParagraph"/>
        <w:numPr>
          <w:ilvl w:val="0"/>
          <w:numId w:val="2"/>
        </w:numPr>
        <w:autoSpaceDE w:val="0"/>
        <w:autoSpaceDN w:val="0"/>
        <w:adjustRightInd w:val="0"/>
        <w:ind w:left="0" w:firstLine="0"/>
        <w:jc w:val="both"/>
        <w:rPr>
          <w:rFonts w:cs="Times New Roman"/>
        </w:rPr>
      </w:pPr>
      <w:r w:rsidRPr="00834149">
        <w:rPr>
          <w:rFonts w:cs="Times New Roman"/>
          <w:b/>
        </w:rPr>
        <w:t>Togo’s recent economic performance has been relatively robust</w:t>
      </w:r>
      <w:r w:rsidRPr="00834149">
        <w:rPr>
          <w:rFonts w:cs="Times New Roman"/>
        </w:rPr>
        <w:t xml:space="preserve">. Over the past three years, growth in gross domestic product (GDP) has averaged over 5 percent per year, which is higher than the average observed in Sub-Saharan Africa. While Togo has been subject to several negative shocks such as the economic decline in Nigeria and lower commodity prices of its main exports (phosphates, clinker), the </w:t>
      </w:r>
      <w:r w:rsidR="00C622A7">
        <w:rPr>
          <w:rFonts w:cs="Times New Roman"/>
        </w:rPr>
        <w:t>G</w:t>
      </w:r>
      <w:r w:rsidRPr="00834149">
        <w:rPr>
          <w:rFonts w:cs="Times New Roman"/>
        </w:rPr>
        <w:t xml:space="preserve">overnment adopted an ambitious public investment program that helped sustain aggregate demand in 2015 and 2016.  </w:t>
      </w:r>
    </w:p>
    <w:p w14:paraId="7C511B4D" w14:textId="1A840DED" w:rsidR="00AB08BD" w:rsidRPr="00834149" w:rsidRDefault="00AB08BD" w:rsidP="00AB08BD">
      <w:pPr>
        <w:pStyle w:val="ListParagraph"/>
        <w:numPr>
          <w:ilvl w:val="0"/>
          <w:numId w:val="2"/>
        </w:numPr>
        <w:autoSpaceDE w:val="0"/>
        <w:autoSpaceDN w:val="0"/>
        <w:adjustRightInd w:val="0"/>
        <w:ind w:left="0" w:firstLine="0"/>
        <w:jc w:val="both"/>
        <w:rPr>
          <w:rFonts w:cs="Times New Roman"/>
        </w:rPr>
      </w:pPr>
      <w:r w:rsidRPr="00834149">
        <w:rPr>
          <w:rFonts w:cs="Times New Roman"/>
          <w:b/>
        </w:rPr>
        <w:lastRenderedPageBreak/>
        <w:t>On the supply side, the main drivers of economic growth have been agricultural production, extractive industries and trading activities</w:t>
      </w:r>
      <w:r w:rsidRPr="00834149">
        <w:rPr>
          <w:rFonts w:cs="Times New Roman"/>
        </w:rPr>
        <w:t>. Agricultural production, which accounts for approximately half of the country’s GDP and over 60 percent of employment, has benefitted from good climatic conditions and recent initiatives that have led to an increase in the productivity of cereals, cash crops and livestock. Extractive industries, especially the production of clinker/cement, trading activities, and transport and communications have also contributed to growth over the past few years.</w:t>
      </w:r>
    </w:p>
    <w:p w14:paraId="4E9164DD" w14:textId="77777777" w:rsidR="00AB08BD" w:rsidRPr="00834149" w:rsidRDefault="00AB08BD" w:rsidP="00AB08BD">
      <w:pPr>
        <w:pStyle w:val="ListParagraph"/>
        <w:ind w:left="0"/>
        <w:jc w:val="both"/>
        <w:rPr>
          <w:rFonts w:cs="Times New Roman"/>
        </w:rPr>
      </w:pPr>
    </w:p>
    <w:p w14:paraId="3AD750EC" w14:textId="77777777" w:rsidR="00AB08BD" w:rsidRPr="00834149" w:rsidRDefault="00AB08BD" w:rsidP="00AB08BD">
      <w:pPr>
        <w:pStyle w:val="ListParagraph"/>
        <w:numPr>
          <w:ilvl w:val="0"/>
          <w:numId w:val="2"/>
        </w:numPr>
        <w:autoSpaceDE w:val="0"/>
        <w:autoSpaceDN w:val="0"/>
        <w:adjustRightInd w:val="0"/>
        <w:ind w:left="0" w:firstLine="0"/>
        <w:jc w:val="both"/>
        <w:rPr>
          <w:rFonts w:cs="Times New Roman"/>
        </w:rPr>
      </w:pPr>
      <w:r w:rsidRPr="00834149">
        <w:rPr>
          <w:rFonts w:cs="Times New Roman"/>
          <w:b/>
        </w:rPr>
        <w:t>Inflation has remained under control</w:t>
      </w:r>
      <w:r w:rsidRPr="00834149">
        <w:rPr>
          <w:rFonts w:cs="Times New Roman"/>
        </w:rPr>
        <w:t>. Inflation averaged 0.9 percent in 2016 thanks to a prudent monetary policy followed by the Central Bank of West African States (BCEAO) and low food prices. Monetary expansion has been aligned with economic growth, while credit to the private sector expanded by about 10 percent per year, on average, between 2013 and 2016. The average lending rate was 8.6 percent in December 2016, slightly above the average within the West African Economic and Monetary Union (WAEMU) of 7.2 percent.</w:t>
      </w:r>
    </w:p>
    <w:p w14:paraId="71483104" w14:textId="77777777" w:rsidR="00AB08BD" w:rsidRPr="00834149" w:rsidRDefault="00AB08BD" w:rsidP="00AB08BD">
      <w:pPr>
        <w:pStyle w:val="ListParagraph"/>
        <w:ind w:left="0"/>
        <w:jc w:val="both"/>
        <w:rPr>
          <w:rFonts w:cs="Times New Roman"/>
        </w:rPr>
      </w:pPr>
    </w:p>
    <w:p w14:paraId="798D6B00" w14:textId="7D6A76B1" w:rsidR="00AB08BD" w:rsidRPr="00834149" w:rsidRDefault="00AB08BD" w:rsidP="00AB08BD">
      <w:pPr>
        <w:pStyle w:val="ListParagraph"/>
        <w:numPr>
          <w:ilvl w:val="0"/>
          <w:numId w:val="2"/>
        </w:numPr>
        <w:autoSpaceDE w:val="0"/>
        <w:autoSpaceDN w:val="0"/>
        <w:adjustRightInd w:val="0"/>
        <w:ind w:left="0" w:firstLine="0"/>
        <w:jc w:val="both"/>
        <w:rPr>
          <w:rFonts w:cs="Times New Roman"/>
        </w:rPr>
      </w:pPr>
      <w:r w:rsidRPr="00834149">
        <w:rPr>
          <w:rFonts w:cs="Times New Roman"/>
          <w:b/>
        </w:rPr>
        <w:t>The external current account deficit remains substantial</w:t>
      </w:r>
      <w:r w:rsidRPr="00834149">
        <w:rPr>
          <w:rFonts w:cs="Times New Roman"/>
        </w:rPr>
        <w:t xml:space="preserve">. Although exports declined </w:t>
      </w:r>
      <w:r w:rsidR="006A5685" w:rsidRPr="00834149">
        <w:rPr>
          <w:rFonts w:cs="Times New Roman"/>
        </w:rPr>
        <w:t>because</w:t>
      </w:r>
      <w:r w:rsidRPr="00834149">
        <w:rPr>
          <w:rFonts w:cs="Times New Roman"/>
        </w:rPr>
        <w:t xml:space="preserve"> of lower demand from</w:t>
      </w:r>
      <w:r w:rsidR="00AF6675" w:rsidRPr="00834149">
        <w:rPr>
          <w:rFonts w:cs="Times New Roman"/>
        </w:rPr>
        <w:t xml:space="preserve"> Togo’s </w:t>
      </w:r>
      <w:r w:rsidRPr="00834149">
        <w:rPr>
          <w:rFonts w:cs="Times New Roman"/>
        </w:rPr>
        <w:t>main trading partners, the income and service balances have improved over the past 12 months. The current account deficit was financed by a combination of aid, non-concessional borrowing and inflows of foreign direct investment (FDI).</w:t>
      </w:r>
    </w:p>
    <w:p w14:paraId="414EC547" w14:textId="77777777" w:rsidR="00AB08BD" w:rsidRPr="00834149" w:rsidRDefault="00AB08BD" w:rsidP="00AB08BD">
      <w:pPr>
        <w:pStyle w:val="ListParagraph"/>
        <w:ind w:left="0"/>
        <w:jc w:val="both"/>
        <w:rPr>
          <w:rFonts w:cs="Times New Roman"/>
        </w:rPr>
      </w:pPr>
    </w:p>
    <w:p w14:paraId="05F30C63" w14:textId="34787593" w:rsidR="00AB08BD" w:rsidRPr="00834149" w:rsidRDefault="00AB08BD" w:rsidP="00AB08BD">
      <w:pPr>
        <w:pStyle w:val="ListParagraph"/>
        <w:numPr>
          <w:ilvl w:val="0"/>
          <w:numId w:val="2"/>
        </w:numPr>
        <w:autoSpaceDE w:val="0"/>
        <w:autoSpaceDN w:val="0"/>
        <w:adjustRightInd w:val="0"/>
        <w:ind w:left="0" w:firstLine="0"/>
        <w:jc w:val="both"/>
        <w:rPr>
          <w:rFonts w:cs="Times New Roman"/>
        </w:rPr>
      </w:pPr>
      <w:r w:rsidRPr="00834149">
        <w:rPr>
          <w:rFonts w:cs="Times New Roman"/>
          <w:b/>
        </w:rPr>
        <w:t>The fiscal situation deteriorated sharply during 2015 and 2016</w:t>
      </w:r>
      <w:r w:rsidRPr="00834149">
        <w:rPr>
          <w:rFonts w:cs="Times New Roman"/>
        </w:rPr>
        <w:t xml:space="preserve">. The fiscal deficit grew from 5.8 percent of GDP in 2013 to over </w:t>
      </w:r>
      <w:r w:rsidRPr="00C622A7">
        <w:rPr>
          <w:rFonts w:ascii="Times New Roman" w:hAnsi="Times New Roman" w:cs="Times New Roman"/>
          <w:sz w:val="24"/>
          <w:szCs w:val="24"/>
        </w:rPr>
        <w:t>9</w:t>
      </w:r>
      <w:r w:rsidRPr="00834149">
        <w:rPr>
          <w:rFonts w:cs="Times New Roman"/>
        </w:rPr>
        <w:t xml:space="preserve"> percent of GDP during this period, while the central administration reported the accumulation of about FCFA 60 billion in arrears at the end of 2016, representing 2.5 percent of GDP. Concurrently, the public debt-to-GDP ratio grew rapidly to an estimated 80.8 percent of GDP, the highest in West Africa and above the WAEMU threshold of 70 percent of GDP. This shift was the result of the government’s decision to implement an ambitious investment program that reached almost 14.0 percent of GDP in 2016, up from 9.3 percent of GDP in 2013. While this program aimed to reduce </w:t>
      </w:r>
      <w:r w:rsidR="002942F5" w:rsidRPr="00834149">
        <w:rPr>
          <w:rFonts w:cs="Times New Roman"/>
        </w:rPr>
        <w:t xml:space="preserve">the country’s significant </w:t>
      </w:r>
      <w:r w:rsidRPr="00834149">
        <w:rPr>
          <w:rFonts w:cs="Times New Roman"/>
        </w:rPr>
        <w:t xml:space="preserve">infrastructure gaps, </w:t>
      </w:r>
      <w:r w:rsidR="002942F5" w:rsidRPr="00834149">
        <w:rPr>
          <w:rFonts w:cs="Times New Roman"/>
        </w:rPr>
        <w:t xml:space="preserve">limited fiscal space led </w:t>
      </w:r>
      <w:r w:rsidRPr="00834149">
        <w:rPr>
          <w:rFonts w:cs="Times New Roman"/>
        </w:rPr>
        <w:t>the authorities to borrow excessively, in particular on regional and local markets. One instrument used was pre-financing contracts with local commercial banks, with an explicit guarantee from the state, but the</w:t>
      </w:r>
      <w:r w:rsidR="002942F5" w:rsidRPr="00834149">
        <w:rPr>
          <w:rFonts w:cs="Times New Roman"/>
        </w:rPr>
        <w:t>se</w:t>
      </w:r>
      <w:r w:rsidRPr="00834149">
        <w:rPr>
          <w:rFonts w:cs="Times New Roman"/>
        </w:rPr>
        <w:t xml:space="preserve"> contracts were not adequately reported in government accounts or public debt data. </w:t>
      </w:r>
    </w:p>
    <w:p w14:paraId="582EF267" w14:textId="77777777" w:rsidR="00AB08BD" w:rsidRPr="00834149" w:rsidRDefault="00AB08BD" w:rsidP="00AB08BD">
      <w:pPr>
        <w:pStyle w:val="ListParagraph"/>
        <w:ind w:left="0"/>
        <w:jc w:val="both"/>
        <w:rPr>
          <w:rFonts w:cs="Times New Roman"/>
        </w:rPr>
      </w:pPr>
    </w:p>
    <w:p w14:paraId="1C163B5A" w14:textId="78585D9B" w:rsidR="00AB08BD" w:rsidRPr="00834149" w:rsidRDefault="00AB08BD" w:rsidP="00AB08BD">
      <w:pPr>
        <w:pStyle w:val="ListParagraph"/>
        <w:numPr>
          <w:ilvl w:val="0"/>
          <w:numId w:val="2"/>
        </w:numPr>
        <w:autoSpaceDE w:val="0"/>
        <w:autoSpaceDN w:val="0"/>
        <w:adjustRightInd w:val="0"/>
        <w:ind w:left="0" w:firstLine="0"/>
        <w:jc w:val="both"/>
        <w:rPr>
          <w:rFonts w:cs="Times New Roman"/>
        </w:rPr>
      </w:pPr>
      <w:r w:rsidRPr="00834149">
        <w:rPr>
          <w:rFonts w:cs="Times New Roman"/>
          <w:b/>
        </w:rPr>
        <w:t>Concurrent to the gradual deterioration of fiscal accounts, growing distress emerged in the local financial sector</w:t>
      </w:r>
      <w:r w:rsidRPr="00834149">
        <w:rPr>
          <w:rFonts w:cs="Times New Roman"/>
        </w:rPr>
        <w:t xml:space="preserve">. Two important public banks are considered to be insolvent and will require substantial capital injection from the </w:t>
      </w:r>
      <w:r w:rsidR="00C622A7">
        <w:rPr>
          <w:rFonts w:cs="Times New Roman"/>
        </w:rPr>
        <w:t>G</w:t>
      </w:r>
      <w:r w:rsidRPr="00834149">
        <w:rPr>
          <w:rFonts w:cs="Times New Roman"/>
        </w:rPr>
        <w:t xml:space="preserve">overnment, even after restructuring. The level of delinquent loans in commercial banks has also increased significantly, reaching approximately 20 percent of their portfolio at the end of 2016. Finally, several microfinance institutions are reporting a large and increasing share of bad loans, partly as a consequence of inadequate regulation. </w:t>
      </w:r>
    </w:p>
    <w:p w14:paraId="1BEFAEAF" w14:textId="77777777" w:rsidR="00AB08BD" w:rsidRPr="00834149" w:rsidRDefault="00AB08BD" w:rsidP="00AB08BD">
      <w:pPr>
        <w:pStyle w:val="ListParagraph"/>
        <w:ind w:left="0"/>
        <w:jc w:val="both"/>
        <w:rPr>
          <w:rFonts w:cs="Times New Roman"/>
        </w:rPr>
      </w:pPr>
    </w:p>
    <w:p w14:paraId="550D31E3" w14:textId="710C0681" w:rsidR="00AB08BD" w:rsidRPr="00834149" w:rsidRDefault="00AB08BD" w:rsidP="00AB08BD">
      <w:pPr>
        <w:pStyle w:val="ListParagraph"/>
        <w:numPr>
          <w:ilvl w:val="0"/>
          <w:numId w:val="2"/>
        </w:numPr>
        <w:autoSpaceDE w:val="0"/>
        <w:autoSpaceDN w:val="0"/>
        <w:adjustRightInd w:val="0"/>
        <w:ind w:left="0" w:firstLine="0"/>
        <w:jc w:val="both"/>
        <w:rPr>
          <w:rFonts w:cs="Times New Roman"/>
        </w:rPr>
      </w:pPr>
      <w:r w:rsidRPr="00834149">
        <w:rPr>
          <w:rFonts w:cs="Times New Roman"/>
          <w:b/>
        </w:rPr>
        <w:t xml:space="preserve">In early 2017, the </w:t>
      </w:r>
      <w:r w:rsidR="00C622A7">
        <w:rPr>
          <w:rFonts w:cs="Times New Roman"/>
          <w:b/>
        </w:rPr>
        <w:t>G</w:t>
      </w:r>
      <w:r w:rsidRPr="00834149">
        <w:rPr>
          <w:rFonts w:cs="Times New Roman"/>
          <w:b/>
        </w:rPr>
        <w:t>overnment—aware of the need to restore fiscal and debt sustainability—</w:t>
      </w:r>
      <w:r w:rsidR="002942F5" w:rsidRPr="00834149">
        <w:rPr>
          <w:rFonts w:cs="Times New Roman"/>
          <w:b/>
        </w:rPr>
        <w:t xml:space="preserve">negotiated </w:t>
      </w:r>
      <w:r w:rsidRPr="00834149">
        <w:rPr>
          <w:rFonts w:cs="Times New Roman"/>
          <w:b/>
        </w:rPr>
        <w:t xml:space="preserve">a three-year agreement </w:t>
      </w:r>
      <w:r w:rsidR="002942F5" w:rsidRPr="00834149">
        <w:rPr>
          <w:rFonts w:cs="Times New Roman"/>
          <w:b/>
        </w:rPr>
        <w:t xml:space="preserve">Extended Credit Facility </w:t>
      </w:r>
      <w:r w:rsidR="003363EF" w:rsidRPr="00834149">
        <w:rPr>
          <w:rFonts w:cs="Times New Roman"/>
          <w:b/>
        </w:rPr>
        <w:t xml:space="preserve">(ECF) </w:t>
      </w:r>
      <w:r w:rsidRPr="00834149">
        <w:rPr>
          <w:rFonts w:cs="Times New Roman"/>
          <w:b/>
        </w:rPr>
        <w:t>with the International Monetary Fund (IMF)</w:t>
      </w:r>
      <w:r w:rsidR="002942F5" w:rsidRPr="00834149">
        <w:rPr>
          <w:rFonts w:cs="Times New Roman"/>
          <w:b/>
        </w:rPr>
        <w:t xml:space="preserve">. </w:t>
      </w:r>
      <w:r w:rsidR="002942F5" w:rsidRPr="00834149">
        <w:rPr>
          <w:rFonts w:cs="Times New Roman"/>
        </w:rPr>
        <w:t xml:space="preserve">The </w:t>
      </w:r>
      <w:r w:rsidR="003363EF" w:rsidRPr="00834149">
        <w:rPr>
          <w:rFonts w:cs="Times New Roman"/>
        </w:rPr>
        <w:t xml:space="preserve">ECF </w:t>
      </w:r>
      <w:r w:rsidR="002942F5" w:rsidRPr="00834149">
        <w:rPr>
          <w:rFonts w:cs="Times New Roman"/>
        </w:rPr>
        <w:t>program</w:t>
      </w:r>
      <w:r w:rsidR="003363EF" w:rsidRPr="00834149">
        <w:rPr>
          <w:rFonts w:cs="Times New Roman"/>
        </w:rPr>
        <w:t>,</w:t>
      </w:r>
      <w:r w:rsidR="002942F5" w:rsidRPr="00834149">
        <w:rPr>
          <w:rFonts w:cs="Times New Roman"/>
        </w:rPr>
        <w:t xml:space="preserve"> </w:t>
      </w:r>
      <w:r w:rsidRPr="00834149">
        <w:rPr>
          <w:rFonts w:cs="Times New Roman"/>
        </w:rPr>
        <w:t xml:space="preserve">to be </w:t>
      </w:r>
      <w:r w:rsidR="002942F5" w:rsidRPr="00834149">
        <w:rPr>
          <w:rFonts w:cs="Times New Roman"/>
        </w:rPr>
        <w:t>presented to the IMF Board in May</w:t>
      </w:r>
      <w:r w:rsidRPr="00834149">
        <w:rPr>
          <w:rFonts w:cs="Times New Roman"/>
        </w:rPr>
        <w:t xml:space="preserve"> 2017</w:t>
      </w:r>
      <w:r w:rsidR="003363EF" w:rsidRPr="00834149">
        <w:rPr>
          <w:rFonts w:cs="Times New Roman"/>
        </w:rPr>
        <w:t xml:space="preserve">, </w:t>
      </w:r>
      <w:r w:rsidRPr="00834149">
        <w:rPr>
          <w:rFonts w:cs="Times New Roman"/>
        </w:rPr>
        <w:t xml:space="preserve">is based on a sharp cut in fiscal spending and an increase in public revenue, necessary to restore fiscal space and reduce the debt burden. The government has opted for a more prudent borrowing policy with new debts to be contracted principally on a concessional basis. The new spending policy will put more emphasis on social spending to help reduce the cost of fiscal adjustment to vulnerable groups and enhance human capital development in the longer term. The program also hopes to help restore the solvency of the banking sector by identifying a solution for the two state-owned banks operating with negative equity. </w:t>
      </w:r>
    </w:p>
    <w:p w14:paraId="022E9170" w14:textId="75628529" w:rsidR="00AB08BD" w:rsidRPr="00834149" w:rsidRDefault="00AB08BD" w:rsidP="00AB08BD">
      <w:pPr>
        <w:pStyle w:val="ListParagraph"/>
        <w:numPr>
          <w:ilvl w:val="0"/>
          <w:numId w:val="2"/>
        </w:numPr>
        <w:autoSpaceDE w:val="0"/>
        <w:autoSpaceDN w:val="0"/>
        <w:adjustRightInd w:val="0"/>
        <w:ind w:left="0" w:firstLine="0"/>
        <w:jc w:val="both"/>
        <w:rPr>
          <w:rFonts w:cs="Times New Roman"/>
        </w:rPr>
      </w:pPr>
      <w:r w:rsidRPr="00834149">
        <w:rPr>
          <w:rFonts w:cs="Times New Roman"/>
          <w:b/>
        </w:rPr>
        <w:lastRenderedPageBreak/>
        <w:t>To compensate for reduc</w:t>
      </w:r>
      <w:r w:rsidR="003363EF" w:rsidRPr="00834149">
        <w:rPr>
          <w:rFonts w:cs="Times New Roman"/>
          <w:b/>
        </w:rPr>
        <w:t xml:space="preserve">ed </w:t>
      </w:r>
      <w:r w:rsidRPr="00834149">
        <w:rPr>
          <w:rFonts w:cs="Times New Roman"/>
          <w:b/>
        </w:rPr>
        <w:t>public spending and mitigate its negative effect on economic growth, the government’s new program has a stronger focus on private sector development and more efficient public spending</w:t>
      </w:r>
      <w:r w:rsidRPr="00834149">
        <w:rPr>
          <w:rFonts w:cs="Times New Roman"/>
        </w:rPr>
        <w:t xml:space="preserve">. A series of reforms should improve productivity in agriculture, while a stronger business-enabling environment and improved transport services (including roads, ports, and airports) should underpin future growth of the industrial and service sectors, thanks to greater total factor productivity. </w:t>
      </w:r>
      <w:r w:rsidRPr="00834149">
        <w:rPr>
          <w:rFonts w:cs="Times New Roman"/>
          <w:bCs/>
        </w:rPr>
        <w:t>Togo has important phosphate, clinker, and other mineral reserves that could play an important part in the country’s future economic development, though these activities have underperformed recently.</w:t>
      </w:r>
      <w:r w:rsidRPr="00834149">
        <w:rPr>
          <w:rFonts w:cs="Times New Roman"/>
        </w:rPr>
        <w:t xml:space="preserve"> Moreover, the </w:t>
      </w:r>
      <w:r w:rsidR="00C622A7">
        <w:rPr>
          <w:rFonts w:cs="Times New Roman"/>
        </w:rPr>
        <w:t>G</w:t>
      </w:r>
      <w:r w:rsidRPr="00834149">
        <w:rPr>
          <w:rFonts w:cs="Times New Roman"/>
        </w:rPr>
        <w:t>overnment is taking measures to seriously improve the efficiency of public spending, following Togo’s Public Investment Management Assessment (PIMA) report of 2016</w:t>
      </w:r>
      <w:r w:rsidR="004E09AE" w:rsidRPr="00834149">
        <w:rPr>
          <w:rFonts w:cs="Times New Roman"/>
        </w:rPr>
        <w:t>,</w:t>
      </w:r>
      <w:r w:rsidRPr="00834149">
        <w:rPr>
          <w:rFonts w:cs="Times New Roman"/>
        </w:rPr>
        <w:t xml:space="preserve"> which identified a 70 percent loss in impact of public investment projects due to inefficient practices. If these efficiency </w:t>
      </w:r>
      <w:r w:rsidR="00AF6675" w:rsidRPr="00834149">
        <w:rPr>
          <w:rFonts w:cs="Times New Roman"/>
        </w:rPr>
        <w:t>issues</w:t>
      </w:r>
      <w:r w:rsidRPr="00834149">
        <w:rPr>
          <w:rFonts w:cs="Times New Roman"/>
        </w:rPr>
        <w:t xml:space="preserve"> are addressed, this will </w:t>
      </w:r>
      <w:r w:rsidR="00AF6675" w:rsidRPr="00834149">
        <w:rPr>
          <w:rFonts w:cs="Times New Roman"/>
        </w:rPr>
        <w:t>help</w:t>
      </w:r>
      <w:r w:rsidRPr="00834149">
        <w:rPr>
          <w:rFonts w:cs="Times New Roman"/>
        </w:rPr>
        <w:t xml:space="preserve"> compensate</w:t>
      </w:r>
      <w:r w:rsidR="00AF6675" w:rsidRPr="00834149">
        <w:rPr>
          <w:rFonts w:cs="Times New Roman"/>
        </w:rPr>
        <w:t xml:space="preserve"> for</w:t>
      </w:r>
      <w:r w:rsidRPr="00834149">
        <w:rPr>
          <w:rFonts w:cs="Times New Roman"/>
        </w:rPr>
        <w:t xml:space="preserve"> the reduction in public spending and </w:t>
      </w:r>
      <w:r w:rsidR="00AF6675" w:rsidRPr="00834149">
        <w:rPr>
          <w:rFonts w:cs="Times New Roman"/>
        </w:rPr>
        <w:t>help</w:t>
      </w:r>
      <w:r w:rsidRPr="00834149">
        <w:rPr>
          <w:rFonts w:cs="Times New Roman"/>
        </w:rPr>
        <w:t xml:space="preserve"> maintain the GDP growth rate at its current level.</w:t>
      </w:r>
    </w:p>
    <w:p w14:paraId="4F8E1B13" w14:textId="77777777" w:rsidR="00AB08BD" w:rsidRPr="00834149" w:rsidRDefault="00AB08BD" w:rsidP="00AB08BD">
      <w:pPr>
        <w:pStyle w:val="ListParagraph"/>
        <w:jc w:val="both"/>
        <w:rPr>
          <w:rFonts w:cs="Times New Roman"/>
        </w:rPr>
      </w:pPr>
    </w:p>
    <w:p w14:paraId="19B19A3F" w14:textId="5F9B714D" w:rsidR="00AB08BD" w:rsidRPr="00834149" w:rsidRDefault="00AB08BD" w:rsidP="00AB08BD">
      <w:pPr>
        <w:pStyle w:val="ListParagraph"/>
        <w:numPr>
          <w:ilvl w:val="0"/>
          <w:numId w:val="2"/>
        </w:numPr>
        <w:autoSpaceDE w:val="0"/>
        <w:autoSpaceDN w:val="0"/>
        <w:adjustRightInd w:val="0"/>
        <w:ind w:left="0" w:firstLine="0"/>
        <w:jc w:val="both"/>
        <w:rPr>
          <w:rFonts w:cs="Times New Roman"/>
        </w:rPr>
      </w:pPr>
      <w:r w:rsidRPr="00834149">
        <w:rPr>
          <w:rFonts w:cs="Times New Roman"/>
          <w:b/>
        </w:rPr>
        <w:t>As a result, growth projections are expected to remain in the range of 5.0-5.5 percent over the next three years, with a gradual adjustment of the fiscal deficit and public debt to sustainable levels</w:t>
      </w:r>
      <w:r w:rsidRPr="00834149">
        <w:rPr>
          <w:rFonts w:cs="Times New Roman"/>
        </w:rPr>
        <w:t>. The overall fiscal deficit is expected to reach around 3.6 percent of GDP in 2018, down from 9.8 percent in 2016, while public debt will stabilize to around 78.1 percent of GDP by 2018 and is projected to decline further in the medium term. Inflation is projected to remain under the WAEMU target of 3 percent, while the current account deficit should gradually improve to around 8.3 percent of GDP in 2018</w:t>
      </w:r>
      <w:r w:rsidR="004E09AE" w:rsidRPr="00834149">
        <w:rPr>
          <w:rFonts w:cs="Times New Roman"/>
        </w:rPr>
        <w:t>,</w:t>
      </w:r>
      <w:r w:rsidRPr="00834149">
        <w:rPr>
          <w:rFonts w:cs="Times New Roman"/>
        </w:rPr>
        <w:t xml:space="preserve"> </w:t>
      </w:r>
      <w:r w:rsidR="004E09AE" w:rsidRPr="00834149">
        <w:rPr>
          <w:rFonts w:cs="Times New Roman"/>
        </w:rPr>
        <w:t>because</w:t>
      </w:r>
      <w:r w:rsidRPr="00834149">
        <w:rPr>
          <w:rFonts w:cs="Times New Roman"/>
        </w:rPr>
        <w:t xml:space="preserve"> of the projected increase in exports fueled by higher commodity prices and the resumption of growth in the global economy.</w:t>
      </w:r>
    </w:p>
    <w:p w14:paraId="4D773469" w14:textId="77777777" w:rsidR="00AB08BD" w:rsidRPr="00834149" w:rsidRDefault="00AB08BD" w:rsidP="00AB08BD">
      <w:pPr>
        <w:pStyle w:val="ListParagraph"/>
        <w:ind w:left="0"/>
        <w:jc w:val="both"/>
        <w:rPr>
          <w:rFonts w:cs="Times New Roman"/>
        </w:rPr>
      </w:pPr>
    </w:p>
    <w:p w14:paraId="71226B98" w14:textId="6956771A" w:rsidR="00AB08BD" w:rsidRPr="00834149" w:rsidRDefault="00AB08BD" w:rsidP="00AB08BD">
      <w:pPr>
        <w:pStyle w:val="ListParagraph"/>
        <w:numPr>
          <w:ilvl w:val="0"/>
          <w:numId w:val="2"/>
        </w:numPr>
        <w:autoSpaceDE w:val="0"/>
        <w:autoSpaceDN w:val="0"/>
        <w:adjustRightInd w:val="0"/>
        <w:ind w:left="0" w:firstLine="0"/>
        <w:jc w:val="both"/>
        <w:rPr>
          <w:rFonts w:cs="Times New Roman"/>
        </w:rPr>
      </w:pPr>
      <w:r w:rsidRPr="00834149">
        <w:rPr>
          <w:rFonts w:cs="Times New Roman"/>
          <w:b/>
        </w:rPr>
        <w:t>Risks remain, especially in terms of achieving the level of fiscal adjustment required to restore sufficient fiscal space</w:t>
      </w:r>
      <w:r w:rsidRPr="00834149">
        <w:rPr>
          <w:rFonts w:cs="Times New Roman"/>
        </w:rPr>
        <w:t xml:space="preserve">. Cutting public spending has proved elusive in the past, and the </w:t>
      </w:r>
      <w:r w:rsidR="00C622A7">
        <w:rPr>
          <w:rFonts w:cs="Times New Roman"/>
        </w:rPr>
        <w:t>G</w:t>
      </w:r>
      <w:r w:rsidRPr="00834149">
        <w:rPr>
          <w:rFonts w:cs="Times New Roman"/>
        </w:rPr>
        <w:t xml:space="preserve">overnment will have to find a way to achieve fiscal sustainability and deliver public services at an affordable cost to a fast-growing population. This will require mobilizing further domestic revenue and </w:t>
      </w:r>
      <w:r w:rsidR="00AF6675" w:rsidRPr="00834149">
        <w:rPr>
          <w:rFonts w:cs="Times New Roman"/>
        </w:rPr>
        <w:t xml:space="preserve">achieving </w:t>
      </w:r>
      <w:r w:rsidRPr="00834149">
        <w:rPr>
          <w:rFonts w:cs="Times New Roman"/>
        </w:rPr>
        <w:t xml:space="preserve">greater efficiency gains in public expenditures, including through better financial management, controls and possibly sanctions.    </w:t>
      </w:r>
    </w:p>
    <w:p w14:paraId="5086A30C" w14:textId="77777777" w:rsidR="00AB08BD" w:rsidRPr="00834149" w:rsidRDefault="00AB08BD" w:rsidP="00AB08BD">
      <w:pPr>
        <w:pStyle w:val="ListParagraph"/>
        <w:jc w:val="both"/>
        <w:rPr>
          <w:rFonts w:cs="Times New Roman"/>
        </w:rPr>
      </w:pPr>
    </w:p>
    <w:p w14:paraId="5829F4E0" w14:textId="3524225F" w:rsidR="00AB08BD" w:rsidRPr="00834149" w:rsidRDefault="00AB08BD" w:rsidP="00AB08BD">
      <w:pPr>
        <w:pStyle w:val="ListParagraph"/>
        <w:numPr>
          <w:ilvl w:val="0"/>
          <w:numId w:val="2"/>
        </w:numPr>
        <w:autoSpaceDE w:val="0"/>
        <w:autoSpaceDN w:val="0"/>
        <w:adjustRightInd w:val="0"/>
        <w:ind w:left="0" w:firstLine="0"/>
        <w:jc w:val="both"/>
        <w:rPr>
          <w:rFonts w:cs="Times New Roman"/>
        </w:rPr>
      </w:pPr>
      <w:r w:rsidRPr="00834149">
        <w:rPr>
          <w:rFonts w:cs="Times New Roman"/>
          <w:b/>
        </w:rPr>
        <w:t>Togo, as a small open economy, is vulnerable to a series of external shocks</w:t>
      </w:r>
      <w:r w:rsidRPr="00834149">
        <w:rPr>
          <w:rFonts w:cs="Times New Roman"/>
        </w:rPr>
        <w:t xml:space="preserve">. The economic situation of major trading partners such as Nigeria, Ghana and China has ripple effects in Togo’s economy. Higher oil prices would increase the import bill. To the extent that the </w:t>
      </w:r>
      <w:r w:rsidR="00C622A7">
        <w:rPr>
          <w:rFonts w:cs="Times New Roman"/>
        </w:rPr>
        <w:t>G</w:t>
      </w:r>
      <w:r w:rsidRPr="00834149">
        <w:rPr>
          <w:rFonts w:cs="Times New Roman"/>
        </w:rPr>
        <w:t xml:space="preserve">overnment will have to refinance its debt over the next few years, including on the regional market, the fiscal adjustment will also be vulnerable to increases in interest rates on both regional and international financial markets. </w:t>
      </w:r>
    </w:p>
    <w:p w14:paraId="5CA41655" w14:textId="77777777" w:rsidR="00AB08BD" w:rsidRPr="00834149" w:rsidRDefault="00AB08BD" w:rsidP="00AB08BD">
      <w:pPr>
        <w:pStyle w:val="ListParagraph"/>
        <w:jc w:val="both"/>
        <w:rPr>
          <w:rFonts w:cs="Times New Roman"/>
        </w:rPr>
      </w:pPr>
    </w:p>
    <w:p w14:paraId="1DF9965E" w14:textId="46476F01" w:rsidR="00AB08BD" w:rsidRPr="00834149" w:rsidRDefault="00AB08BD" w:rsidP="00AB08BD">
      <w:pPr>
        <w:pStyle w:val="ListParagraph"/>
        <w:numPr>
          <w:ilvl w:val="0"/>
          <w:numId w:val="2"/>
        </w:numPr>
        <w:autoSpaceDE w:val="0"/>
        <w:autoSpaceDN w:val="0"/>
        <w:adjustRightInd w:val="0"/>
        <w:ind w:left="0" w:firstLine="0"/>
        <w:jc w:val="both"/>
        <w:rPr>
          <w:rFonts w:cs="Times New Roman"/>
        </w:rPr>
      </w:pPr>
      <w:r w:rsidRPr="00834149">
        <w:rPr>
          <w:rFonts w:cs="Times New Roman"/>
          <w:b/>
        </w:rPr>
        <w:t>The economy, especially the agricultur</w:t>
      </w:r>
      <w:r w:rsidR="003363EF" w:rsidRPr="00834149">
        <w:rPr>
          <w:rFonts w:cs="Times New Roman"/>
          <w:b/>
        </w:rPr>
        <w:t>e</w:t>
      </w:r>
      <w:r w:rsidRPr="00834149">
        <w:rPr>
          <w:rFonts w:cs="Times New Roman"/>
          <w:b/>
        </w:rPr>
        <w:t xml:space="preserve"> sector, is also exposed to climatic shocks</w:t>
      </w:r>
      <w:r w:rsidRPr="00834149">
        <w:rPr>
          <w:rFonts w:cs="Times New Roman"/>
        </w:rPr>
        <w:t xml:space="preserve">. Climate change has been identified as a major threat to agriculture in Togo because the majority of Togolese farmers are heavily dependent on </w:t>
      </w:r>
      <w:r w:rsidR="000F5595" w:rsidRPr="000F5595">
        <w:rPr>
          <w:rFonts w:cs="Times New Roman"/>
        </w:rPr>
        <w:t>rain fed</w:t>
      </w:r>
      <w:r w:rsidRPr="00834149">
        <w:rPr>
          <w:rFonts w:cs="Times New Roman"/>
        </w:rPr>
        <w:t xml:space="preserve"> agriculture. Periods of timely and abundant rainfall have usually been characterized by high agricultural production, whereas periods of sporadic and low rainfall, as in 2013, have led to poor agricultural performance.  </w:t>
      </w:r>
    </w:p>
    <w:p w14:paraId="0B0A65AD" w14:textId="2BF2E240" w:rsidR="00AB08BD" w:rsidRDefault="00AB08BD" w:rsidP="00AB08BD">
      <w:pPr>
        <w:rPr>
          <w:rFonts w:cs="Times New Roman"/>
        </w:rPr>
      </w:pPr>
    </w:p>
    <w:p w14:paraId="1FDE7EA7" w14:textId="3A3370BC" w:rsidR="000F5595" w:rsidRDefault="000F5595" w:rsidP="00AB08BD">
      <w:pPr>
        <w:rPr>
          <w:rFonts w:cs="Times New Roman"/>
        </w:rPr>
      </w:pPr>
    </w:p>
    <w:p w14:paraId="6278B7EF" w14:textId="7E8EB3E7" w:rsidR="000F5595" w:rsidRDefault="000F5595" w:rsidP="00AB08BD">
      <w:pPr>
        <w:rPr>
          <w:rFonts w:cs="Times New Roman"/>
        </w:rPr>
      </w:pPr>
    </w:p>
    <w:p w14:paraId="4398B0BC" w14:textId="025D2F4D" w:rsidR="000F5595" w:rsidRDefault="000F5595" w:rsidP="00AB08BD">
      <w:pPr>
        <w:rPr>
          <w:rFonts w:cs="Times New Roman"/>
        </w:rPr>
      </w:pPr>
    </w:p>
    <w:p w14:paraId="4BEC576B" w14:textId="38C46488" w:rsidR="000F5595" w:rsidRDefault="000F5595" w:rsidP="00AB08BD">
      <w:pPr>
        <w:rPr>
          <w:rFonts w:cs="Times New Roman"/>
        </w:rPr>
      </w:pPr>
    </w:p>
    <w:p w14:paraId="61518055" w14:textId="4ABA234C" w:rsidR="000F5595" w:rsidRDefault="000F5595" w:rsidP="00AB08BD">
      <w:pPr>
        <w:rPr>
          <w:rFonts w:cs="Times New Roman"/>
        </w:rPr>
      </w:pPr>
    </w:p>
    <w:p w14:paraId="61E8F964" w14:textId="77777777" w:rsidR="000F5595" w:rsidRPr="00834149" w:rsidRDefault="000F5595" w:rsidP="00AB08BD">
      <w:pPr>
        <w:rPr>
          <w:rFonts w:cs="Times New Roman"/>
        </w:rPr>
      </w:pPr>
    </w:p>
    <w:p w14:paraId="28EB42F0" w14:textId="3D7A40B2" w:rsidR="00AB08BD" w:rsidRPr="00834149" w:rsidRDefault="00AB08BD" w:rsidP="00AB08BD">
      <w:pPr>
        <w:pStyle w:val="Caption"/>
        <w:rPr>
          <w:rFonts w:cs="Times New Roman"/>
          <w:caps w:val="0"/>
          <w:sz w:val="22"/>
          <w:szCs w:val="22"/>
        </w:rPr>
      </w:pPr>
      <w:bookmarkStart w:id="6" w:name="_Toc480207645"/>
      <w:r w:rsidRPr="00834149">
        <w:rPr>
          <w:rFonts w:cs="Times New Roman"/>
          <w:caps w:val="0"/>
          <w:sz w:val="22"/>
          <w:szCs w:val="22"/>
        </w:rPr>
        <w:lastRenderedPageBreak/>
        <w:t xml:space="preserve">Table </w:t>
      </w:r>
      <w:r w:rsidRPr="00834149">
        <w:rPr>
          <w:rFonts w:cs="Times New Roman"/>
          <w:caps w:val="0"/>
          <w:sz w:val="22"/>
          <w:szCs w:val="22"/>
        </w:rPr>
        <w:fldChar w:fldCharType="begin"/>
      </w:r>
      <w:r w:rsidRPr="00834149">
        <w:rPr>
          <w:rFonts w:cs="Times New Roman"/>
          <w:caps w:val="0"/>
          <w:sz w:val="22"/>
          <w:szCs w:val="22"/>
        </w:rPr>
        <w:instrText xml:space="preserve"> SEQ Table \* ARABIC </w:instrText>
      </w:r>
      <w:r w:rsidRPr="00834149">
        <w:rPr>
          <w:rFonts w:cs="Times New Roman"/>
          <w:caps w:val="0"/>
          <w:sz w:val="22"/>
          <w:szCs w:val="22"/>
        </w:rPr>
        <w:fldChar w:fldCharType="separate"/>
      </w:r>
      <w:r w:rsidR="000D6ABB">
        <w:rPr>
          <w:rFonts w:cs="Times New Roman"/>
          <w:caps w:val="0"/>
          <w:noProof/>
          <w:sz w:val="22"/>
          <w:szCs w:val="22"/>
        </w:rPr>
        <w:t>1</w:t>
      </w:r>
      <w:r w:rsidRPr="00834149">
        <w:rPr>
          <w:rFonts w:cs="Times New Roman"/>
          <w:caps w:val="0"/>
          <w:sz w:val="22"/>
          <w:szCs w:val="22"/>
        </w:rPr>
        <w:fldChar w:fldCharType="end"/>
      </w:r>
      <w:r w:rsidRPr="00834149">
        <w:rPr>
          <w:rFonts w:cs="Times New Roman"/>
          <w:caps w:val="0"/>
          <w:sz w:val="22"/>
          <w:szCs w:val="22"/>
        </w:rPr>
        <w:t>: Selected Economic and Financial Indicators</w:t>
      </w:r>
      <w:bookmarkEnd w:id="6"/>
    </w:p>
    <w:tbl>
      <w:tblPr>
        <w:tblW w:w="9529" w:type="dxa"/>
        <w:jc w:val="center"/>
        <w:tblLook w:val="04A0" w:firstRow="1" w:lastRow="0" w:firstColumn="1" w:lastColumn="0" w:noHBand="0" w:noVBand="1"/>
      </w:tblPr>
      <w:tblGrid>
        <w:gridCol w:w="3690"/>
        <w:gridCol w:w="729"/>
        <w:gridCol w:w="730"/>
        <w:gridCol w:w="730"/>
        <w:gridCol w:w="730"/>
        <w:gridCol w:w="730"/>
        <w:gridCol w:w="730"/>
        <w:gridCol w:w="730"/>
        <w:gridCol w:w="730"/>
      </w:tblGrid>
      <w:tr w:rsidR="00AB08BD" w:rsidRPr="000F5595" w14:paraId="71CB5A7F" w14:textId="77777777" w:rsidTr="00834149">
        <w:trPr>
          <w:jc w:val="center"/>
        </w:trPr>
        <w:tc>
          <w:tcPr>
            <w:tcW w:w="3690" w:type="dxa"/>
            <w:tcBorders>
              <w:top w:val="single" w:sz="4" w:space="0" w:color="auto"/>
              <w:left w:val="nil"/>
              <w:bottom w:val="nil"/>
              <w:right w:val="nil"/>
            </w:tcBorders>
            <w:noWrap/>
            <w:vAlign w:val="bottom"/>
            <w:hideMark/>
          </w:tcPr>
          <w:p w14:paraId="6473C7A7" w14:textId="77777777" w:rsidR="00AB08BD" w:rsidRPr="00834149" w:rsidRDefault="00AB08BD" w:rsidP="000737D8">
            <w:pPr>
              <w:rPr>
                <w:rFonts w:cs="Times New Roman"/>
                <w:sz w:val="18"/>
                <w:szCs w:val="18"/>
              </w:rPr>
            </w:pPr>
          </w:p>
        </w:tc>
        <w:tc>
          <w:tcPr>
            <w:tcW w:w="0" w:type="auto"/>
            <w:tcBorders>
              <w:top w:val="single" w:sz="4" w:space="0" w:color="auto"/>
              <w:left w:val="nil"/>
              <w:bottom w:val="single" w:sz="4" w:space="0" w:color="auto"/>
              <w:right w:val="nil"/>
            </w:tcBorders>
            <w:noWrap/>
            <w:vAlign w:val="bottom"/>
            <w:hideMark/>
          </w:tcPr>
          <w:p w14:paraId="48BF4309"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2013</w:t>
            </w:r>
          </w:p>
        </w:tc>
        <w:tc>
          <w:tcPr>
            <w:tcW w:w="0" w:type="auto"/>
            <w:tcBorders>
              <w:top w:val="single" w:sz="4" w:space="0" w:color="auto"/>
              <w:left w:val="nil"/>
              <w:bottom w:val="single" w:sz="4" w:space="0" w:color="auto"/>
              <w:right w:val="nil"/>
            </w:tcBorders>
            <w:noWrap/>
            <w:vAlign w:val="bottom"/>
            <w:hideMark/>
          </w:tcPr>
          <w:p w14:paraId="6C7B834A"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2014</w:t>
            </w:r>
          </w:p>
        </w:tc>
        <w:tc>
          <w:tcPr>
            <w:tcW w:w="0" w:type="auto"/>
            <w:tcBorders>
              <w:top w:val="single" w:sz="4" w:space="0" w:color="auto"/>
              <w:left w:val="nil"/>
              <w:bottom w:val="single" w:sz="4" w:space="0" w:color="auto"/>
              <w:right w:val="nil"/>
            </w:tcBorders>
            <w:noWrap/>
            <w:vAlign w:val="bottom"/>
            <w:hideMark/>
          </w:tcPr>
          <w:p w14:paraId="5968919C"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2015</w:t>
            </w:r>
          </w:p>
        </w:tc>
        <w:tc>
          <w:tcPr>
            <w:tcW w:w="0" w:type="auto"/>
            <w:tcBorders>
              <w:top w:val="single" w:sz="4" w:space="0" w:color="auto"/>
              <w:left w:val="nil"/>
              <w:bottom w:val="single" w:sz="4" w:space="0" w:color="auto"/>
              <w:right w:val="nil"/>
            </w:tcBorders>
            <w:noWrap/>
            <w:vAlign w:val="bottom"/>
            <w:hideMark/>
          </w:tcPr>
          <w:p w14:paraId="1BA704E3"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2016</w:t>
            </w:r>
          </w:p>
        </w:tc>
        <w:tc>
          <w:tcPr>
            <w:tcW w:w="0" w:type="auto"/>
            <w:tcBorders>
              <w:top w:val="single" w:sz="4" w:space="0" w:color="auto"/>
              <w:left w:val="nil"/>
              <w:bottom w:val="single" w:sz="4" w:space="0" w:color="auto"/>
              <w:right w:val="nil"/>
            </w:tcBorders>
            <w:noWrap/>
            <w:vAlign w:val="bottom"/>
            <w:hideMark/>
          </w:tcPr>
          <w:p w14:paraId="71732B90"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2017</w:t>
            </w:r>
          </w:p>
        </w:tc>
        <w:tc>
          <w:tcPr>
            <w:tcW w:w="0" w:type="auto"/>
            <w:tcBorders>
              <w:top w:val="single" w:sz="4" w:space="0" w:color="auto"/>
              <w:left w:val="nil"/>
              <w:bottom w:val="single" w:sz="4" w:space="0" w:color="auto"/>
              <w:right w:val="nil"/>
            </w:tcBorders>
            <w:noWrap/>
            <w:vAlign w:val="bottom"/>
            <w:hideMark/>
          </w:tcPr>
          <w:p w14:paraId="6A5B2EDE"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2018</w:t>
            </w:r>
          </w:p>
        </w:tc>
        <w:tc>
          <w:tcPr>
            <w:tcW w:w="0" w:type="auto"/>
            <w:tcBorders>
              <w:top w:val="single" w:sz="4" w:space="0" w:color="auto"/>
              <w:left w:val="nil"/>
              <w:bottom w:val="single" w:sz="4" w:space="0" w:color="auto"/>
              <w:right w:val="nil"/>
            </w:tcBorders>
            <w:noWrap/>
            <w:vAlign w:val="bottom"/>
            <w:hideMark/>
          </w:tcPr>
          <w:p w14:paraId="4721E8B8"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2019</w:t>
            </w:r>
          </w:p>
        </w:tc>
        <w:tc>
          <w:tcPr>
            <w:tcW w:w="0" w:type="auto"/>
            <w:tcBorders>
              <w:top w:val="single" w:sz="4" w:space="0" w:color="auto"/>
              <w:left w:val="nil"/>
              <w:bottom w:val="single" w:sz="4" w:space="0" w:color="auto"/>
              <w:right w:val="nil"/>
            </w:tcBorders>
            <w:noWrap/>
            <w:vAlign w:val="bottom"/>
            <w:hideMark/>
          </w:tcPr>
          <w:p w14:paraId="7AE9AE29"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2020</w:t>
            </w:r>
          </w:p>
        </w:tc>
      </w:tr>
      <w:tr w:rsidR="00AB08BD" w:rsidRPr="000F5595" w14:paraId="5D2CBC3F" w14:textId="77777777" w:rsidTr="00834149">
        <w:trPr>
          <w:jc w:val="center"/>
        </w:trPr>
        <w:tc>
          <w:tcPr>
            <w:tcW w:w="3690" w:type="dxa"/>
            <w:tcBorders>
              <w:top w:val="nil"/>
              <w:left w:val="nil"/>
              <w:bottom w:val="single" w:sz="4" w:space="0" w:color="auto"/>
              <w:right w:val="nil"/>
            </w:tcBorders>
            <w:noWrap/>
            <w:vAlign w:val="bottom"/>
            <w:hideMark/>
          </w:tcPr>
          <w:p w14:paraId="215BA0DE" w14:textId="77777777" w:rsidR="00AB08BD" w:rsidRPr="00834149" w:rsidRDefault="00AB08BD" w:rsidP="000737D8">
            <w:pPr>
              <w:rPr>
                <w:rFonts w:cs="Times New Roman"/>
                <w:sz w:val="18"/>
                <w:szCs w:val="18"/>
              </w:rPr>
            </w:pPr>
          </w:p>
        </w:tc>
        <w:tc>
          <w:tcPr>
            <w:tcW w:w="0" w:type="auto"/>
            <w:gridSpan w:val="4"/>
            <w:tcBorders>
              <w:top w:val="single" w:sz="4" w:space="0" w:color="auto"/>
              <w:left w:val="nil"/>
              <w:bottom w:val="single" w:sz="4" w:space="0" w:color="auto"/>
              <w:right w:val="single" w:sz="4" w:space="0" w:color="auto"/>
            </w:tcBorders>
            <w:noWrap/>
            <w:vAlign w:val="bottom"/>
            <w:hideMark/>
          </w:tcPr>
          <w:p w14:paraId="53371952" w14:textId="77777777" w:rsidR="00AB08BD" w:rsidRPr="00834149" w:rsidRDefault="00AB08BD" w:rsidP="000737D8">
            <w:pPr>
              <w:jc w:val="center"/>
              <w:rPr>
                <w:rFonts w:eastAsia="Times New Roman" w:cs="Times New Roman"/>
                <w:color w:val="000000"/>
                <w:sz w:val="18"/>
                <w:szCs w:val="18"/>
              </w:rPr>
            </w:pPr>
            <w:r w:rsidRPr="00834149">
              <w:rPr>
                <w:rFonts w:eastAsia="Times New Roman" w:cs="Times New Roman"/>
                <w:color w:val="000000"/>
                <w:sz w:val="18"/>
                <w:szCs w:val="18"/>
              </w:rPr>
              <w:t>Est.</w:t>
            </w:r>
          </w:p>
        </w:tc>
        <w:tc>
          <w:tcPr>
            <w:tcW w:w="0" w:type="auto"/>
            <w:gridSpan w:val="4"/>
            <w:tcBorders>
              <w:top w:val="single" w:sz="4" w:space="0" w:color="auto"/>
              <w:left w:val="single" w:sz="4" w:space="0" w:color="auto"/>
              <w:bottom w:val="single" w:sz="4" w:space="0" w:color="auto"/>
              <w:right w:val="nil"/>
            </w:tcBorders>
            <w:noWrap/>
            <w:vAlign w:val="bottom"/>
            <w:hideMark/>
          </w:tcPr>
          <w:p w14:paraId="03D3533B" w14:textId="77777777" w:rsidR="00AB08BD" w:rsidRPr="00834149" w:rsidRDefault="00AB08BD" w:rsidP="000737D8">
            <w:pPr>
              <w:jc w:val="center"/>
              <w:rPr>
                <w:rFonts w:eastAsia="Times New Roman" w:cs="Times New Roman"/>
                <w:sz w:val="18"/>
                <w:szCs w:val="18"/>
              </w:rPr>
            </w:pPr>
            <w:r w:rsidRPr="00834149">
              <w:rPr>
                <w:rFonts w:eastAsia="Times New Roman" w:cs="Times New Roman"/>
                <w:color w:val="000000"/>
                <w:sz w:val="18"/>
                <w:szCs w:val="18"/>
              </w:rPr>
              <w:t>Proj.</w:t>
            </w:r>
          </w:p>
        </w:tc>
      </w:tr>
      <w:tr w:rsidR="00AB08BD" w:rsidRPr="000F5595" w14:paraId="53DE6940" w14:textId="77777777" w:rsidTr="00834149">
        <w:trPr>
          <w:jc w:val="center"/>
        </w:trPr>
        <w:tc>
          <w:tcPr>
            <w:tcW w:w="3690" w:type="dxa"/>
            <w:noWrap/>
            <w:vAlign w:val="bottom"/>
            <w:hideMark/>
          </w:tcPr>
          <w:p w14:paraId="183EB779"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Real GDP (annual % change)</w:t>
            </w:r>
          </w:p>
        </w:tc>
        <w:tc>
          <w:tcPr>
            <w:tcW w:w="0" w:type="auto"/>
            <w:noWrap/>
            <w:vAlign w:val="bottom"/>
            <w:hideMark/>
          </w:tcPr>
          <w:p w14:paraId="391156BA"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6.1</w:t>
            </w:r>
          </w:p>
        </w:tc>
        <w:tc>
          <w:tcPr>
            <w:tcW w:w="0" w:type="auto"/>
            <w:noWrap/>
            <w:vAlign w:val="bottom"/>
            <w:hideMark/>
          </w:tcPr>
          <w:p w14:paraId="6938F92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5.4</w:t>
            </w:r>
          </w:p>
        </w:tc>
        <w:tc>
          <w:tcPr>
            <w:tcW w:w="0" w:type="auto"/>
            <w:noWrap/>
            <w:vAlign w:val="bottom"/>
            <w:hideMark/>
          </w:tcPr>
          <w:p w14:paraId="49BA65D7"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5.3</w:t>
            </w:r>
          </w:p>
        </w:tc>
        <w:tc>
          <w:tcPr>
            <w:tcW w:w="0" w:type="auto"/>
            <w:noWrap/>
            <w:vAlign w:val="bottom"/>
            <w:hideMark/>
          </w:tcPr>
          <w:p w14:paraId="0EE1D6CE"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5.0</w:t>
            </w:r>
          </w:p>
        </w:tc>
        <w:tc>
          <w:tcPr>
            <w:tcW w:w="0" w:type="auto"/>
            <w:noWrap/>
            <w:vAlign w:val="bottom"/>
            <w:hideMark/>
          </w:tcPr>
          <w:p w14:paraId="08FA4D5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5.0</w:t>
            </w:r>
          </w:p>
        </w:tc>
        <w:tc>
          <w:tcPr>
            <w:tcW w:w="0" w:type="auto"/>
            <w:noWrap/>
            <w:vAlign w:val="bottom"/>
            <w:hideMark/>
          </w:tcPr>
          <w:p w14:paraId="0574E3E9"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5.3</w:t>
            </w:r>
          </w:p>
        </w:tc>
        <w:tc>
          <w:tcPr>
            <w:tcW w:w="0" w:type="auto"/>
            <w:noWrap/>
            <w:vAlign w:val="bottom"/>
            <w:hideMark/>
          </w:tcPr>
          <w:p w14:paraId="7058200F"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5.4</w:t>
            </w:r>
          </w:p>
        </w:tc>
        <w:tc>
          <w:tcPr>
            <w:tcW w:w="0" w:type="auto"/>
            <w:noWrap/>
            <w:vAlign w:val="bottom"/>
            <w:hideMark/>
          </w:tcPr>
          <w:p w14:paraId="7FD2C50C"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5.6</w:t>
            </w:r>
          </w:p>
        </w:tc>
      </w:tr>
      <w:tr w:rsidR="00AB08BD" w:rsidRPr="000F5595" w14:paraId="53BFF768" w14:textId="77777777" w:rsidTr="00834149">
        <w:trPr>
          <w:jc w:val="center"/>
        </w:trPr>
        <w:tc>
          <w:tcPr>
            <w:tcW w:w="3690" w:type="dxa"/>
            <w:noWrap/>
            <w:vAlign w:val="bottom"/>
            <w:hideMark/>
          </w:tcPr>
          <w:p w14:paraId="16789AE3"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Real GDP per capita (annual % change)</w:t>
            </w:r>
          </w:p>
        </w:tc>
        <w:tc>
          <w:tcPr>
            <w:tcW w:w="0" w:type="auto"/>
            <w:noWrap/>
            <w:vAlign w:val="bottom"/>
            <w:hideMark/>
          </w:tcPr>
          <w:p w14:paraId="2BDAB9C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3.3</w:t>
            </w:r>
          </w:p>
        </w:tc>
        <w:tc>
          <w:tcPr>
            <w:tcW w:w="0" w:type="auto"/>
            <w:noWrap/>
            <w:vAlign w:val="bottom"/>
            <w:hideMark/>
          </w:tcPr>
          <w:p w14:paraId="0114D8F0"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2.6</w:t>
            </w:r>
          </w:p>
        </w:tc>
        <w:tc>
          <w:tcPr>
            <w:tcW w:w="0" w:type="auto"/>
            <w:noWrap/>
            <w:vAlign w:val="bottom"/>
            <w:hideMark/>
          </w:tcPr>
          <w:p w14:paraId="17D32F07"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2.5</w:t>
            </w:r>
          </w:p>
        </w:tc>
        <w:tc>
          <w:tcPr>
            <w:tcW w:w="0" w:type="auto"/>
            <w:noWrap/>
            <w:vAlign w:val="bottom"/>
            <w:hideMark/>
          </w:tcPr>
          <w:p w14:paraId="1BBFF018"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2.2</w:t>
            </w:r>
          </w:p>
        </w:tc>
        <w:tc>
          <w:tcPr>
            <w:tcW w:w="0" w:type="auto"/>
            <w:noWrap/>
            <w:vAlign w:val="bottom"/>
            <w:hideMark/>
          </w:tcPr>
          <w:p w14:paraId="2D6A91D0"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2.2</w:t>
            </w:r>
          </w:p>
        </w:tc>
        <w:tc>
          <w:tcPr>
            <w:tcW w:w="0" w:type="auto"/>
            <w:noWrap/>
            <w:vAlign w:val="bottom"/>
            <w:hideMark/>
          </w:tcPr>
          <w:p w14:paraId="6C68A686"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2.5</w:t>
            </w:r>
          </w:p>
        </w:tc>
        <w:tc>
          <w:tcPr>
            <w:tcW w:w="0" w:type="auto"/>
            <w:noWrap/>
            <w:vAlign w:val="bottom"/>
            <w:hideMark/>
          </w:tcPr>
          <w:p w14:paraId="05C94F98"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2.6</w:t>
            </w:r>
          </w:p>
        </w:tc>
        <w:tc>
          <w:tcPr>
            <w:tcW w:w="0" w:type="auto"/>
            <w:noWrap/>
            <w:vAlign w:val="bottom"/>
            <w:hideMark/>
          </w:tcPr>
          <w:p w14:paraId="16FF1B1D"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2.8</w:t>
            </w:r>
          </w:p>
        </w:tc>
      </w:tr>
      <w:tr w:rsidR="00AB08BD" w:rsidRPr="000F5595" w14:paraId="06197D8E" w14:textId="77777777" w:rsidTr="00834149">
        <w:trPr>
          <w:jc w:val="center"/>
        </w:trPr>
        <w:tc>
          <w:tcPr>
            <w:tcW w:w="3690" w:type="dxa"/>
            <w:noWrap/>
            <w:vAlign w:val="bottom"/>
            <w:hideMark/>
          </w:tcPr>
          <w:p w14:paraId="068342C0"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CPI, inflation (annual % change)</w:t>
            </w:r>
          </w:p>
        </w:tc>
        <w:tc>
          <w:tcPr>
            <w:tcW w:w="0" w:type="auto"/>
            <w:noWrap/>
            <w:vAlign w:val="bottom"/>
            <w:hideMark/>
          </w:tcPr>
          <w:p w14:paraId="74A47DCA"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1.8</w:t>
            </w:r>
          </w:p>
        </w:tc>
        <w:tc>
          <w:tcPr>
            <w:tcW w:w="0" w:type="auto"/>
            <w:noWrap/>
            <w:vAlign w:val="bottom"/>
            <w:hideMark/>
          </w:tcPr>
          <w:p w14:paraId="657A978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0.2</w:t>
            </w:r>
          </w:p>
        </w:tc>
        <w:tc>
          <w:tcPr>
            <w:tcW w:w="0" w:type="auto"/>
            <w:noWrap/>
            <w:vAlign w:val="bottom"/>
            <w:hideMark/>
          </w:tcPr>
          <w:p w14:paraId="2B132A13"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1.8</w:t>
            </w:r>
          </w:p>
        </w:tc>
        <w:tc>
          <w:tcPr>
            <w:tcW w:w="0" w:type="auto"/>
            <w:noWrap/>
            <w:vAlign w:val="bottom"/>
            <w:hideMark/>
          </w:tcPr>
          <w:p w14:paraId="1941D832"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0.9</w:t>
            </w:r>
          </w:p>
        </w:tc>
        <w:tc>
          <w:tcPr>
            <w:tcW w:w="0" w:type="auto"/>
            <w:noWrap/>
            <w:vAlign w:val="bottom"/>
            <w:hideMark/>
          </w:tcPr>
          <w:p w14:paraId="0E0FBFF9"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1.5</w:t>
            </w:r>
          </w:p>
        </w:tc>
        <w:tc>
          <w:tcPr>
            <w:tcW w:w="0" w:type="auto"/>
            <w:noWrap/>
            <w:vAlign w:val="bottom"/>
            <w:hideMark/>
          </w:tcPr>
          <w:p w14:paraId="0D4463B7"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1.9</w:t>
            </w:r>
          </w:p>
        </w:tc>
        <w:tc>
          <w:tcPr>
            <w:tcW w:w="0" w:type="auto"/>
            <w:noWrap/>
            <w:vAlign w:val="bottom"/>
            <w:hideMark/>
          </w:tcPr>
          <w:p w14:paraId="13B2160F"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w:t>
            </w:r>
          </w:p>
        </w:tc>
        <w:tc>
          <w:tcPr>
            <w:tcW w:w="0" w:type="auto"/>
            <w:noWrap/>
            <w:vAlign w:val="bottom"/>
            <w:hideMark/>
          </w:tcPr>
          <w:p w14:paraId="3205083B"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w:t>
            </w:r>
          </w:p>
        </w:tc>
      </w:tr>
      <w:tr w:rsidR="00AB08BD" w:rsidRPr="000F5595" w14:paraId="0CF9F647" w14:textId="77777777" w:rsidTr="00834149">
        <w:trPr>
          <w:jc w:val="center"/>
        </w:trPr>
        <w:tc>
          <w:tcPr>
            <w:tcW w:w="3690" w:type="dxa"/>
            <w:noWrap/>
            <w:vAlign w:val="bottom"/>
            <w:hideMark/>
          </w:tcPr>
          <w:p w14:paraId="1AF253F4" w14:textId="77777777" w:rsidR="00AB08BD" w:rsidRPr="00834149" w:rsidRDefault="00AB08BD" w:rsidP="000737D8">
            <w:pPr>
              <w:rPr>
                <w:rFonts w:eastAsia="Times New Roman" w:cs="Times New Roman"/>
                <w:b/>
                <w:color w:val="000000"/>
                <w:sz w:val="18"/>
                <w:szCs w:val="18"/>
              </w:rPr>
            </w:pPr>
            <w:r w:rsidRPr="00834149">
              <w:rPr>
                <w:rFonts w:eastAsia="Times New Roman" w:cs="Times New Roman"/>
                <w:b/>
                <w:color w:val="000000"/>
                <w:sz w:val="18"/>
                <w:szCs w:val="18"/>
              </w:rPr>
              <w:t>Gross Domestic Investment</w:t>
            </w:r>
          </w:p>
        </w:tc>
        <w:tc>
          <w:tcPr>
            <w:tcW w:w="0" w:type="auto"/>
            <w:noWrap/>
            <w:vAlign w:val="bottom"/>
            <w:hideMark/>
          </w:tcPr>
          <w:p w14:paraId="5D8B874A"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24.5</w:t>
            </w:r>
          </w:p>
        </w:tc>
        <w:tc>
          <w:tcPr>
            <w:tcW w:w="0" w:type="auto"/>
            <w:noWrap/>
            <w:vAlign w:val="bottom"/>
            <w:hideMark/>
          </w:tcPr>
          <w:p w14:paraId="4CD1FEF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25.7</w:t>
            </w:r>
          </w:p>
        </w:tc>
        <w:tc>
          <w:tcPr>
            <w:tcW w:w="0" w:type="auto"/>
            <w:noWrap/>
            <w:vAlign w:val="bottom"/>
            <w:hideMark/>
          </w:tcPr>
          <w:p w14:paraId="2F2E5452"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27.0</w:t>
            </w:r>
          </w:p>
        </w:tc>
        <w:tc>
          <w:tcPr>
            <w:tcW w:w="0" w:type="auto"/>
            <w:noWrap/>
            <w:vAlign w:val="bottom"/>
            <w:hideMark/>
          </w:tcPr>
          <w:p w14:paraId="1F658F6E"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27.4</w:t>
            </w:r>
          </w:p>
        </w:tc>
        <w:tc>
          <w:tcPr>
            <w:tcW w:w="0" w:type="auto"/>
            <w:noWrap/>
            <w:vAlign w:val="bottom"/>
            <w:hideMark/>
          </w:tcPr>
          <w:p w14:paraId="163C26EF"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26.1</w:t>
            </w:r>
          </w:p>
        </w:tc>
        <w:tc>
          <w:tcPr>
            <w:tcW w:w="0" w:type="auto"/>
            <w:noWrap/>
            <w:vAlign w:val="bottom"/>
            <w:hideMark/>
          </w:tcPr>
          <w:p w14:paraId="1CAE6C9A"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24.3</w:t>
            </w:r>
          </w:p>
        </w:tc>
        <w:tc>
          <w:tcPr>
            <w:tcW w:w="0" w:type="auto"/>
            <w:noWrap/>
            <w:vAlign w:val="bottom"/>
            <w:hideMark/>
          </w:tcPr>
          <w:p w14:paraId="6A891840"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23.1</w:t>
            </w:r>
          </w:p>
        </w:tc>
        <w:tc>
          <w:tcPr>
            <w:tcW w:w="0" w:type="auto"/>
            <w:noWrap/>
            <w:vAlign w:val="bottom"/>
            <w:hideMark/>
          </w:tcPr>
          <w:p w14:paraId="287433F5"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23.5</w:t>
            </w:r>
          </w:p>
        </w:tc>
      </w:tr>
      <w:tr w:rsidR="00AB08BD" w:rsidRPr="000F5595" w14:paraId="554D049A" w14:textId="77777777" w:rsidTr="00834149">
        <w:trPr>
          <w:jc w:val="center"/>
        </w:trPr>
        <w:tc>
          <w:tcPr>
            <w:tcW w:w="3690" w:type="dxa"/>
            <w:noWrap/>
            <w:vAlign w:val="bottom"/>
            <w:hideMark/>
          </w:tcPr>
          <w:p w14:paraId="6C69C514"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-Public sector investment (% of GDP)</w:t>
            </w:r>
          </w:p>
        </w:tc>
        <w:tc>
          <w:tcPr>
            <w:tcW w:w="0" w:type="auto"/>
            <w:noWrap/>
            <w:vAlign w:val="bottom"/>
            <w:hideMark/>
          </w:tcPr>
          <w:p w14:paraId="30BA6E74"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9.3</w:t>
            </w:r>
          </w:p>
        </w:tc>
        <w:tc>
          <w:tcPr>
            <w:tcW w:w="0" w:type="auto"/>
            <w:noWrap/>
            <w:vAlign w:val="bottom"/>
            <w:hideMark/>
          </w:tcPr>
          <w:p w14:paraId="7B2C180D"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11.3</w:t>
            </w:r>
          </w:p>
        </w:tc>
        <w:tc>
          <w:tcPr>
            <w:tcW w:w="0" w:type="auto"/>
            <w:noWrap/>
            <w:vAlign w:val="bottom"/>
            <w:hideMark/>
          </w:tcPr>
          <w:p w14:paraId="65A3A89A"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13.0</w:t>
            </w:r>
          </w:p>
        </w:tc>
        <w:tc>
          <w:tcPr>
            <w:tcW w:w="0" w:type="auto"/>
            <w:noWrap/>
            <w:vAlign w:val="bottom"/>
            <w:hideMark/>
          </w:tcPr>
          <w:p w14:paraId="5287FBC7"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14.0</w:t>
            </w:r>
          </w:p>
        </w:tc>
        <w:tc>
          <w:tcPr>
            <w:tcW w:w="0" w:type="auto"/>
            <w:noWrap/>
            <w:vAlign w:val="bottom"/>
            <w:hideMark/>
          </w:tcPr>
          <w:p w14:paraId="45D2E758"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11.7</w:t>
            </w:r>
          </w:p>
        </w:tc>
        <w:tc>
          <w:tcPr>
            <w:tcW w:w="0" w:type="auto"/>
            <w:noWrap/>
            <w:vAlign w:val="bottom"/>
            <w:hideMark/>
          </w:tcPr>
          <w:p w14:paraId="470203F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9.5</w:t>
            </w:r>
          </w:p>
        </w:tc>
        <w:tc>
          <w:tcPr>
            <w:tcW w:w="0" w:type="auto"/>
            <w:noWrap/>
            <w:vAlign w:val="bottom"/>
            <w:hideMark/>
          </w:tcPr>
          <w:p w14:paraId="335E20C0"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8.0</w:t>
            </w:r>
          </w:p>
        </w:tc>
        <w:tc>
          <w:tcPr>
            <w:tcW w:w="0" w:type="auto"/>
            <w:noWrap/>
            <w:vAlign w:val="bottom"/>
            <w:hideMark/>
          </w:tcPr>
          <w:p w14:paraId="3D1B245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8.1</w:t>
            </w:r>
          </w:p>
        </w:tc>
      </w:tr>
      <w:tr w:rsidR="00AB08BD" w:rsidRPr="000F5595" w14:paraId="0CE9AF81" w14:textId="77777777" w:rsidTr="00834149">
        <w:trPr>
          <w:jc w:val="center"/>
        </w:trPr>
        <w:tc>
          <w:tcPr>
            <w:tcW w:w="3690" w:type="dxa"/>
            <w:noWrap/>
            <w:vAlign w:val="bottom"/>
            <w:hideMark/>
          </w:tcPr>
          <w:p w14:paraId="06B6653C"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-Private sector investment (% of GDP)</w:t>
            </w:r>
          </w:p>
        </w:tc>
        <w:tc>
          <w:tcPr>
            <w:tcW w:w="0" w:type="auto"/>
            <w:noWrap/>
            <w:vAlign w:val="bottom"/>
            <w:hideMark/>
          </w:tcPr>
          <w:p w14:paraId="1E5667BF"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15.3</w:t>
            </w:r>
          </w:p>
        </w:tc>
        <w:tc>
          <w:tcPr>
            <w:tcW w:w="0" w:type="auto"/>
            <w:noWrap/>
            <w:vAlign w:val="bottom"/>
            <w:hideMark/>
          </w:tcPr>
          <w:p w14:paraId="73D6BFA8"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14.4</w:t>
            </w:r>
          </w:p>
        </w:tc>
        <w:tc>
          <w:tcPr>
            <w:tcW w:w="0" w:type="auto"/>
            <w:noWrap/>
            <w:vAlign w:val="bottom"/>
            <w:hideMark/>
          </w:tcPr>
          <w:p w14:paraId="108395DB"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14.0</w:t>
            </w:r>
          </w:p>
        </w:tc>
        <w:tc>
          <w:tcPr>
            <w:tcW w:w="0" w:type="auto"/>
            <w:noWrap/>
            <w:vAlign w:val="bottom"/>
            <w:hideMark/>
          </w:tcPr>
          <w:p w14:paraId="2318B5EC"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13.4</w:t>
            </w:r>
          </w:p>
        </w:tc>
        <w:tc>
          <w:tcPr>
            <w:tcW w:w="0" w:type="auto"/>
            <w:noWrap/>
            <w:vAlign w:val="bottom"/>
            <w:hideMark/>
          </w:tcPr>
          <w:p w14:paraId="0607DD87"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14.4</w:t>
            </w:r>
          </w:p>
        </w:tc>
        <w:tc>
          <w:tcPr>
            <w:tcW w:w="0" w:type="auto"/>
            <w:noWrap/>
            <w:vAlign w:val="bottom"/>
            <w:hideMark/>
          </w:tcPr>
          <w:p w14:paraId="76CA3FC2"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14.8</w:t>
            </w:r>
          </w:p>
        </w:tc>
        <w:tc>
          <w:tcPr>
            <w:tcW w:w="0" w:type="auto"/>
            <w:noWrap/>
            <w:vAlign w:val="bottom"/>
            <w:hideMark/>
          </w:tcPr>
          <w:p w14:paraId="47FCECC3"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15.1</w:t>
            </w:r>
          </w:p>
        </w:tc>
        <w:tc>
          <w:tcPr>
            <w:tcW w:w="0" w:type="auto"/>
            <w:noWrap/>
            <w:vAlign w:val="bottom"/>
            <w:hideMark/>
          </w:tcPr>
          <w:p w14:paraId="4D13D546"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15.4</w:t>
            </w:r>
          </w:p>
        </w:tc>
      </w:tr>
      <w:tr w:rsidR="00AB08BD" w:rsidRPr="000F5595" w14:paraId="4F015071" w14:textId="77777777" w:rsidTr="00834149">
        <w:trPr>
          <w:jc w:val="center"/>
        </w:trPr>
        <w:tc>
          <w:tcPr>
            <w:tcW w:w="3690" w:type="dxa"/>
            <w:noWrap/>
            <w:vAlign w:val="bottom"/>
            <w:hideMark/>
          </w:tcPr>
          <w:p w14:paraId="7BFEAFDE" w14:textId="77777777" w:rsidR="00AB08BD" w:rsidRPr="00834149" w:rsidRDefault="00AB08BD" w:rsidP="000737D8">
            <w:pPr>
              <w:rPr>
                <w:rFonts w:eastAsia="Times New Roman" w:cs="Times New Roman"/>
                <w:b/>
                <w:color w:val="000000"/>
                <w:sz w:val="18"/>
                <w:szCs w:val="18"/>
              </w:rPr>
            </w:pPr>
            <w:r w:rsidRPr="00834149">
              <w:rPr>
                <w:rFonts w:eastAsia="Times New Roman" w:cs="Times New Roman"/>
                <w:b/>
                <w:color w:val="000000"/>
                <w:sz w:val="18"/>
                <w:szCs w:val="18"/>
              </w:rPr>
              <w:t>Government Budget</w:t>
            </w:r>
          </w:p>
        </w:tc>
        <w:tc>
          <w:tcPr>
            <w:tcW w:w="0" w:type="auto"/>
            <w:noWrap/>
            <w:vAlign w:val="bottom"/>
          </w:tcPr>
          <w:p w14:paraId="74ADC6D7" w14:textId="77777777" w:rsidR="00AB08BD" w:rsidRPr="00834149" w:rsidRDefault="00AB08BD" w:rsidP="000737D8">
            <w:pPr>
              <w:jc w:val="right"/>
              <w:rPr>
                <w:rFonts w:eastAsia="Times New Roman" w:cs="Times New Roman"/>
                <w:color w:val="000000"/>
                <w:sz w:val="18"/>
                <w:szCs w:val="18"/>
              </w:rPr>
            </w:pPr>
          </w:p>
        </w:tc>
        <w:tc>
          <w:tcPr>
            <w:tcW w:w="0" w:type="auto"/>
            <w:noWrap/>
            <w:vAlign w:val="bottom"/>
          </w:tcPr>
          <w:p w14:paraId="49B21539" w14:textId="77777777" w:rsidR="00AB08BD" w:rsidRPr="00834149" w:rsidRDefault="00AB08BD" w:rsidP="000737D8">
            <w:pPr>
              <w:jc w:val="right"/>
              <w:rPr>
                <w:rFonts w:eastAsia="Times New Roman" w:cs="Times New Roman"/>
                <w:color w:val="000000"/>
                <w:sz w:val="18"/>
                <w:szCs w:val="18"/>
              </w:rPr>
            </w:pPr>
          </w:p>
        </w:tc>
        <w:tc>
          <w:tcPr>
            <w:tcW w:w="0" w:type="auto"/>
            <w:noWrap/>
            <w:vAlign w:val="bottom"/>
          </w:tcPr>
          <w:p w14:paraId="4FE513EE" w14:textId="77777777" w:rsidR="00AB08BD" w:rsidRPr="00834149" w:rsidRDefault="00AB08BD" w:rsidP="000737D8">
            <w:pPr>
              <w:jc w:val="right"/>
              <w:rPr>
                <w:rFonts w:eastAsia="Times New Roman" w:cs="Times New Roman"/>
                <w:color w:val="000000"/>
                <w:sz w:val="18"/>
                <w:szCs w:val="18"/>
              </w:rPr>
            </w:pPr>
          </w:p>
        </w:tc>
        <w:tc>
          <w:tcPr>
            <w:tcW w:w="0" w:type="auto"/>
            <w:noWrap/>
            <w:vAlign w:val="bottom"/>
          </w:tcPr>
          <w:p w14:paraId="223A84B4" w14:textId="77777777" w:rsidR="00AB08BD" w:rsidRPr="00834149" w:rsidRDefault="00AB08BD" w:rsidP="000737D8">
            <w:pPr>
              <w:jc w:val="right"/>
              <w:rPr>
                <w:rFonts w:eastAsia="Times New Roman" w:cs="Times New Roman"/>
                <w:color w:val="000000"/>
                <w:sz w:val="18"/>
                <w:szCs w:val="18"/>
              </w:rPr>
            </w:pPr>
          </w:p>
        </w:tc>
        <w:tc>
          <w:tcPr>
            <w:tcW w:w="0" w:type="auto"/>
            <w:noWrap/>
            <w:vAlign w:val="bottom"/>
          </w:tcPr>
          <w:p w14:paraId="3A01AECE" w14:textId="77777777" w:rsidR="00AB08BD" w:rsidRPr="00834149" w:rsidRDefault="00AB08BD" w:rsidP="000737D8">
            <w:pPr>
              <w:jc w:val="right"/>
              <w:rPr>
                <w:rFonts w:eastAsia="Times New Roman" w:cs="Times New Roman"/>
                <w:color w:val="000000"/>
                <w:sz w:val="18"/>
                <w:szCs w:val="18"/>
              </w:rPr>
            </w:pPr>
          </w:p>
        </w:tc>
        <w:tc>
          <w:tcPr>
            <w:tcW w:w="0" w:type="auto"/>
            <w:noWrap/>
            <w:vAlign w:val="bottom"/>
          </w:tcPr>
          <w:p w14:paraId="6D9BDE43" w14:textId="77777777" w:rsidR="00AB08BD" w:rsidRPr="00834149" w:rsidRDefault="00AB08BD" w:rsidP="000737D8">
            <w:pPr>
              <w:jc w:val="right"/>
              <w:rPr>
                <w:rFonts w:eastAsia="Times New Roman" w:cs="Times New Roman"/>
                <w:color w:val="000000"/>
                <w:sz w:val="18"/>
                <w:szCs w:val="18"/>
              </w:rPr>
            </w:pPr>
          </w:p>
        </w:tc>
        <w:tc>
          <w:tcPr>
            <w:tcW w:w="0" w:type="auto"/>
            <w:noWrap/>
            <w:vAlign w:val="bottom"/>
          </w:tcPr>
          <w:p w14:paraId="0FAAB0D8" w14:textId="77777777" w:rsidR="00AB08BD" w:rsidRPr="00834149" w:rsidRDefault="00AB08BD" w:rsidP="000737D8">
            <w:pPr>
              <w:jc w:val="right"/>
              <w:rPr>
                <w:rFonts w:eastAsia="Times New Roman" w:cs="Times New Roman"/>
                <w:color w:val="000000"/>
                <w:sz w:val="18"/>
                <w:szCs w:val="18"/>
              </w:rPr>
            </w:pPr>
          </w:p>
        </w:tc>
        <w:tc>
          <w:tcPr>
            <w:tcW w:w="0" w:type="auto"/>
            <w:noWrap/>
            <w:vAlign w:val="bottom"/>
          </w:tcPr>
          <w:p w14:paraId="224F15BA" w14:textId="77777777" w:rsidR="00AB08BD" w:rsidRPr="00834149" w:rsidRDefault="00AB08BD" w:rsidP="000737D8">
            <w:pPr>
              <w:jc w:val="right"/>
              <w:rPr>
                <w:rFonts w:eastAsia="Times New Roman" w:cs="Times New Roman"/>
                <w:color w:val="000000"/>
                <w:sz w:val="18"/>
                <w:szCs w:val="18"/>
              </w:rPr>
            </w:pPr>
          </w:p>
        </w:tc>
      </w:tr>
      <w:tr w:rsidR="00AB08BD" w:rsidRPr="000F5595" w14:paraId="58D78E7A" w14:textId="77777777" w:rsidTr="00834149">
        <w:trPr>
          <w:jc w:val="center"/>
        </w:trPr>
        <w:tc>
          <w:tcPr>
            <w:tcW w:w="3690" w:type="dxa"/>
            <w:noWrap/>
            <w:vAlign w:val="bottom"/>
            <w:hideMark/>
          </w:tcPr>
          <w:p w14:paraId="0077F105"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-Total revenues and grants (% of GDP)</w:t>
            </w:r>
          </w:p>
        </w:tc>
        <w:tc>
          <w:tcPr>
            <w:tcW w:w="0" w:type="auto"/>
            <w:noWrap/>
            <w:vAlign w:val="bottom"/>
            <w:hideMark/>
          </w:tcPr>
          <w:p w14:paraId="14660ADC"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21.5</w:t>
            </w:r>
          </w:p>
        </w:tc>
        <w:tc>
          <w:tcPr>
            <w:tcW w:w="0" w:type="auto"/>
            <w:noWrap/>
            <w:vAlign w:val="bottom"/>
            <w:hideMark/>
          </w:tcPr>
          <w:p w14:paraId="29BB5CB0"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20.5</w:t>
            </w:r>
          </w:p>
        </w:tc>
        <w:tc>
          <w:tcPr>
            <w:tcW w:w="0" w:type="auto"/>
            <w:noWrap/>
            <w:vAlign w:val="bottom"/>
            <w:hideMark/>
          </w:tcPr>
          <w:p w14:paraId="13DF84D9"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21.9</w:t>
            </w:r>
          </w:p>
        </w:tc>
        <w:tc>
          <w:tcPr>
            <w:tcW w:w="0" w:type="auto"/>
            <w:noWrap/>
            <w:vAlign w:val="bottom"/>
            <w:hideMark/>
          </w:tcPr>
          <w:p w14:paraId="00F83DCF"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21.7</w:t>
            </w:r>
          </w:p>
        </w:tc>
        <w:tc>
          <w:tcPr>
            <w:tcW w:w="0" w:type="auto"/>
            <w:noWrap/>
            <w:vAlign w:val="bottom"/>
            <w:hideMark/>
          </w:tcPr>
          <w:p w14:paraId="4E67D62C"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24.7</w:t>
            </w:r>
          </w:p>
        </w:tc>
        <w:tc>
          <w:tcPr>
            <w:tcW w:w="0" w:type="auto"/>
            <w:noWrap/>
            <w:vAlign w:val="bottom"/>
            <w:hideMark/>
          </w:tcPr>
          <w:p w14:paraId="00903F60"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25.2</w:t>
            </w:r>
          </w:p>
        </w:tc>
        <w:tc>
          <w:tcPr>
            <w:tcW w:w="0" w:type="auto"/>
            <w:noWrap/>
            <w:vAlign w:val="bottom"/>
            <w:hideMark/>
          </w:tcPr>
          <w:p w14:paraId="38DC03FE"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25.9</w:t>
            </w:r>
          </w:p>
        </w:tc>
        <w:tc>
          <w:tcPr>
            <w:tcW w:w="0" w:type="auto"/>
            <w:noWrap/>
            <w:vAlign w:val="bottom"/>
            <w:hideMark/>
          </w:tcPr>
          <w:p w14:paraId="6B91F100"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26.0</w:t>
            </w:r>
          </w:p>
        </w:tc>
      </w:tr>
      <w:tr w:rsidR="00AB08BD" w:rsidRPr="000F5595" w14:paraId="79F55812" w14:textId="77777777" w:rsidTr="00834149">
        <w:trPr>
          <w:jc w:val="center"/>
        </w:trPr>
        <w:tc>
          <w:tcPr>
            <w:tcW w:w="3690" w:type="dxa"/>
            <w:noWrap/>
            <w:vAlign w:val="bottom"/>
            <w:hideMark/>
          </w:tcPr>
          <w:p w14:paraId="6081B35D"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 xml:space="preserve">  -Tax revenues (% of GDP)</w:t>
            </w:r>
          </w:p>
        </w:tc>
        <w:tc>
          <w:tcPr>
            <w:tcW w:w="0" w:type="auto"/>
            <w:noWrap/>
            <w:vAlign w:val="bottom"/>
            <w:hideMark/>
          </w:tcPr>
          <w:p w14:paraId="6ACAD6D7"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18.1</w:t>
            </w:r>
          </w:p>
        </w:tc>
        <w:tc>
          <w:tcPr>
            <w:tcW w:w="0" w:type="auto"/>
            <w:noWrap/>
            <w:vAlign w:val="bottom"/>
            <w:hideMark/>
          </w:tcPr>
          <w:p w14:paraId="02A0F11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18.2</w:t>
            </w:r>
          </w:p>
        </w:tc>
        <w:tc>
          <w:tcPr>
            <w:tcW w:w="0" w:type="auto"/>
            <w:noWrap/>
            <w:vAlign w:val="bottom"/>
            <w:hideMark/>
          </w:tcPr>
          <w:p w14:paraId="734CCF7F"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19.6</w:t>
            </w:r>
          </w:p>
        </w:tc>
        <w:tc>
          <w:tcPr>
            <w:tcW w:w="0" w:type="auto"/>
            <w:noWrap/>
            <w:vAlign w:val="bottom"/>
            <w:hideMark/>
          </w:tcPr>
          <w:p w14:paraId="64C12F6D"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18.9</w:t>
            </w:r>
          </w:p>
        </w:tc>
        <w:tc>
          <w:tcPr>
            <w:tcW w:w="0" w:type="auto"/>
            <w:noWrap/>
            <w:vAlign w:val="bottom"/>
            <w:hideMark/>
          </w:tcPr>
          <w:p w14:paraId="624555EB"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20.2</w:t>
            </w:r>
          </w:p>
        </w:tc>
        <w:tc>
          <w:tcPr>
            <w:tcW w:w="0" w:type="auto"/>
            <w:noWrap/>
            <w:vAlign w:val="bottom"/>
            <w:hideMark/>
          </w:tcPr>
          <w:p w14:paraId="18FDF2BD"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21.0</w:t>
            </w:r>
          </w:p>
        </w:tc>
        <w:tc>
          <w:tcPr>
            <w:tcW w:w="0" w:type="auto"/>
            <w:noWrap/>
            <w:vAlign w:val="bottom"/>
            <w:hideMark/>
          </w:tcPr>
          <w:p w14:paraId="6155F262"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21.8</w:t>
            </w:r>
          </w:p>
        </w:tc>
        <w:tc>
          <w:tcPr>
            <w:tcW w:w="0" w:type="auto"/>
            <w:noWrap/>
            <w:vAlign w:val="bottom"/>
            <w:hideMark/>
          </w:tcPr>
          <w:p w14:paraId="39407C82"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21.8</w:t>
            </w:r>
          </w:p>
        </w:tc>
      </w:tr>
      <w:tr w:rsidR="00AB08BD" w:rsidRPr="000F5595" w14:paraId="672B50AA" w14:textId="77777777" w:rsidTr="00834149">
        <w:trPr>
          <w:jc w:val="center"/>
        </w:trPr>
        <w:tc>
          <w:tcPr>
            <w:tcW w:w="3690" w:type="dxa"/>
            <w:noWrap/>
            <w:vAlign w:val="bottom"/>
            <w:hideMark/>
          </w:tcPr>
          <w:p w14:paraId="5440AA5E"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-Total expenditure and net lending (% of GDP)</w:t>
            </w:r>
          </w:p>
        </w:tc>
        <w:tc>
          <w:tcPr>
            <w:tcW w:w="0" w:type="auto"/>
            <w:noWrap/>
            <w:vAlign w:val="bottom"/>
            <w:hideMark/>
          </w:tcPr>
          <w:p w14:paraId="4FD4AD7E"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26.6</w:t>
            </w:r>
          </w:p>
        </w:tc>
        <w:tc>
          <w:tcPr>
            <w:tcW w:w="0" w:type="auto"/>
            <w:noWrap/>
            <w:vAlign w:val="bottom"/>
            <w:hideMark/>
          </w:tcPr>
          <w:p w14:paraId="2D109058"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27.3</w:t>
            </w:r>
          </w:p>
        </w:tc>
        <w:tc>
          <w:tcPr>
            <w:tcW w:w="0" w:type="auto"/>
            <w:noWrap/>
            <w:vAlign w:val="bottom"/>
            <w:hideMark/>
          </w:tcPr>
          <w:p w14:paraId="6F7E4413"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30.8</w:t>
            </w:r>
          </w:p>
        </w:tc>
        <w:tc>
          <w:tcPr>
            <w:tcW w:w="0" w:type="auto"/>
            <w:noWrap/>
            <w:vAlign w:val="bottom"/>
            <w:hideMark/>
          </w:tcPr>
          <w:p w14:paraId="5A069160"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31.4</w:t>
            </w:r>
          </w:p>
        </w:tc>
        <w:tc>
          <w:tcPr>
            <w:tcW w:w="0" w:type="auto"/>
            <w:noWrap/>
            <w:vAlign w:val="bottom"/>
            <w:hideMark/>
          </w:tcPr>
          <w:p w14:paraId="4903EF1C"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33.5</w:t>
            </w:r>
          </w:p>
        </w:tc>
        <w:tc>
          <w:tcPr>
            <w:tcW w:w="0" w:type="auto"/>
            <w:noWrap/>
            <w:vAlign w:val="bottom"/>
            <w:hideMark/>
          </w:tcPr>
          <w:p w14:paraId="36F8D9D7"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27.9</w:t>
            </w:r>
          </w:p>
        </w:tc>
        <w:tc>
          <w:tcPr>
            <w:tcW w:w="0" w:type="auto"/>
            <w:noWrap/>
            <w:vAlign w:val="bottom"/>
            <w:hideMark/>
          </w:tcPr>
          <w:p w14:paraId="03C9F0B0"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25.7</w:t>
            </w:r>
          </w:p>
        </w:tc>
        <w:tc>
          <w:tcPr>
            <w:tcW w:w="0" w:type="auto"/>
            <w:noWrap/>
            <w:vAlign w:val="bottom"/>
            <w:hideMark/>
          </w:tcPr>
          <w:p w14:paraId="752352C5"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25.4</w:t>
            </w:r>
          </w:p>
        </w:tc>
      </w:tr>
      <w:tr w:rsidR="00AB08BD" w:rsidRPr="000F5595" w14:paraId="7AFBD18D" w14:textId="77777777" w:rsidTr="00834149">
        <w:trPr>
          <w:jc w:val="center"/>
        </w:trPr>
        <w:tc>
          <w:tcPr>
            <w:tcW w:w="3690" w:type="dxa"/>
            <w:noWrap/>
            <w:vAlign w:val="bottom"/>
            <w:hideMark/>
          </w:tcPr>
          <w:p w14:paraId="03C288C4"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 xml:space="preserve">  -Domestic Primary expenditure</w:t>
            </w:r>
          </w:p>
        </w:tc>
        <w:tc>
          <w:tcPr>
            <w:tcW w:w="0" w:type="auto"/>
            <w:noWrap/>
            <w:vAlign w:val="bottom"/>
            <w:hideMark/>
          </w:tcPr>
          <w:p w14:paraId="5905761B"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20.8</w:t>
            </w:r>
          </w:p>
        </w:tc>
        <w:tc>
          <w:tcPr>
            <w:tcW w:w="0" w:type="auto"/>
            <w:noWrap/>
            <w:vAlign w:val="bottom"/>
            <w:hideMark/>
          </w:tcPr>
          <w:p w14:paraId="4190DEC6"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21.3</w:t>
            </w:r>
          </w:p>
        </w:tc>
        <w:tc>
          <w:tcPr>
            <w:tcW w:w="0" w:type="auto"/>
            <w:noWrap/>
            <w:vAlign w:val="bottom"/>
            <w:hideMark/>
          </w:tcPr>
          <w:p w14:paraId="6DBF1A28"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22.8</w:t>
            </w:r>
          </w:p>
        </w:tc>
        <w:tc>
          <w:tcPr>
            <w:tcW w:w="0" w:type="auto"/>
            <w:noWrap/>
            <w:vAlign w:val="bottom"/>
            <w:hideMark/>
          </w:tcPr>
          <w:p w14:paraId="575B74A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23.4</w:t>
            </w:r>
          </w:p>
        </w:tc>
        <w:tc>
          <w:tcPr>
            <w:tcW w:w="0" w:type="auto"/>
            <w:noWrap/>
            <w:vAlign w:val="bottom"/>
            <w:hideMark/>
          </w:tcPr>
          <w:p w14:paraId="6A96275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23.7</w:t>
            </w:r>
          </w:p>
        </w:tc>
        <w:tc>
          <w:tcPr>
            <w:tcW w:w="0" w:type="auto"/>
            <w:noWrap/>
            <w:vAlign w:val="bottom"/>
            <w:hideMark/>
          </w:tcPr>
          <w:p w14:paraId="1D6F3EAC"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17.8</w:t>
            </w:r>
          </w:p>
        </w:tc>
        <w:tc>
          <w:tcPr>
            <w:tcW w:w="0" w:type="auto"/>
            <w:noWrap/>
            <w:vAlign w:val="bottom"/>
            <w:hideMark/>
          </w:tcPr>
          <w:p w14:paraId="4FC403B5"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16.7</w:t>
            </w:r>
          </w:p>
        </w:tc>
        <w:tc>
          <w:tcPr>
            <w:tcW w:w="0" w:type="auto"/>
            <w:noWrap/>
            <w:vAlign w:val="bottom"/>
            <w:hideMark/>
          </w:tcPr>
          <w:p w14:paraId="2DCF0B93"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16.8</w:t>
            </w:r>
          </w:p>
        </w:tc>
      </w:tr>
      <w:tr w:rsidR="00AB08BD" w:rsidRPr="000F5595" w14:paraId="017C952D" w14:textId="77777777" w:rsidTr="00834149">
        <w:trPr>
          <w:jc w:val="center"/>
        </w:trPr>
        <w:tc>
          <w:tcPr>
            <w:tcW w:w="3690" w:type="dxa"/>
            <w:noWrap/>
            <w:vAlign w:val="bottom"/>
            <w:hideMark/>
          </w:tcPr>
          <w:p w14:paraId="29A3158B"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-Overall Primary Balance, casher basis (% of GDP)</w:t>
            </w:r>
          </w:p>
        </w:tc>
        <w:tc>
          <w:tcPr>
            <w:tcW w:w="0" w:type="auto"/>
            <w:noWrap/>
            <w:vAlign w:val="bottom"/>
            <w:hideMark/>
          </w:tcPr>
          <w:p w14:paraId="707E512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-4.7</w:t>
            </w:r>
          </w:p>
        </w:tc>
        <w:tc>
          <w:tcPr>
            <w:tcW w:w="0" w:type="auto"/>
            <w:noWrap/>
            <w:vAlign w:val="bottom"/>
            <w:hideMark/>
          </w:tcPr>
          <w:p w14:paraId="38FB64D0"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-6.4</w:t>
            </w:r>
          </w:p>
        </w:tc>
        <w:tc>
          <w:tcPr>
            <w:tcW w:w="0" w:type="auto"/>
            <w:noWrap/>
            <w:vAlign w:val="bottom"/>
            <w:hideMark/>
          </w:tcPr>
          <w:p w14:paraId="1F5742ED"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-5.4</w:t>
            </w:r>
          </w:p>
        </w:tc>
        <w:tc>
          <w:tcPr>
            <w:tcW w:w="0" w:type="auto"/>
            <w:noWrap/>
            <w:vAlign w:val="bottom"/>
            <w:hideMark/>
          </w:tcPr>
          <w:p w14:paraId="71AF3CE3"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-7.2</w:t>
            </w:r>
          </w:p>
        </w:tc>
        <w:tc>
          <w:tcPr>
            <w:tcW w:w="0" w:type="auto"/>
            <w:noWrap/>
            <w:vAlign w:val="bottom"/>
            <w:hideMark/>
          </w:tcPr>
          <w:p w14:paraId="6ABFB28B"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-6.2</w:t>
            </w:r>
          </w:p>
        </w:tc>
        <w:tc>
          <w:tcPr>
            <w:tcW w:w="0" w:type="auto"/>
            <w:noWrap/>
            <w:vAlign w:val="bottom"/>
            <w:hideMark/>
          </w:tcPr>
          <w:p w14:paraId="573175DB"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-0.2</w:t>
            </w:r>
          </w:p>
        </w:tc>
        <w:tc>
          <w:tcPr>
            <w:tcW w:w="0" w:type="auto"/>
            <w:noWrap/>
            <w:vAlign w:val="bottom"/>
            <w:hideMark/>
          </w:tcPr>
          <w:p w14:paraId="1F8339F6"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w:t>
            </w:r>
          </w:p>
        </w:tc>
        <w:tc>
          <w:tcPr>
            <w:tcW w:w="0" w:type="auto"/>
            <w:noWrap/>
            <w:vAlign w:val="bottom"/>
            <w:hideMark/>
          </w:tcPr>
          <w:p w14:paraId="08535F53"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2.0</w:t>
            </w:r>
          </w:p>
        </w:tc>
      </w:tr>
      <w:tr w:rsidR="00AB08BD" w:rsidRPr="000F5595" w14:paraId="65B0A323" w14:textId="77777777" w:rsidTr="00834149">
        <w:trPr>
          <w:jc w:val="center"/>
        </w:trPr>
        <w:tc>
          <w:tcPr>
            <w:tcW w:w="3690" w:type="dxa"/>
            <w:noWrap/>
            <w:vAlign w:val="bottom"/>
            <w:hideMark/>
          </w:tcPr>
          <w:p w14:paraId="23737E4C"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-Overall Balance, cash basis (% of GDP)</w:t>
            </w:r>
          </w:p>
        </w:tc>
        <w:tc>
          <w:tcPr>
            <w:tcW w:w="0" w:type="auto"/>
            <w:noWrap/>
            <w:vAlign w:val="bottom"/>
            <w:hideMark/>
          </w:tcPr>
          <w:p w14:paraId="20C0DDC3"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-5.8</w:t>
            </w:r>
          </w:p>
        </w:tc>
        <w:tc>
          <w:tcPr>
            <w:tcW w:w="0" w:type="auto"/>
            <w:noWrap/>
            <w:vAlign w:val="bottom"/>
            <w:hideMark/>
          </w:tcPr>
          <w:p w14:paraId="2208510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-7.9</w:t>
            </w:r>
          </w:p>
        </w:tc>
        <w:tc>
          <w:tcPr>
            <w:tcW w:w="0" w:type="auto"/>
            <w:noWrap/>
            <w:vAlign w:val="bottom"/>
            <w:hideMark/>
          </w:tcPr>
          <w:p w14:paraId="34185650"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-7.8</w:t>
            </w:r>
          </w:p>
        </w:tc>
        <w:tc>
          <w:tcPr>
            <w:tcW w:w="0" w:type="auto"/>
            <w:noWrap/>
            <w:vAlign w:val="bottom"/>
            <w:hideMark/>
          </w:tcPr>
          <w:p w14:paraId="24B40D13"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-9.6</w:t>
            </w:r>
          </w:p>
        </w:tc>
        <w:tc>
          <w:tcPr>
            <w:tcW w:w="0" w:type="auto"/>
            <w:noWrap/>
            <w:vAlign w:val="bottom"/>
            <w:hideMark/>
          </w:tcPr>
          <w:p w14:paraId="2A66511B"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-5.7</w:t>
            </w:r>
          </w:p>
        </w:tc>
        <w:tc>
          <w:tcPr>
            <w:tcW w:w="0" w:type="auto"/>
            <w:noWrap/>
            <w:vAlign w:val="bottom"/>
            <w:hideMark/>
          </w:tcPr>
          <w:p w14:paraId="324247AC"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-3.6</w:t>
            </w:r>
          </w:p>
        </w:tc>
        <w:tc>
          <w:tcPr>
            <w:tcW w:w="0" w:type="auto"/>
            <w:noWrap/>
            <w:vAlign w:val="bottom"/>
            <w:hideMark/>
          </w:tcPr>
          <w:p w14:paraId="33C45EED"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-0.7</w:t>
            </w:r>
          </w:p>
        </w:tc>
        <w:tc>
          <w:tcPr>
            <w:tcW w:w="0" w:type="auto"/>
            <w:noWrap/>
            <w:vAlign w:val="bottom"/>
            <w:hideMark/>
          </w:tcPr>
          <w:p w14:paraId="0F7A663B"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-0.4</w:t>
            </w:r>
          </w:p>
        </w:tc>
      </w:tr>
      <w:tr w:rsidR="00AB08BD" w:rsidRPr="000F5595" w14:paraId="101D9DFF" w14:textId="77777777" w:rsidTr="00834149">
        <w:trPr>
          <w:jc w:val="center"/>
        </w:trPr>
        <w:tc>
          <w:tcPr>
            <w:tcW w:w="3690" w:type="dxa"/>
            <w:noWrap/>
            <w:vAlign w:val="bottom"/>
          </w:tcPr>
          <w:p w14:paraId="446F52AA" w14:textId="77777777" w:rsidR="00AB08BD" w:rsidRPr="00834149" w:rsidRDefault="00AB08BD" w:rsidP="000737D8">
            <w:pPr>
              <w:rPr>
                <w:rFonts w:eastAsia="Times New Roman" w:cs="Times New Roman"/>
                <w:color w:val="000000"/>
                <w:sz w:val="18"/>
                <w:szCs w:val="18"/>
              </w:rPr>
            </w:pPr>
          </w:p>
          <w:p w14:paraId="7DC316ED" w14:textId="77777777" w:rsidR="00AB08BD" w:rsidRPr="00834149" w:rsidRDefault="00AB08BD" w:rsidP="000737D8">
            <w:pPr>
              <w:rPr>
                <w:rFonts w:eastAsia="Times New Roman" w:cs="Times New Roman"/>
                <w:b/>
                <w:color w:val="000000"/>
                <w:sz w:val="18"/>
                <w:szCs w:val="18"/>
              </w:rPr>
            </w:pPr>
            <w:r w:rsidRPr="00834149">
              <w:rPr>
                <w:rFonts w:eastAsia="Times New Roman" w:cs="Times New Roman"/>
                <w:b/>
                <w:color w:val="000000"/>
                <w:sz w:val="18"/>
                <w:szCs w:val="18"/>
              </w:rPr>
              <w:t>External Sector</w:t>
            </w:r>
          </w:p>
          <w:p w14:paraId="405373C4"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-Current account balance (% of GDP)</w:t>
            </w:r>
          </w:p>
        </w:tc>
        <w:tc>
          <w:tcPr>
            <w:tcW w:w="0" w:type="auto"/>
            <w:noWrap/>
            <w:vAlign w:val="bottom"/>
            <w:hideMark/>
          </w:tcPr>
          <w:p w14:paraId="5C8CEECF"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-13.1</w:t>
            </w:r>
          </w:p>
        </w:tc>
        <w:tc>
          <w:tcPr>
            <w:tcW w:w="0" w:type="auto"/>
            <w:noWrap/>
            <w:vAlign w:val="bottom"/>
            <w:hideMark/>
          </w:tcPr>
          <w:p w14:paraId="25B2556A"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-9.9</w:t>
            </w:r>
          </w:p>
        </w:tc>
        <w:tc>
          <w:tcPr>
            <w:tcW w:w="0" w:type="auto"/>
            <w:noWrap/>
            <w:vAlign w:val="bottom"/>
            <w:hideMark/>
          </w:tcPr>
          <w:p w14:paraId="458391A8"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-11.1</w:t>
            </w:r>
          </w:p>
        </w:tc>
        <w:tc>
          <w:tcPr>
            <w:tcW w:w="0" w:type="auto"/>
            <w:noWrap/>
            <w:vAlign w:val="bottom"/>
            <w:hideMark/>
          </w:tcPr>
          <w:p w14:paraId="6377C52D"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-9.8</w:t>
            </w:r>
          </w:p>
        </w:tc>
        <w:tc>
          <w:tcPr>
            <w:tcW w:w="0" w:type="auto"/>
            <w:noWrap/>
            <w:vAlign w:val="bottom"/>
            <w:hideMark/>
          </w:tcPr>
          <w:p w14:paraId="04D445D0"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-9.0</w:t>
            </w:r>
          </w:p>
        </w:tc>
        <w:tc>
          <w:tcPr>
            <w:tcW w:w="0" w:type="auto"/>
            <w:noWrap/>
            <w:vAlign w:val="bottom"/>
            <w:hideMark/>
          </w:tcPr>
          <w:p w14:paraId="5E86F6B5"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-8.3</w:t>
            </w:r>
          </w:p>
        </w:tc>
        <w:tc>
          <w:tcPr>
            <w:tcW w:w="0" w:type="auto"/>
            <w:noWrap/>
            <w:vAlign w:val="bottom"/>
            <w:hideMark/>
          </w:tcPr>
          <w:p w14:paraId="7AB355CB"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-7.3</w:t>
            </w:r>
          </w:p>
        </w:tc>
        <w:tc>
          <w:tcPr>
            <w:tcW w:w="0" w:type="auto"/>
            <w:noWrap/>
            <w:vAlign w:val="bottom"/>
            <w:hideMark/>
          </w:tcPr>
          <w:p w14:paraId="4CEF36FE"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-6.2</w:t>
            </w:r>
          </w:p>
        </w:tc>
      </w:tr>
      <w:tr w:rsidR="00AB08BD" w:rsidRPr="000F5595" w14:paraId="354FE59E" w14:textId="77777777" w:rsidTr="00834149">
        <w:trPr>
          <w:jc w:val="center"/>
        </w:trPr>
        <w:tc>
          <w:tcPr>
            <w:tcW w:w="3690" w:type="dxa"/>
            <w:noWrap/>
            <w:vAlign w:val="bottom"/>
            <w:hideMark/>
          </w:tcPr>
          <w:p w14:paraId="5B42EC71"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-Exports (% of GDP)</w:t>
            </w:r>
          </w:p>
        </w:tc>
        <w:tc>
          <w:tcPr>
            <w:tcW w:w="0" w:type="auto"/>
            <w:noWrap/>
            <w:vAlign w:val="bottom"/>
            <w:hideMark/>
          </w:tcPr>
          <w:p w14:paraId="31759CB8"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46.5</w:t>
            </w:r>
          </w:p>
        </w:tc>
        <w:tc>
          <w:tcPr>
            <w:tcW w:w="0" w:type="auto"/>
            <w:noWrap/>
            <w:vAlign w:val="bottom"/>
            <w:hideMark/>
          </w:tcPr>
          <w:p w14:paraId="080A076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39.4</w:t>
            </w:r>
          </w:p>
        </w:tc>
        <w:tc>
          <w:tcPr>
            <w:tcW w:w="0" w:type="auto"/>
            <w:noWrap/>
            <w:vAlign w:val="bottom"/>
            <w:hideMark/>
          </w:tcPr>
          <w:p w14:paraId="03C9C120"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36.0</w:t>
            </w:r>
          </w:p>
        </w:tc>
        <w:tc>
          <w:tcPr>
            <w:tcW w:w="0" w:type="auto"/>
            <w:noWrap/>
            <w:vAlign w:val="bottom"/>
            <w:hideMark/>
          </w:tcPr>
          <w:p w14:paraId="6E029488"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35.1</w:t>
            </w:r>
          </w:p>
        </w:tc>
        <w:tc>
          <w:tcPr>
            <w:tcW w:w="0" w:type="auto"/>
            <w:noWrap/>
            <w:vAlign w:val="bottom"/>
            <w:hideMark/>
          </w:tcPr>
          <w:p w14:paraId="7409102D"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36.4</w:t>
            </w:r>
          </w:p>
        </w:tc>
        <w:tc>
          <w:tcPr>
            <w:tcW w:w="0" w:type="auto"/>
            <w:noWrap/>
            <w:vAlign w:val="bottom"/>
            <w:hideMark/>
          </w:tcPr>
          <w:p w14:paraId="1ABE8869"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36.7</w:t>
            </w:r>
          </w:p>
        </w:tc>
        <w:tc>
          <w:tcPr>
            <w:tcW w:w="0" w:type="auto"/>
            <w:noWrap/>
            <w:vAlign w:val="bottom"/>
            <w:hideMark/>
          </w:tcPr>
          <w:p w14:paraId="1A83D394"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37.4</w:t>
            </w:r>
          </w:p>
        </w:tc>
        <w:tc>
          <w:tcPr>
            <w:tcW w:w="0" w:type="auto"/>
            <w:noWrap/>
            <w:vAlign w:val="bottom"/>
            <w:hideMark/>
          </w:tcPr>
          <w:p w14:paraId="4E58876B"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37.8</w:t>
            </w:r>
          </w:p>
        </w:tc>
      </w:tr>
      <w:tr w:rsidR="00AB08BD" w:rsidRPr="000F5595" w14:paraId="4D75FFD2" w14:textId="77777777" w:rsidTr="00834149">
        <w:trPr>
          <w:jc w:val="center"/>
        </w:trPr>
        <w:tc>
          <w:tcPr>
            <w:tcW w:w="3690" w:type="dxa"/>
            <w:noWrap/>
            <w:vAlign w:val="bottom"/>
            <w:hideMark/>
          </w:tcPr>
          <w:p w14:paraId="5528BEC1"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-Imports (% of GDP)</w:t>
            </w:r>
          </w:p>
        </w:tc>
        <w:tc>
          <w:tcPr>
            <w:tcW w:w="0" w:type="auto"/>
            <w:noWrap/>
            <w:vAlign w:val="bottom"/>
            <w:hideMark/>
          </w:tcPr>
          <w:p w14:paraId="172AE295"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-65.3</w:t>
            </w:r>
          </w:p>
        </w:tc>
        <w:tc>
          <w:tcPr>
            <w:tcW w:w="0" w:type="auto"/>
            <w:noWrap/>
            <w:vAlign w:val="bottom"/>
            <w:hideMark/>
          </w:tcPr>
          <w:p w14:paraId="63433A4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-57.3</w:t>
            </w:r>
          </w:p>
        </w:tc>
        <w:tc>
          <w:tcPr>
            <w:tcW w:w="0" w:type="auto"/>
            <w:noWrap/>
            <w:vAlign w:val="bottom"/>
            <w:hideMark/>
          </w:tcPr>
          <w:p w14:paraId="251EBE6F"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-58.0</w:t>
            </w:r>
          </w:p>
        </w:tc>
        <w:tc>
          <w:tcPr>
            <w:tcW w:w="0" w:type="auto"/>
            <w:noWrap/>
            <w:vAlign w:val="bottom"/>
            <w:hideMark/>
          </w:tcPr>
          <w:p w14:paraId="277C749A"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-55.1</w:t>
            </w:r>
          </w:p>
        </w:tc>
        <w:tc>
          <w:tcPr>
            <w:tcW w:w="0" w:type="auto"/>
            <w:noWrap/>
            <w:vAlign w:val="bottom"/>
            <w:hideMark/>
          </w:tcPr>
          <w:p w14:paraId="6C920E56"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-55.2</w:t>
            </w:r>
          </w:p>
        </w:tc>
        <w:tc>
          <w:tcPr>
            <w:tcW w:w="0" w:type="auto"/>
            <w:noWrap/>
            <w:vAlign w:val="bottom"/>
            <w:hideMark/>
          </w:tcPr>
          <w:p w14:paraId="3A3CE3A4"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-54.6</w:t>
            </w:r>
          </w:p>
        </w:tc>
        <w:tc>
          <w:tcPr>
            <w:tcW w:w="0" w:type="auto"/>
            <w:noWrap/>
            <w:vAlign w:val="bottom"/>
            <w:hideMark/>
          </w:tcPr>
          <w:p w14:paraId="4CF5E1B8"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-54.4</w:t>
            </w:r>
          </w:p>
        </w:tc>
        <w:tc>
          <w:tcPr>
            <w:tcW w:w="0" w:type="auto"/>
            <w:noWrap/>
            <w:vAlign w:val="bottom"/>
            <w:hideMark/>
          </w:tcPr>
          <w:p w14:paraId="0FE13334"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-53.7</w:t>
            </w:r>
          </w:p>
        </w:tc>
      </w:tr>
      <w:tr w:rsidR="00AB08BD" w:rsidRPr="000F5595" w14:paraId="7E8240EA" w14:textId="77777777" w:rsidTr="00834149">
        <w:trPr>
          <w:jc w:val="center"/>
        </w:trPr>
        <w:tc>
          <w:tcPr>
            <w:tcW w:w="3690" w:type="dxa"/>
            <w:noWrap/>
            <w:vAlign w:val="bottom"/>
          </w:tcPr>
          <w:p w14:paraId="42E40264" w14:textId="77777777" w:rsidR="00AB08BD" w:rsidRPr="00834149" w:rsidRDefault="00AB08BD" w:rsidP="000737D8">
            <w:pPr>
              <w:rPr>
                <w:rFonts w:eastAsia="Times New Roman" w:cs="Times New Roman"/>
                <w:color w:val="000000"/>
                <w:sz w:val="18"/>
                <w:szCs w:val="18"/>
              </w:rPr>
            </w:pPr>
          </w:p>
        </w:tc>
        <w:tc>
          <w:tcPr>
            <w:tcW w:w="0" w:type="auto"/>
            <w:noWrap/>
            <w:vAlign w:val="bottom"/>
          </w:tcPr>
          <w:p w14:paraId="403C8DC5" w14:textId="77777777" w:rsidR="00AB08BD" w:rsidRPr="00834149" w:rsidRDefault="00AB08BD" w:rsidP="000737D8">
            <w:pPr>
              <w:jc w:val="right"/>
              <w:rPr>
                <w:rFonts w:eastAsia="Times New Roman" w:cs="Times New Roman"/>
                <w:color w:val="000000"/>
                <w:sz w:val="18"/>
                <w:szCs w:val="18"/>
              </w:rPr>
            </w:pPr>
          </w:p>
        </w:tc>
        <w:tc>
          <w:tcPr>
            <w:tcW w:w="0" w:type="auto"/>
            <w:noWrap/>
            <w:vAlign w:val="bottom"/>
          </w:tcPr>
          <w:p w14:paraId="6E17976E" w14:textId="77777777" w:rsidR="00AB08BD" w:rsidRPr="00834149" w:rsidRDefault="00AB08BD" w:rsidP="000737D8">
            <w:pPr>
              <w:jc w:val="right"/>
              <w:rPr>
                <w:rFonts w:eastAsia="Times New Roman" w:cs="Times New Roman"/>
                <w:color w:val="000000"/>
                <w:sz w:val="18"/>
                <w:szCs w:val="18"/>
              </w:rPr>
            </w:pPr>
          </w:p>
        </w:tc>
        <w:tc>
          <w:tcPr>
            <w:tcW w:w="0" w:type="auto"/>
            <w:noWrap/>
            <w:vAlign w:val="bottom"/>
          </w:tcPr>
          <w:p w14:paraId="1A194123" w14:textId="77777777" w:rsidR="00AB08BD" w:rsidRPr="00834149" w:rsidRDefault="00AB08BD" w:rsidP="000737D8">
            <w:pPr>
              <w:jc w:val="right"/>
              <w:rPr>
                <w:rFonts w:eastAsia="Times New Roman" w:cs="Times New Roman"/>
                <w:color w:val="000000"/>
                <w:sz w:val="18"/>
                <w:szCs w:val="18"/>
              </w:rPr>
            </w:pPr>
          </w:p>
        </w:tc>
        <w:tc>
          <w:tcPr>
            <w:tcW w:w="0" w:type="auto"/>
            <w:noWrap/>
            <w:vAlign w:val="bottom"/>
          </w:tcPr>
          <w:p w14:paraId="55E49E06" w14:textId="77777777" w:rsidR="00AB08BD" w:rsidRPr="00834149" w:rsidRDefault="00AB08BD" w:rsidP="000737D8">
            <w:pPr>
              <w:jc w:val="right"/>
              <w:rPr>
                <w:rFonts w:eastAsia="Times New Roman" w:cs="Times New Roman"/>
                <w:color w:val="000000"/>
                <w:sz w:val="18"/>
                <w:szCs w:val="18"/>
              </w:rPr>
            </w:pPr>
          </w:p>
        </w:tc>
        <w:tc>
          <w:tcPr>
            <w:tcW w:w="0" w:type="auto"/>
            <w:noWrap/>
            <w:vAlign w:val="bottom"/>
          </w:tcPr>
          <w:p w14:paraId="3E8F42DE" w14:textId="77777777" w:rsidR="00AB08BD" w:rsidRPr="00834149" w:rsidRDefault="00AB08BD" w:rsidP="000737D8">
            <w:pPr>
              <w:jc w:val="right"/>
              <w:rPr>
                <w:rFonts w:eastAsia="Times New Roman" w:cs="Times New Roman"/>
                <w:color w:val="000000"/>
                <w:sz w:val="18"/>
                <w:szCs w:val="18"/>
              </w:rPr>
            </w:pPr>
          </w:p>
        </w:tc>
        <w:tc>
          <w:tcPr>
            <w:tcW w:w="0" w:type="auto"/>
            <w:noWrap/>
            <w:vAlign w:val="bottom"/>
          </w:tcPr>
          <w:p w14:paraId="19050DB3" w14:textId="77777777" w:rsidR="00AB08BD" w:rsidRPr="00834149" w:rsidRDefault="00AB08BD" w:rsidP="000737D8">
            <w:pPr>
              <w:jc w:val="right"/>
              <w:rPr>
                <w:rFonts w:eastAsia="Times New Roman" w:cs="Times New Roman"/>
                <w:color w:val="000000"/>
                <w:sz w:val="18"/>
                <w:szCs w:val="18"/>
              </w:rPr>
            </w:pPr>
          </w:p>
        </w:tc>
        <w:tc>
          <w:tcPr>
            <w:tcW w:w="0" w:type="auto"/>
            <w:noWrap/>
            <w:vAlign w:val="bottom"/>
          </w:tcPr>
          <w:p w14:paraId="71EB57B4" w14:textId="77777777" w:rsidR="00AB08BD" w:rsidRPr="00834149" w:rsidRDefault="00AB08BD" w:rsidP="000737D8">
            <w:pPr>
              <w:jc w:val="right"/>
              <w:rPr>
                <w:rFonts w:eastAsia="Times New Roman" w:cs="Times New Roman"/>
                <w:color w:val="000000"/>
                <w:sz w:val="18"/>
                <w:szCs w:val="18"/>
              </w:rPr>
            </w:pPr>
          </w:p>
        </w:tc>
        <w:tc>
          <w:tcPr>
            <w:tcW w:w="0" w:type="auto"/>
            <w:noWrap/>
            <w:vAlign w:val="bottom"/>
          </w:tcPr>
          <w:p w14:paraId="6C907FC3" w14:textId="77777777" w:rsidR="00AB08BD" w:rsidRPr="00834149" w:rsidRDefault="00AB08BD" w:rsidP="000737D8">
            <w:pPr>
              <w:jc w:val="right"/>
              <w:rPr>
                <w:rFonts w:eastAsia="Times New Roman" w:cs="Times New Roman"/>
                <w:color w:val="000000"/>
                <w:sz w:val="18"/>
                <w:szCs w:val="18"/>
              </w:rPr>
            </w:pPr>
          </w:p>
        </w:tc>
      </w:tr>
      <w:tr w:rsidR="00AB08BD" w:rsidRPr="000F5595" w14:paraId="5BE00123" w14:textId="77777777" w:rsidTr="00834149">
        <w:trPr>
          <w:jc w:val="center"/>
        </w:trPr>
        <w:tc>
          <w:tcPr>
            <w:tcW w:w="3690" w:type="dxa"/>
            <w:noWrap/>
            <w:vAlign w:val="bottom"/>
            <w:hideMark/>
          </w:tcPr>
          <w:p w14:paraId="6601528F"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External public debt (% of GDP)</w:t>
            </w:r>
          </w:p>
        </w:tc>
        <w:tc>
          <w:tcPr>
            <w:tcW w:w="0" w:type="auto"/>
            <w:noWrap/>
            <w:vAlign w:val="bottom"/>
            <w:hideMark/>
          </w:tcPr>
          <w:p w14:paraId="5BC91409"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14.3</w:t>
            </w:r>
          </w:p>
        </w:tc>
        <w:tc>
          <w:tcPr>
            <w:tcW w:w="0" w:type="auto"/>
            <w:noWrap/>
            <w:vAlign w:val="bottom"/>
            <w:hideMark/>
          </w:tcPr>
          <w:p w14:paraId="4C12802D"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17.1</w:t>
            </w:r>
          </w:p>
        </w:tc>
        <w:tc>
          <w:tcPr>
            <w:tcW w:w="0" w:type="auto"/>
            <w:noWrap/>
            <w:vAlign w:val="bottom"/>
            <w:hideMark/>
          </w:tcPr>
          <w:p w14:paraId="7CCC0F3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21.1</w:t>
            </w:r>
          </w:p>
        </w:tc>
        <w:tc>
          <w:tcPr>
            <w:tcW w:w="0" w:type="auto"/>
            <w:noWrap/>
            <w:vAlign w:val="bottom"/>
            <w:hideMark/>
          </w:tcPr>
          <w:p w14:paraId="3B6FCAA1"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19.7</w:t>
            </w:r>
          </w:p>
        </w:tc>
        <w:tc>
          <w:tcPr>
            <w:tcW w:w="0" w:type="auto"/>
            <w:noWrap/>
            <w:vAlign w:val="bottom"/>
            <w:hideMark/>
          </w:tcPr>
          <w:p w14:paraId="4ABD57D5"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22.9</w:t>
            </w:r>
          </w:p>
        </w:tc>
        <w:tc>
          <w:tcPr>
            <w:tcW w:w="0" w:type="auto"/>
            <w:noWrap/>
            <w:vAlign w:val="bottom"/>
            <w:hideMark/>
          </w:tcPr>
          <w:p w14:paraId="5CDF5BF2"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24.8</w:t>
            </w:r>
          </w:p>
        </w:tc>
        <w:tc>
          <w:tcPr>
            <w:tcW w:w="0" w:type="auto"/>
            <w:noWrap/>
            <w:vAlign w:val="bottom"/>
            <w:hideMark/>
          </w:tcPr>
          <w:p w14:paraId="7FD73D62"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27.4</w:t>
            </w:r>
          </w:p>
        </w:tc>
        <w:tc>
          <w:tcPr>
            <w:tcW w:w="0" w:type="auto"/>
            <w:noWrap/>
            <w:vAlign w:val="bottom"/>
            <w:hideMark/>
          </w:tcPr>
          <w:p w14:paraId="7F5ADD12"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27.9</w:t>
            </w:r>
          </w:p>
        </w:tc>
      </w:tr>
      <w:tr w:rsidR="00AB08BD" w:rsidRPr="000F5595" w14:paraId="1C93BAB0" w14:textId="77777777" w:rsidTr="00834149">
        <w:trPr>
          <w:jc w:val="center"/>
        </w:trPr>
        <w:tc>
          <w:tcPr>
            <w:tcW w:w="3690" w:type="dxa"/>
            <w:tcBorders>
              <w:top w:val="nil"/>
              <w:left w:val="nil"/>
              <w:bottom w:val="single" w:sz="4" w:space="0" w:color="auto"/>
              <w:right w:val="nil"/>
            </w:tcBorders>
            <w:noWrap/>
            <w:vAlign w:val="bottom"/>
            <w:hideMark/>
          </w:tcPr>
          <w:p w14:paraId="3B987076" w14:textId="77777777" w:rsidR="00AB08BD" w:rsidRPr="00834149" w:rsidRDefault="00AB08BD" w:rsidP="000737D8">
            <w:pPr>
              <w:rPr>
                <w:rFonts w:eastAsia="Times New Roman" w:cs="Times New Roman"/>
                <w:color w:val="000000"/>
                <w:sz w:val="18"/>
                <w:szCs w:val="18"/>
              </w:rPr>
            </w:pPr>
            <w:r w:rsidRPr="00834149">
              <w:rPr>
                <w:rFonts w:eastAsia="Times New Roman" w:cs="Times New Roman"/>
                <w:color w:val="000000"/>
                <w:sz w:val="18"/>
                <w:szCs w:val="18"/>
              </w:rPr>
              <w:t>Total public debt (% of GDP)</w:t>
            </w:r>
          </w:p>
        </w:tc>
        <w:tc>
          <w:tcPr>
            <w:tcW w:w="0" w:type="auto"/>
            <w:tcBorders>
              <w:top w:val="nil"/>
              <w:left w:val="nil"/>
              <w:bottom w:val="single" w:sz="4" w:space="0" w:color="auto"/>
              <w:right w:val="nil"/>
            </w:tcBorders>
            <w:noWrap/>
            <w:vAlign w:val="bottom"/>
            <w:hideMark/>
          </w:tcPr>
          <w:p w14:paraId="621F230D"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56.4</w:t>
            </w:r>
          </w:p>
        </w:tc>
        <w:tc>
          <w:tcPr>
            <w:tcW w:w="0" w:type="auto"/>
            <w:tcBorders>
              <w:top w:val="nil"/>
              <w:left w:val="nil"/>
              <w:bottom w:val="single" w:sz="4" w:space="0" w:color="auto"/>
              <w:right w:val="nil"/>
            </w:tcBorders>
            <w:noWrap/>
            <w:vAlign w:val="bottom"/>
            <w:hideMark/>
          </w:tcPr>
          <w:p w14:paraId="5F908ECD"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65.2</w:t>
            </w:r>
          </w:p>
        </w:tc>
        <w:tc>
          <w:tcPr>
            <w:tcW w:w="0" w:type="auto"/>
            <w:tcBorders>
              <w:top w:val="nil"/>
              <w:left w:val="nil"/>
              <w:bottom w:val="single" w:sz="4" w:space="0" w:color="auto"/>
              <w:right w:val="nil"/>
            </w:tcBorders>
            <w:noWrap/>
            <w:vAlign w:val="bottom"/>
            <w:hideMark/>
          </w:tcPr>
          <w:p w14:paraId="47C32996"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75.6</w:t>
            </w:r>
          </w:p>
        </w:tc>
        <w:tc>
          <w:tcPr>
            <w:tcW w:w="0" w:type="auto"/>
            <w:tcBorders>
              <w:top w:val="nil"/>
              <w:left w:val="nil"/>
              <w:bottom w:val="single" w:sz="4" w:space="0" w:color="auto"/>
              <w:right w:val="nil"/>
            </w:tcBorders>
            <w:noWrap/>
            <w:vAlign w:val="bottom"/>
            <w:hideMark/>
          </w:tcPr>
          <w:p w14:paraId="251F348A"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80.8</w:t>
            </w:r>
          </w:p>
        </w:tc>
        <w:tc>
          <w:tcPr>
            <w:tcW w:w="0" w:type="auto"/>
            <w:tcBorders>
              <w:top w:val="nil"/>
              <w:left w:val="nil"/>
              <w:bottom w:val="single" w:sz="4" w:space="0" w:color="auto"/>
              <w:right w:val="nil"/>
            </w:tcBorders>
            <w:noWrap/>
            <w:vAlign w:val="bottom"/>
            <w:hideMark/>
          </w:tcPr>
          <w:p w14:paraId="392F4BD4"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81.3</w:t>
            </w:r>
          </w:p>
        </w:tc>
        <w:tc>
          <w:tcPr>
            <w:tcW w:w="0" w:type="auto"/>
            <w:tcBorders>
              <w:top w:val="nil"/>
              <w:left w:val="nil"/>
              <w:bottom w:val="single" w:sz="4" w:space="0" w:color="auto"/>
              <w:right w:val="nil"/>
            </w:tcBorders>
            <w:noWrap/>
            <w:vAlign w:val="bottom"/>
            <w:hideMark/>
          </w:tcPr>
          <w:p w14:paraId="667CD89C"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78.1</w:t>
            </w:r>
          </w:p>
        </w:tc>
        <w:tc>
          <w:tcPr>
            <w:tcW w:w="0" w:type="auto"/>
            <w:tcBorders>
              <w:top w:val="nil"/>
              <w:left w:val="nil"/>
              <w:bottom w:val="single" w:sz="4" w:space="0" w:color="auto"/>
              <w:right w:val="nil"/>
            </w:tcBorders>
            <w:noWrap/>
            <w:vAlign w:val="bottom"/>
            <w:hideMark/>
          </w:tcPr>
          <w:p w14:paraId="5E8EB548"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73.0</w:t>
            </w:r>
          </w:p>
        </w:tc>
        <w:tc>
          <w:tcPr>
            <w:tcW w:w="0" w:type="auto"/>
            <w:tcBorders>
              <w:top w:val="nil"/>
              <w:left w:val="nil"/>
              <w:bottom w:val="single" w:sz="4" w:space="0" w:color="auto"/>
              <w:right w:val="nil"/>
            </w:tcBorders>
            <w:noWrap/>
            <w:vAlign w:val="bottom"/>
            <w:hideMark/>
          </w:tcPr>
          <w:p w14:paraId="23CD787B" w14:textId="77777777" w:rsidR="00AB08BD" w:rsidRPr="00834149" w:rsidRDefault="00AB08BD" w:rsidP="000737D8">
            <w:pPr>
              <w:jc w:val="right"/>
              <w:rPr>
                <w:rFonts w:eastAsia="Times New Roman" w:cs="Times New Roman"/>
                <w:color w:val="000000"/>
                <w:sz w:val="18"/>
                <w:szCs w:val="18"/>
              </w:rPr>
            </w:pPr>
            <w:r w:rsidRPr="00834149">
              <w:rPr>
                <w:rFonts w:eastAsia="Times New Roman" w:cs="Times New Roman"/>
                <w:color w:val="000000"/>
                <w:sz w:val="18"/>
                <w:szCs w:val="18"/>
              </w:rPr>
              <w:t>67.8</w:t>
            </w:r>
          </w:p>
        </w:tc>
      </w:tr>
    </w:tbl>
    <w:p w14:paraId="6A6DA7A9" w14:textId="6EC416C0" w:rsidR="00AB08BD" w:rsidRPr="00834149" w:rsidRDefault="00AB08BD" w:rsidP="00AB08BD">
      <w:pPr>
        <w:ind w:left="-540"/>
        <w:rPr>
          <w:rFonts w:eastAsia="Times New Roman" w:cs="Times New Roman"/>
          <w:sz w:val="18"/>
          <w:szCs w:val="18"/>
        </w:rPr>
      </w:pPr>
      <w:r w:rsidRPr="00834149">
        <w:rPr>
          <w:rFonts w:eastAsia="Times New Roman" w:cs="Times New Roman"/>
          <w:i/>
          <w:sz w:val="18"/>
          <w:szCs w:val="18"/>
        </w:rPr>
        <w:t>Source</w:t>
      </w:r>
      <w:r w:rsidRPr="00834149">
        <w:rPr>
          <w:rFonts w:eastAsia="Times New Roman" w:cs="Times New Roman"/>
          <w:sz w:val="18"/>
          <w:szCs w:val="18"/>
        </w:rPr>
        <w:t>: Government of Togo and IMF estimates and forecasts</w:t>
      </w:r>
      <w:r w:rsidR="000F5595">
        <w:rPr>
          <w:rFonts w:eastAsia="Times New Roman" w:cs="Times New Roman"/>
          <w:sz w:val="18"/>
          <w:szCs w:val="18"/>
        </w:rPr>
        <w:t>.</w:t>
      </w:r>
      <w:r w:rsidRPr="00834149">
        <w:rPr>
          <w:rFonts w:eastAsia="Times New Roman" w:cs="Times New Roman"/>
          <w:sz w:val="18"/>
          <w:szCs w:val="18"/>
        </w:rPr>
        <w:t xml:space="preserve"> </w:t>
      </w:r>
    </w:p>
    <w:p w14:paraId="0BC5E14E" w14:textId="77777777" w:rsidR="00AB08BD" w:rsidRPr="00C622A7" w:rsidRDefault="00AB08BD" w:rsidP="00AB08BD">
      <w:pPr>
        <w:rPr>
          <w:rFonts w:eastAsiaTheme="minorHAnsi"/>
        </w:rPr>
      </w:pPr>
      <w:r w:rsidRPr="00C622A7">
        <w:rPr>
          <w:rFonts w:eastAsiaTheme="minorHAnsi"/>
        </w:rPr>
        <w:br w:type="page"/>
      </w:r>
    </w:p>
    <w:p w14:paraId="27FB43A0" w14:textId="1CA487C6" w:rsidR="001B001A" w:rsidRPr="00834149" w:rsidRDefault="001B001A" w:rsidP="00A210DD">
      <w:pPr>
        <w:pStyle w:val="Heading2"/>
        <w:spacing w:before="0"/>
        <w:jc w:val="both"/>
        <w:rPr>
          <w:rFonts w:asciiTheme="minorHAnsi" w:hAnsiTheme="minorHAnsi" w:cs="Times New Roman"/>
          <w:sz w:val="22"/>
          <w:szCs w:val="20"/>
        </w:rPr>
      </w:pPr>
      <w:bookmarkStart w:id="7" w:name="_Toc480207632"/>
      <w:r w:rsidRPr="00834149">
        <w:rPr>
          <w:rFonts w:asciiTheme="minorHAnsi" w:hAnsiTheme="minorHAnsi" w:cs="Times New Roman"/>
          <w:sz w:val="22"/>
          <w:szCs w:val="20"/>
        </w:rPr>
        <w:lastRenderedPageBreak/>
        <w:t>2.</w:t>
      </w:r>
      <w:r w:rsidR="00A46DE6" w:rsidRPr="00834149">
        <w:rPr>
          <w:rFonts w:asciiTheme="minorHAnsi" w:hAnsiTheme="minorHAnsi" w:cs="Times New Roman"/>
          <w:sz w:val="22"/>
          <w:szCs w:val="20"/>
        </w:rPr>
        <w:t>3</w:t>
      </w:r>
      <w:r w:rsidRPr="00834149">
        <w:rPr>
          <w:rFonts w:asciiTheme="minorHAnsi" w:hAnsiTheme="minorHAnsi" w:cs="Times New Roman"/>
          <w:sz w:val="22"/>
          <w:szCs w:val="20"/>
        </w:rPr>
        <w:t xml:space="preserve"> Poverty Profile</w:t>
      </w:r>
      <w:bookmarkEnd w:id="7"/>
    </w:p>
    <w:p w14:paraId="6D5E27F7" w14:textId="77777777" w:rsidR="001B001A" w:rsidRPr="00834149" w:rsidRDefault="001B001A" w:rsidP="00A210DD">
      <w:pPr>
        <w:jc w:val="both"/>
        <w:rPr>
          <w:rFonts w:cs="Times New Roman"/>
          <w:szCs w:val="20"/>
        </w:rPr>
      </w:pPr>
    </w:p>
    <w:p w14:paraId="315171C7" w14:textId="36331B6C" w:rsidR="00BD6AE7" w:rsidRPr="00834149" w:rsidRDefault="00064636" w:rsidP="00982543">
      <w:pPr>
        <w:pStyle w:val="ListParagraph"/>
        <w:numPr>
          <w:ilvl w:val="0"/>
          <w:numId w:val="2"/>
        </w:numPr>
        <w:autoSpaceDE w:val="0"/>
        <w:autoSpaceDN w:val="0"/>
        <w:adjustRightInd w:val="0"/>
        <w:ind w:left="0" w:firstLine="0"/>
        <w:jc w:val="both"/>
        <w:rPr>
          <w:rFonts w:cs="Times New Roman"/>
          <w:szCs w:val="20"/>
        </w:rPr>
      </w:pPr>
      <w:r w:rsidRPr="00834149">
        <w:rPr>
          <w:rFonts w:cs="Times New Roman"/>
          <w:b/>
          <w:szCs w:val="20"/>
        </w:rPr>
        <w:t xml:space="preserve">Togo has made modest progress in reducing poverty in recent years, </w:t>
      </w:r>
      <w:r w:rsidR="00087213" w:rsidRPr="00834149">
        <w:rPr>
          <w:rFonts w:cs="Times New Roman"/>
          <w:b/>
          <w:szCs w:val="20"/>
        </w:rPr>
        <w:t xml:space="preserve">but </w:t>
      </w:r>
      <w:r w:rsidRPr="00834149">
        <w:rPr>
          <w:rFonts w:cs="Times New Roman"/>
          <w:b/>
          <w:szCs w:val="20"/>
        </w:rPr>
        <w:t>poverty levels remain high</w:t>
      </w:r>
      <w:r w:rsidRPr="00834149">
        <w:rPr>
          <w:rFonts w:cs="Times New Roman"/>
          <w:szCs w:val="20"/>
        </w:rPr>
        <w:t>. Poverty rates declined from 61.7 percent to 55.1 percent between 2006 and 2015</w:t>
      </w:r>
      <w:r w:rsidR="00087213" w:rsidRPr="00834149">
        <w:rPr>
          <w:rFonts w:cs="Times New Roman"/>
          <w:szCs w:val="20"/>
        </w:rPr>
        <w:t>,</w:t>
      </w:r>
      <w:r w:rsidRPr="00834149">
        <w:rPr>
          <w:rStyle w:val="FootnoteReference"/>
          <w:rFonts w:cs="Times New Roman"/>
          <w:szCs w:val="20"/>
        </w:rPr>
        <w:footnoteReference w:id="3"/>
      </w:r>
      <w:r w:rsidRPr="00834149">
        <w:rPr>
          <w:rFonts w:cs="Times New Roman"/>
          <w:szCs w:val="20"/>
        </w:rPr>
        <w:t xml:space="preserve"> and economic growth between 2011</w:t>
      </w:r>
      <w:r w:rsidR="00087213" w:rsidRPr="00834149">
        <w:rPr>
          <w:rFonts w:cs="Times New Roman"/>
          <w:szCs w:val="20"/>
        </w:rPr>
        <w:t xml:space="preserve"> and 20</w:t>
      </w:r>
      <w:r w:rsidRPr="00834149">
        <w:rPr>
          <w:rFonts w:cs="Times New Roman"/>
          <w:szCs w:val="20"/>
        </w:rPr>
        <w:t>15 improved living conditions for most of the population, including those in the bottom 40 percent of the income distribution</w:t>
      </w:r>
      <w:r w:rsidR="00F31478" w:rsidRPr="00834149">
        <w:rPr>
          <w:rFonts w:cs="Times New Roman"/>
          <w:szCs w:val="20"/>
        </w:rPr>
        <w:t>. During this period, rural areas and secondary cities saw a largely positive trend in consumption growth, the former due in part to growth in agriculture.</w:t>
      </w:r>
      <w:r w:rsidRPr="00834149">
        <w:rPr>
          <w:rFonts w:cs="Times New Roman"/>
          <w:szCs w:val="20"/>
        </w:rPr>
        <w:t xml:space="preserve"> Inequality (</w:t>
      </w:r>
      <w:r w:rsidR="00087213" w:rsidRPr="00834149">
        <w:rPr>
          <w:rFonts w:cs="Times New Roman"/>
          <w:szCs w:val="20"/>
        </w:rPr>
        <w:t xml:space="preserve">as </w:t>
      </w:r>
      <w:r w:rsidRPr="00834149">
        <w:rPr>
          <w:rFonts w:cs="Times New Roman"/>
          <w:szCs w:val="20"/>
        </w:rPr>
        <w:t>measured by the Gini coefficient) decline</w:t>
      </w:r>
      <w:r w:rsidR="00087213" w:rsidRPr="00834149">
        <w:rPr>
          <w:rFonts w:cs="Times New Roman"/>
          <w:szCs w:val="20"/>
        </w:rPr>
        <w:t>d</w:t>
      </w:r>
      <w:r w:rsidRPr="00834149">
        <w:rPr>
          <w:rFonts w:cs="Times New Roman"/>
          <w:szCs w:val="20"/>
        </w:rPr>
        <w:t xml:space="preserve"> slightly from 0.39 in 2011 to 0.38 in 2015. </w:t>
      </w:r>
      <w:r w:rsidR="001B001A" w:rsidRPr="00834149">
        <w:rPr>
          <w:rFonts w:cs="Times New Roman"/>
          <w:szCs w:val="20"/>
        </w:rPr>
        <w:t>In internationally comparable terms, Togo has an extreme poverty rate of 49.2 percent. Togo’s ranking on the United Nations (UN) Human Development Index has fallen from 95</w:t>
      </w:r>
      <w:r w:rsidR="001B001A" w:rsidRPr="00834149">
        <w:rPr>
          <w:rFonts w:cs="Times New Roman"/>
          <w:szCs w:val="20"/>
          <w:vertAlign w:val="superscript"/>
        </w:rPr>
        <w:t>th</w:t>
      </w:r>
      <w:r w:rsidR="001B001A" w:rsidRPr="00834149">
        <w:rPr>
          <w:rFonts w:cs="Times New Roman"/>
          <w:szCs w:val="20"/>
        </w:rPr>
        <w:t xml:space="preserve"> of 124 countries (the bottom 23 percent) in 1980 to 166</w:t>
      </w:r>
      <w:r w:rsidR="001B001A" w:rsidRPr="00834149">
        <w:rPr>
          <w:rFonts w:cs="Times New Roman"/>
          <w:szCs w:val="20"/>
          <w:vertAlign w:val="superscript"/>
        </w:rPr>
        <w:t>th</w:t>
      </w:r>
      <w:r w:rsidR="001B001A" w:rsidRPr="00834149">
        <w:rPr>
          <w:rFonts w:cs="Times New Roman"/>
          <w:szCs w:val="20"/>
        </w:rPr>
        <w:t xml:space="preserve"> out of 187 countries (the bottom 10 percent) in 2013.</w:t>
      </w:r>
      <w:r w:rsidR="001B18B1" w:rsidRPr="00834149">
        <w:rPr>
          <w:rFonts w:cs="Times New Roman"/>
          <w:szCs w:val="20"/>
        </w:rPr>
        <w:t xml:space="preserve"> While per capita incomes have gradually improved since 2000</w:t>
      </w:r>
      <w:r w:rsidR="00AF6675" w:rsidRPr="00834149">
        <w:rPr>
          <w:rFonts w:cs="Times New Roman"/>
          <w:szCs w:val="20"/>
        </w:rPr>
        <w:t>, they are</w:t>
      </w:r>
      <w:r w:rsidR="001B18B1" w:rsidRPr="00834149">
        <w:rPr>
          <w:rFonts w:cs="Times New Roman"/>
          <w:szCs w:val="20"/>
        </w:rPr>
        <w:t xml:space="preserve"> far below Africa’s average</w:t>
      </w:r>
      <w:r w:rsidR="007A50CF" w:rsidRPr="00834149">
        <w:rPr>
          <w:rFonts w:cs="Times New Roman"/>
          <w:szCs w:val="20"/>
        </w:rPr>
        <w:t xml:space="preserve"> (Figure 1)</w:t>
      </w:r>
      <w:r w:rsidR="00AF6675" w:rsidRPr="00834149">
        <w:rPr>
          <w:rFonts w:cs="Times New Roman"/>
          <w:szCs w:val="20"/>
        </w:rPr>
        <w:t xml:space="preserve"> and </w:t>
      </w:r>
      <w:r w:rsidR="001B18B1" w:rsidRPr="00834149">
        <w:rPr>
          <w:rFonts w:cs="Times New Roman"/>
          <w:szCs w:val="20"/>
        </w:rPr>
        <w:t>per capita GDP is lower today than at its peak in 1980</w:t>
      </w:r>
      <w:r w:rsidR="003363EF" w:rsidRPr="00834149">
        <w:rPr>
          <w:rFonts w:cs="Times New Roman"/>
          <w:szCs w:val="20"/>
        </w:rPr>
        <w:t xml:space="preserve"> (Figure 2)</w:t>
      </w:r>
      <w:r w:rsidR="001B18B1" w:rsidRPr="00834149">
        <w:rPr>
          <w:rFonts w:cs="Times New Roman"/>
          <w:szCs w:val="20"/>
        </w:rPr>
        <w:t>. The difference in the evolution of per capita incomes and per capita GDP can largely be explained by remittances. In 2013 and 2014, the Togolese diaspora contributed CFAF 176 billion (US$337 million) and CFAF 182 billion (US$348 million), respectively, to Togo’s economy in the form of remittances, representing 8.7 percent and 8.2 percent of Togo’s GDP for the two respective years.</w:t>
      </w:r>
    </w:p>
    <w:p w14:paraId="1ABEB451" w14:textId="0BA6C3F7" w:rsidR="00087213" w:rsidRDefault="00087213">
      <w:pPr>
        <w:rPr>
          <w:rFonts w:ascii="Times New Roman" w:hAnsi="Times New Roman" w:cs="Times New Roman"/>
          <w:b/>
          <w:sz w:val="24"/>
          <w:szCs w:val="24"/>
        </w:rPr>
      </w:pPr>
    </w:p>
    <w:p w14:paraId="3BE89758" w14:textId="5880C9D4" w:rsidR="007F572A" w:rsidRPr="00834149" w:rsidRDefault="00087213" w:rsidP="00FA1C83">
      <w:pPr>
        <w:pStyle w:val="Caption"/>
        <w:jc w:val="center"/>
        <w:rPr>
          <w:rFonts w:cs="Times New Roman"/>
          <w:caps w:val="0"/>
          <w:sz w:val="20"/>
          <w:szCs w:val="20"/>
        </w:rPr>
      </w:pPr>
      <w:bookmarkStart w:id="8" w:name="_Toc480207650"/>
      <w:r w:rsidRPr="00834149">
        <w:rPr>
          <w:rFonts w:cs="Times New Roman"/>
          <w:caps w:val="0"/>
          <w:sz w:val="20"/>
          <w:szCs w:val="20"/>
        </w:rPr>
        <w:t xml:space="preserve">Figure </w:t>
      </w:r>
      <w:r w:rsidR="00F31BAB" w:rsidRPr="00834149">
        <w:rPr>
          <w:rFonts w:cs="Times New Roman"/>
          <w:caps w:val="0"/>
          <w:sz w:val="20"/>
          <w:szCs w:val="20"/>
        </w:rPr>
        <w:fldChar w:fldCharType="begin"/>
      </w:r>
      <w:r w:rsidR="00F31BAB" w:rsidRPr="00834149">
        <w:rPr>
          <w:rFonts w:cs="Times New Roman"/>
          <w:caps w:val="0"/>
          <w:sz w:val="20"/>
          <w:szCs w:val="20"/>
        </w:rPr>
        <w:instrText xml:space="preserve"> SEQ Figure \* ARABIC </w:instrText>
      </w:r>
      <w:r w:rsidR="00F31BAB" w:rsidRPr="00834149">
        <w:rPr>
          <w:rFonts w:cs="Times New Roman"/>
          <w:caps w:val="0"/>
          <w:sz w:val="20"/>
          <w:szCs w:val="20"/>
        </w:rPr>
        <w:fldChar w:fldCharType="separate"/>
      </w:r>
      <w:r w:rsidR="000D6ABB">
        <w:rPr>
          <w:rFonts w:cs="Times New Roman"/>
          <w:caps w:val="0"/>
          <w:noProof/>
          <w:sz w:val="20"/>
          <w:szCs w:val="20"/>
        </w:rPr>
        <w:t>1</w:t>
      </w:r>
      <w:r w:rsidR="00F31BAB" w:rsidRPr="00834149">
        <w:rPr>
          <w:rFonts w:cs="Times New Roman"/>
          <w:caps w:val="0"/>
          <w:sz w:val="20"/>
          <w:szCs w:val="20"/>
        </w:rPr>
        <w:fldChar w:fldCharType="end"/>
      </w:r>
      <w:r w:rsidRPr="00834149">
        <w:rPr>
          <w:rFonts w:cs="Times New Roman"/>
          <w:caps w:val="0"/>
          <w:sz w:val="20"/>
          <w:szCs w:val="20"/>
        </w:rPr>
        <w:t xml:space="preserve">: </w:t>
      </w:r>
      <w:r w:rsidR="00BC5E9F" w:rsidRPr="00834149">
        <w:rPr>
          <w:rFonts w:cs="Times New Roman"/>
          <w:caps w:val="0"/>
          <w:sz w:val="20"/>
          <w:szCs w:val="20"/>
        </w:rPr>
        <w:t>A</w:t>
      </w:r>
      <w:r w:rsidR="007F572A" w:rsidRPr="00834149">
        <w:rPr>
          <w:rFonts w:cs="Times New Roman"/>
          <w:caps w:val="0"/>
          <w:sz w:val="20"/>
          <w:szCs w:val="20"/>
        </w:rPr>
        <w:t xml:space="preserve">verage </w:t>
      </w:r>
      <w:r w:rsidR="00BC5E9F" w:rsidRPr="00834149">
        <w:rPr>
          <w:rFonts w:cs="Times New Roman"/>
          <w:caps w:val="0"/>
          <w:sz w:val="20"/>
          <w:szCs w:val="20"/>
        </w:rPr>
        <w:t>P</w:t>
      </w:r>
      <w:r w:rsidR="007F572A" w:rsidRPr="00834149">
        <w:rPr>
          <w:rFonts w:cs="Times New Roman"/>
          <w:caps w:val="0"/>
          <w:sz w:val="20"/>
          <w:szCs w:val="20"/>
        </w:rPr>
        <w:t>er</w:t>
      </w:r>
      <w:r w:rsidR="00BC5E9F" w:rsidRPr="00834149">
        <w:rPr>
          <w:rFonts w:cs="Times New Roman"/>
          <w:caps w:val="0"/>
          <w:sz w:val="20"/>
          <w:szCs w:val="20"/>
        </w:rPr>
        <w:t>-C</w:t>
      </w:r>
      <w:r w:rsidR="007F572A" w:rsidRPr="00834149">
        <w:rPr>
          <w:rFonts w:cs="Times New Roman"/>
          <w:caps w:val="0"/>
          <w:sz w:val="20"/>
          <w:szCs w:val="20"/>
        </w:rPr>
        <w:t xml:space="preserve">apita </w:t>
      </w:r>
      <w:r w:rsidR="00BC5E9F" w:rsidRPr="00834149">
        <w:rPr>
          <w:rFonts w:cs="Times New Roman"/>
          <w:caps w:val="0"/>
          <w:sz w:val="20"/>
          <w:szCs w:val="20"/>
        </w:rPr>
        <w:t>I</w:t>
      </w:r>
      <w:r w:rsidR="007F572A" w:rsidRPr="00834149">
        <w:rPr>
          <w:rFonts w:cs="Times New Roman"/>
          <w:caps w:val="0"/>
          <w:sz w:val="20"/>
          <w:szCs w:val="20"/>
        </w:rPr>
        <w:t>ncome</w:t>
      </w:r>
      <w:r w:rsidR="00BC5E9F" w:rsidRPr="00834149">
        <w:rPr>
          <w:rFonts w:cs="Times New Roman"/>
          <w:caps w:val="0"/>
          <w:sz w:val="20"/>
          <w:szCs w:val="20"/>
        </w:rPr>
        <w:t xml:space="preserve"> in Togo</w:t>
      </w:r>
      <w:r w:rsidR="007F572A" w:rsidRPr="00834149">
        <w:rPr>
          <w:rFonts w:cs="Times New Roman"/>
          <w:caps w:val="0"/>
          <w:sz w:val="20"/>
          <w:szCs w:val="20"/>
        </w:rPr>
        <w:t>, 1961</w:t>
      </w:r>
      <w:r w:rsidR="00BC5E9F" w:rsidRPr="00834149">
        <w:rPr>
          <w:rFonts w:cs="Times New Roman"/>
          <w:caps w:val="0"/>
          <w:sz w:val="20"/>
          <w:szCs w:val="20"/>
        </w:rPr>
        <w:t>–</w:t>
      </w:r>
      <w:r w:rsidR="007F572A" w:rsidRPr="00834149">
        <w:rPr>
          <w:rFonts w:cs="Times New Roman"/>
          <w:caps w:val="0"/>
          <w:sz w:val="20"/>
          <w:szCs w:val="20"/>
        </w:rPr>
        <w:t>2013</w:t>
      </w:r>
      <w:bookmarkEnd w:id="8"/>
    </w:p>
    <w:p w14:paraId="650E8924" w14:textId="56287343" w:rsidR="007F572A" w:rsidRPr="00834149" w:rsidRDefault="002D3615" w:rsidP="00834149">
      <w:pPr>
        <w:pStyle w:val="ListParagraph"/>
        <w:autoSpaceDE w:val="0"/>
        <w:autoSpaceDN w:val="0"/>
        <w:adjustRightInd w:val="0"/>
        <w:ind w:left="-360"/>
        <w:rPr>
          <w:rFonts w:cs="Times New Roman"/>
          <w:i/>
          <w:sz w:val="20"/>
        </w:rPr>
      </w:pPr>
      <w:r>
        <w:rPr>
          <w:noProof/>
        </w:rPr>
        <mc:AlternateContent>
          <mc:Choice Requires="wps">
            <w:drawing>
              <wp:anchor distT="0" distB="0" distL="114300" distR="114300" simplePos="0" relativeHeight="251664384" behindDoc="0" locked="0" layoutInCell="1" allowOverlap="1" wp14:anchorId="2A723228" wp14:editId="7948FD93">
                <wp:simplePos x="0" y="0"/>
                <wp:positionH relativeFrom="column">
                  <wp:posOffset>2971413</wp:posOffset>
                </wp:positionH>
                <wp:positionV relativeFrom="paragraph">
                  <wp:posOffset>2646235</wp:posOffset>
                </wp:positionV>
                <wp:extent cx="561975" cy="2286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BCFFD" w14:textId="311BDD97" w:rsidR="000D6ABB" w:rsidRPr="00982543" w:rsidRDefault="000D6ABB">
                            <w:pPr>
                              <w:rPr>
                                <w:sz w:val="20"/>
                              </w:rPr>
                            </w:pPr>
                            <w:r w:rsidRPr="00982543">
                              <w:rPr>
                                <w:sz w:val="20"/>
                              </w:rPr>
                              <w:t>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23228" id="_x0000_t202" coordsize="21600,21600" o:spt="202" path="m,l,21600r21600,l21600,xe">
                <v:stroke joinstyle="miter"/>
                <v:path gradientshapeok="t" o:connecttype="rect"/>
              </v:shapetype>
              <v:shape id="Text Box 7" o:spid="_x0000_s1026" type="#_x0000_t202" style="position:absolute;left:0;text-align:left;margin-left:233.95pt;margin-top:208.35pt;width:44.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" fillcolor="white [3212]" stroked="f" strokeweight=".5pt">
                <v:textbox>
                  <w:txbxContent>
                    <w:p w14:paraId="617BCFFD" w14:textId="311BDD97" w:rsidR="000D6ABB" w:rsidRPr="00982543" w:rsidRDefault="000D6ABB">
                      <w:pPr>
                        <w:rPr>
                          <w:sz w:val="20"/>
                        </w:rPr>
                      </w:pPr>
                      <w:r w:rsidRPr="00982543">
                        <w:rPr>
                          <w:sz w:val="20"/>
                        </w:rPr>
                        <w:t>Africa</w:t>
                      </w:r>
                    </w:p>
                  </w:txbxContent>
                </v:textbox>
              </v:shape>
            </w:pict>
          </mc:Fallback>
        </mc:AlternateContent>
      </w:r>
      <w:r w:rsidR="007F572A" w:rsidRPr="007F572A">
        <w:rPr>
          <w:noProof/>
        </w:rPr>
        <w:drawing>
          <wp:inline distT="0" distB="0" distL="0" distR="0" wp14:anchorId="225C1F5E" wp14:editId="1D02FE9C">
            <wp:extent cx="5859379" cy="2971800"/>
            <wp:effectExtent l="0" t="0" r="825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F572A" w:rsidRPr="00834149">
        <w:rPr>
          <w:rFonts w:cs="Times New Roman"/>
          <w:i/>
          <w:sz w:val="20"/>
        </w:rPr>
        <w:t xml:space="preserve">Source: </w:t>
      </w:r>
      <w:r w:rsidR="00A455B3">
        <w:rPr>
          <w:rFonts w:cs="Times New Roman"/>
          <w:sz w:val="20"/>
        </w:rPr>
        <w:t>World Development Indicator (</w:t>
      </w:r>
      <w:r w:rsidR="007F572A" w:rsidRPr="00834149">
        <w:rPr>
          <w:rFonts w:cs="Times New Roman"/>
          <w:sz w:val="20"/>
        </w:rPr>
        <w:t>WDI</w:t>
      </w:r>
      <w:r w:rsidR="00A455B3">
        <w:rPr>
          <w:rFonts w:cs="Times New Roman"/>
          <w:sz w:val="20"/>
        </w:rPr>
        <w:t>)</w:t>
      </w:r>
      <w:r w:rsidR="007F572A" w:rsidRPr="00834149">
        <w:rPr>
          <w:rFonts w:cs="Times New Roman"/>
          <w:sz w:val="20"/>
        </w:rPr>
        <w:t>, staff estimates</w:t>
      </w:r>
    </w:p>
    <w:p w14:paraId="3057871F" w14:textId="0AC677B4" w:rsidR="00816E21" w:rsidRDefault="00816E21">
      <w:pPr>
        <w:rPr>
          <w:rFonts w:ascii="Times New Roman" w:hAnsi="Times New Roman" w:cs="Times New Roman"/>
        </w:rPr>
      </w:pPr>
      <w:r>
        <w:rPr>
          <w:rFonts w:ascii="Times New Roman" w:hAnsi="Times New Roman" w:cs="Times New Roman"/>
        </w:rPr>
        <w:br w:type="page"/>
      </w:r>
    </w:p>
    <w:p w14:paraId="7AEAD954" w14:textId="77777777" w:rsidR="007F572A" w:rsidRDefault="007F572A" w:rsidP="007F572A">
      <w:pPr>
        <w:pStyle w:val="ListParagraph"/>
        <w:autoSpaceDE w:val="0"/>
        <w:autoSpaceDN w:val="0"/>
        <w:adjustRightInd w:val="0"/>
        <w:ind w:left="0"/>
        <w:jc w:val="both"/>
        <w:rPr>
          <w:rFonts w:ascii="Times New Roman" w:hAnsi="Times New Roman" w:cs="Times New Roman"/>
        </w:rPr>
      </w:pPr>
    </w:p>
    <w:p w14:paraId="1EA05A69" w14:textId="7538FD5B" w:rsidR="00816E21" w:rsidRDefault="00816E21" w:rsidP="007F572A">
      <w:pPr>
        <w:pStyle w:val="ListParagraph"/>
        <w:autoSpaceDE w:val="0"/>
        <w:autoSpaceDN w:val="0"/>
        <w:adjustRightInd w:val="0"/>
        <w:ind w:left="0"/>
        <w:jc w:val="both"/>
        <w:rPr>
          <w:rFonts w:ascii="Times New Roman" w:hAnsi="Times New Roman" w:cs="Times New Roman"/>
        </w:rPr>
      </w:pPr>
      <w:r w:rsidRPr="005954A7">
        <w:rPr>
          <w:rFonts w:ascii="Times New Roman" w:eastAsia="Calibri" w:hAnsi="Times New Roman" w:cs="Times New Roman"/>
          <w:b/>
          <w:noProof/>
        </w:rPr>
        <mc:AlternateContent>
          <mc:Choice Requires="wps">
            <w:drawing>
              <wp:anchor distT="18415" distB="18415" distL="45720" distR="114300" simplePos="0" relativeHeight="251666432" behindDoc="0" locked="0" layoutInCell="1" allowOverlap="1" wp14:anchorId="265C745C" wp14:editId="43E8C144">
                <wp:simplePos x="0" y="0"/>
                <wp:positionH relativeFrom="margin">
                  <wp:posOffset>714375</wp:posOffset>
                </wp:positionH>
                <wp:positionV relativeFrom="margin">
                  <wp:posOffset>9525</wp:posOffset>
                </wp:positionV>
                <wp:extent cx="4619625" cy="2495550"/>
                <wp:effectExtent l="0" t="0" r="9525" b="0"/>
                <wp:wrapTight wrapText="bothSides">
                  <wp:wrapPolygon edited="0">
                    <wp:start x="0" y="0"/>
                    <wp:lineTo x="0" y="21435"/>
                    <wp:lineTo x="21555" y="21435"/>
                    <wp:lineTo x="21555"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495550"/>
                        </a:xfrm>
                        <a:prstGeom prst="rect">
                          <a:avLst/>
                        </a:prstGeom>
                        <a:solidFill>
                          <a:srgbClr val="FFFFFF"/>
                        </a:solid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cx2="http://schemas.microsoft.com/office/drawing/2015/10/21/chartex" xmlns:cx1="http://schemas.microsoft.com/office/drawing/2015/9/8/chartex" xmlns:cx="http://schemas.microsoft.com/office/drawing/2014/chartex"/>
                          </a:ext>
                        </a:extLst>
                      </wps:spPr>
                      <wps:txbx>
                        <w:txbxContent>
                          <w:p w14:paraId="257F69C1" w14:textId="6581C2A8" w:rsidR="000D6ABB" w:rsidRPr="00834149" w:rsidRDefault="000D6ABB" w:rsidP="007114D1">
                            <w:pPr>
                              <w:pStyle w:val="Caption"/>
                              <w:keepNext/>
                              <w:jc w:val="center"/>
                              <w:rPr>
                                <w:rFonts w:cs="Times New Roman"/>
                                <w:caps w:val="0"/>
                                <w:sz w:val="20"/>
                                <w:szCs w:val="20"/>
                              </w:rPr>
                            </w:pPr>
                            <w:bookmarkStart w:id="9" w:name="_Toc480207651"/>
                            <w:r w:rsidRPr="00834149">
                              <w:rPr>
                                <w:rFonts w:cs="Times New Roman"/>
                                <w:caps w:val="0"/>
                                <w:sz w:val="20"/>
                                <w:szCs w:val="20"/>
                              </w:rPr>
                              <w:t xml:space="preserve">Figure </w:t>
                            </w:r>
                            <w:r w:rsidRPr="00834149">
                              <w:rPr>
                                <w:rFonts w:cs="Times New Roman"/>
                                <w:sz w:val="20"/>
                                <w:szCs w:val="20"/>
                              </w:rPr>
                              <w:fldChar w:fldCharType="begin"/>
                            </w:r>
                            <w:r w:rsidRPr="00834149">
                              <w:rPr>
                                <w:rFonts w:cs="Times New Roman"/>
                                <w:sz w:val="20"/>
                                <w:szCs w:val="20"/>
                              </w:rPr>
                              <w:instrText xml:space="preserve"> SEQ Figure \* ARABIC </w:instrText>
                            </w:r>
                            <w:r w:rsidRPr="00834149">
                              <w:rPr>
                                <w:rFonts w:cs="Times New Roman"/>
                                <w:sz w:val="20"/>
                                <w:szCs w:val="20"/>
                              </w:rPr>
                              <w:fldChar w:fldCharType="separate"/>
                            </w:r>
                            <w:r>
                              <w:rPr>
                                <w:rFonts w:cs="Times New Roman"/>
                                <w:noProof/>
                                <w:sz w:val="20"/>
                                <w:szCs w:val="20"/>
                              </w:rPr>
                              <w:t>2</w:t>
                            </w:r>
                            <w:r w:rsidRPr="00834149">
                              <w:rPr>
                                <w:rFonts w:cs="Times New Roman"/>
                                <w:sz w:val="20"/>
                                <w:szCs w:val="20"/>
                              </w:rPr>
                              <w:fldChar w:fldCharType="end"/>
                            </w:r>
                            <w:r w:rsidRPr="00834149">
                              <w:rPr>
                                <w:rFonts w:cs="Times New Roman"/>
                                <w:caps w:val="0"/>
                                <w:sz w:val="20"/>
                                <w:szCs w:val="20"/>
                              </w:rPr>
                              <w:t>: Growth Rate and Real GDP per Capita</w:t>
                            </w:r>
                            <w:bookmarkEnd w:id="9"/>
                          </w:p>
                          <w:p w14:paraId="2408E82F" w14:textId="77777777" w:rsidR="000D6ABB" w:rsidRDefault="000D6ABB" w:rsidP="00816E21">
                            <w:pPr>
                              <w:pStyle w:val="NoSpacing"/>
                            </w:pPr>
                            <w:r>
                              <w:rPr>
                                <w:noProof/>
                              </w:rPr>
                              <w:drawing>
                                <wp:inline distT="0" distB="0" distL="0" distR="0" wp14:anchorId="1EFCDADE" wp14:editId="65652B3F">
                                  <wp:extent cx="4333875" cy="2120900"/>
                                  <wp:effectExtent l="0" t="0" r="9525" b="1270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C0091A" w14:textId="6CCA35AB" w:rsidR="000D6ABB" w:rsidRPr="00A455B3" w:rsidRDefault="000D6ABB" w:rsidP="00816E21">
                            <w:pPr>
                              <w:pStyle w:val="NoSpacing"/>
                              <w:rPr>
                                <w:sz w:val="18"/>
                                <w:szCs w:val="18"/>
                              </w:rPr>
                            </w:pPr>
                            <w:r w:rsidRPr="00A455B3">
                              <w:rPr>
                                <w:i/>
                                <w:sz w:val="18"/>
                                <w:szCs w:val="18"/>
                              </w:rPr>
                              <w:t>Source</w:t>
                            </w:r>
                            <w:r w:rsidRPr="00A455B3">
                              <w:rPr>
                                <w:sz w:val="18"/>
                                <w:szCs w:val="18"/>
                              </w:rPr>
                              <w:t xml:space="preserve">: WDI, World Bank.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C745C" id="Text Box 2" o:spid="_x0000_s1027" type="#_x0000_t202" style="position:absolute;left:0;text-align:left;margin-left:56.25pt;margin-top:.75pt;width:363.75pt;height:196.5pt;z-index:251666432;visibility:visible;mso-wrap-style:square;mso-width-percent:0;mso-height-percent:0;mso-wrap-distance-left:3.6pt;mso-wrap-distance-top:1.45pt;mso-wrap-distance-right:9pt;mso-wrap-distance-bottom:1.4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" stroked="f">
                <v:textbox>
                  <w:txbxContent>
                    <w:p w14:paraId="257F69C1" w14:textId="6581C2A8" w:rsidR="000D6ABB" w:rsidRPr="00834149" w:rsidRDefault="000D6ABB" w:rsidP="007114D1">
                      <w:pPr>
                        <w:pStyle w:val="Caption"/>
                        <w:keepNext/>
                        <w:jc w:val="center"/>
                        <w:rPr>
                          <w:rFonts w:cs="Times New Roman"/>
                          <w:caps w:val="0"/>
                          <w:sz w:val="20"/>
                          <w:szCs w:val="20"/>
                        </w:rPr>
                      </w:pPr>
                      <w:bookmarkStart w:id="10" w:name="_Toc480207651"/>
                      <w:r w:rsidRPr="00834149">
                        <w:rPr>
                          <w:rFonts w:cs="Times New Roman"/>
                          <w:caps w:val="0"/>
                          <w:sz w:val="20"/>
                          <w:szCs w:val="20"/>
                        </w:rPr>
                        <w:t xml:space="preserve">Figure </w:t>
                      </w:r>
                      <w:r w:rsidRPr="00834149">
                        <w:rPr>
                          <w:rFonts w:cs="Times New Roman"/>
                          <w:sz w:val="20"/>
                          <w:szCs w:val="20"/>
                        </w:rPr>
                        <w:fldChar w:fldCharType="begin"/>
                      </w:r>
                      <w:r w:rsidRPr="00834149">
                        <w:rPr>
                          <w:rFonts w:cs="Times New Roman"/>
                          <w:sz w:val="20"/>
                          <w:szCs w:val="20"/>
                        </w:rPr>
                        <w:instrText xml:space="preserve"> SEQ Figure \* ARABIC </w:instrText>
                      </w:r>
                      <w:r w:rsidRPr="00834149">
                        <w:rPr>
                          <w:rFonts w:cs="Times New Roman"/>
                          <w:sz w:val="20"/>
                          <w:szCs w:val="20"/>
                        </w:rPr>
                        <w:fldChar w:fldCharType="separate"/>
                      </w:r>
                      <w:r>
                        <w:rPr>
                          <w:rFonts w:cs="Times New Roman"/>
                          <w:noProof/>
                          <w:sz w:val="20"/>
                          <w:szCs w:val="20"/>
                        </w:rPr>
                        <w:t>2</w:t>
                      </w:r>
                      <w:r w:rsidRPr="00834149">
                        <w:rPr>
                          <w:rFonts w:cs="Times New Roman"/>
                          <w:sz w:val="20"/>
                          <w:szCs w:val="20"/>
                        </w:rPr>
                        <w:fldChar w:fldCharType="end"/>
                      </w:r>
                      <w:r w:rsidRPr="00834149">
                        <w:rPr>
                          <w:rFonts w:cs="Times New Roman"/>
                          <w:caps w:val="0"/>
                          <w:sz w:val="20"/>
                          <w:szCs w:val="20"/>
                        </w:rPr>
                        <w:t>: Growth Rate and Real GDP per Capita</w:t>
                      </w:r>
                      <w:bookmarkEnd w:id="10"/>
                    </w:p>
                    <w:p w14:paraId="2408E82F" w14:textId="77777777" w:rsidR="000D6ABB" w:rsidRDefault="000D6ABB" w:rsidP="00816E21">
                      <w:pPr>
                        <w:pStyle w:val="NoSpacing"/>
                      </w:pPr>
                      <w:r>
                        <w:rPr>
                          <w:noProof/>
                        </w:rPr>
                        <w:drawing>
                          <wp:inline distT="0" distB="0" distL="0" distR="0" wp14:anchorId="1EFCDADE" wp14:editId="65652B3F">
                            <wp:extent cx="4333875" cy="2120900"/>
                            <wp:effectExtent l="0" t="0" r="9525" b="1270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C0091A" w14:textId="6CCA35AB" w:rsidR="000D6ABB" w:rsidRPr="00A455B3" w:rsidRDefault="000D6ABB" w:rsidP="00816E21">
                      <w:pPr>
                        <w:pStyle w:val="NoSpacing"/>
                        <w:rPr>
                          <w:sz w:val="18"/>
                          <w:szCs w:val="18"/>
                        </w:rPr>
                      </w:pPr>
                      <w:r w:rsidRPr="00A455B3">
                        <w:rPr>
                          <w:i/>
                          <w:sz w:val="18"/>
                          <w:szCs w:val="18"/>
                        </w:rPr>
                        <w:t>Source</w:t>
                      </w:r>
                      <w:r w:rsidRPr="00A455B3">
                        <w:rPr>
                          <w:sz w:val="18"/>
                          <w:szCs w:val="18"/>
                        </w:rPr>
                        <w:t xml:space="preserve">: WDI, World Bank. </w:t>
                      </w:r>
                    </w:p>
                  </w:txbxContent>
                </v:textbox>
                <w10:wrap type="tight" anchorx="margin" anchory="margin"/>
              </v:shape>
            </w:pict>
          </mc:Fallback>
        </mc:AlternateContent>
      </w:r>
    </w:p>
    <w:p w14:paraId="08B94165" w14:textId="77777777" w:rsidR="00816E21" w:rsidRDefault="00816E21" w:rsidP="007F572A">
      <w:pPr>
        <w:pStyle w:val="ListParagraph"/>
        <w:autoSpaceDE w:val="0"/>
        <w:autoSpaceDN w:val="0"/>
        <w:adjustRightInd w:val="0"/>
        <w:ind w:left="0"/>
        <w:jc w:val="both"/>
        <w:rPr>
          <w:rFonts w:ascii="Times New Roman" w:hAnsi="Times New Roman" w:cs="Times New Roman"/>
        </w:rPr>
      </w:pPr>
    </w:p>
    <w:p w14:paraId="460E6B99" w14:textId="77777777" w:rsidR="00816E21" w:rsidRDefault="00816E21" w:rsidP="007F572A">
      <w:pPr>
        <w:pStyle w:val="ListParagraph"/>
        <w:autoSpaceDE w:val="0"/>
        <w:autoSpaceDN w:val="0"/>
        <w:adjustRightInd w:val="0"/>
        <w:ind w:left="0"/>
        <w:jc w:val="both"/>
        <w:rPr>
          <w:rFonts w:ascii="Times New Roman" w:hAnsi="Times New Roman" w:cs="Times New Roman"/>
        </w:rPr>
      </w:pPr>
    </w:p>
    <w:p w14:paraId="3242B75B" w14:textId="77777777" w:rsidR="00816E21" w:rsidRDefault="00816E21" w:rsidP="007F572A">
      <w:pPr>
        <w:pStyle w:val="ListParagraph"/>
        <w:autoSpaceDE w:val="0"/>
        <w:autoSpaceDN w:val="0"/>
        <w:adjustRightInd w:val="0"/>
        <w:ind w:left="0"/>
        <w:jc w:val="both"/>
        <w:rPr>
          <w:rFonts w:ascii="Times New Roman" w:hAnsi="Times New Roman" w:cs="Times New Roman"/>
        </w:rPr>
      </w:pPr>
    </w:p>
    <w:p w14:paraId="4480F1AE" w14:textId="77777777" w:rsidR="00816E21" w:rsidRDefault="00816E21" w:rsidP="007F572A">
      <w:pPr>
        <w:pStyle w:val="ListParagraph"/>
        <w:autoSpaceDE w:val="0"/>
        <w:autoSpaceDN w:val="0"/>
        <w:adjustRightInd w:val="0"/>
        <w:ind w:left="0"/>
        <w:jc w:val="both"/>
        <w:rPr>
          <w:rFonts w:ascii="Times New Roman" w:hAnsi="Times New Roman" w:cs="Times New Roman"/>
        </w:rPr>
      </w:pPr>
    </w:p>
    <w:p w14:paraId="21C46EF6" w14:textId="77777777" w:rsidR="00816E21" w:rsidRDefault="00816E21" w:rsidP="007F572A">
      <w:pPr>
        <w:pStyle w:val="ListParagraph"/>
        <w:autoSpaceDE w:val="0"/>
        <w:autoSpaceDN w:val="0"/>
        <w:adjustRightInd w:val="0"/>
        <w:ind w:left="0"/>
        <w:jc w:val="both"/>
        <w:rPr>
          <w:rFonts w:ascii="Times New Roman" w:hAnsi="Times New Roman" w:cs="Times New Roman"/>
        </w:rPr>
      </w:pPr>
    </w:p>
    <w:p w14:paraId="07E1A98A" w14:textId="77777777" w:rsidR="00816E21" w:rsidRDefault="00816E21" w:rsidP="007F572A">
      <w:pPr>
        <w:pStyle w:val="ListParagraph"/>
        <w:autoSpaceDE w:val="0"/>
        <w:autoSpaceDN w:val="0"/>
        <w:adjustRightInd w:val="0"/>
        <w:ind w:left="0"/>
        <w:jc w:val="both"/>
        <w:rPr>
          <w:rFonts w:ascii="Times New Roman" w:hAnsi="Times New Roman" w:cs="Times New Roman"/>
        </w:rPr>
      </w:pPr>
    </w:p>
    <w:p w14:paraId="7731C242" w14:textId="77777777" w:rsidR="00816E21" w:rsidRDefault="00816E21" w:rsidP="007F572A">
      <w:pPr>
        <w:pStyle w:val="ListParagraph"/>
        <w:autoSpaceDE w:val="0"/>
        <w:autoSpaceDN w:val="0"/>
        <w:adjustRightInd w:val="0"/>
        <w:ind w:left="0"/>
        <w:jc w:val="both"/>
        <w:rPr>
          <w:rFonts w:ascii="Times New Roman" w:hAnsi="Times New Roman" w:cs="Times New Roman"/>
        </w:rPr>
      </w:pPr>
    </w:p>
    <w:p w14:paraId="4AF667D8" w14:textId="77777777" w:rsidR="00816E21" w:rsidRDefault="00816E21" w:rsidP="007F572A">
      <w:pPr>
        <w:pStyle w:val="ListParagraph"/>
        <w:autoSpaceDE w:val="0"/>
        <w:autoSpaceDN w:val="0"/>
        <w:adjustRightInd w:val="0"/>
        <w:ind w:left="0"/>
        <w:jc w:val="both"/>
        <w:rPr>
          <w:rFonts w:ascii="Times New Roman" w:hAnsi="Times New Roman" w:cs="Times New Roman"/>
        </w:rPr>
      </w:pPr>
    </w:p>
    <w:p w14:paraId="69FAABB3" w14:textId="77777777" w:rsidR="00816E21" w:rsidRDefault="00816E21" w:rsidP="007F572A">
      <w:pPr>
        <w:pStyle w:val="ListParagraph"/>
        <w:autoSpaceDE w:val="0"/>
        <w:autoSpaceDN w:val="0"/>
        <w:adjustRightInd w:val="0"/>
        <w:ind w:left="0"/>
        <w:jc w:val="both"/>
        <w:rPr>
          <w:rFonts w:ascii="Times New Roman" w:hAnsi="Times New Roman" w:cs="Times New Roman"/>
        </w:rPr>
      </w:pPr>
    </w:p>
    <w:p w14:paraId="5099D0E3" w14:textId="77777777" w:rsidR="00816E21" w:rsidRDefault="00816E21" w:rsidP="007F572A">
      <w:pPr>
        <w:pStyle w:val="ListParagraph"/>
        <w:autoSpaceDE w:val="0"/>
        <w:autoSpaceDN w:val="0"/>
        <w:adjustRightInd w:val="0"/>
        <w:ind w:left="0"/>
        <w:jc w:val="both"/>
        <w:rPr>
          <w:rFonts w:ascii="Times New Roman" w:hAnsi="Times New Roman" w:cs="Times New Roman"/>
        </w:rPr>
      </w:pPr>
    </w:p>
    <w:p w14:paraId="37EF6CA8" w14:textId="77777777" w:rsidR="00816E21" w:rsidRDefault="00816E21" w:rsidP="007F572A">
      <w:pPr>
        <w:pStyle w:val="ListParagraph"/>
        <w:autoSpaceDE w:val="0"/>
        <w:autoSpaceDN w:val="0"/>
        <w:adjustRightInd w:val="0"/>
        <w:ind w:left="0"/>
        <w:jc w:val="both"/>
        <w:rPr>
          <w:rFonts w:ascii="Times New Roman" w:hAnsi="Times New Roman" w:cs="Times New Roman"/>
        </w:rPr>
      </w:pPr>
    </w:p>
    <w:p w14:paraId="77283ADA" w14:textId="77777777" w:rsidR="00816E21" w:rsidRDefault="00816E21" w:rsidP="007F572A">
      <w:pPr>
        <w:pStyle w:val="ListParagraph"/>
        <w:autoSpaceDE w:val="0"/>
        <w:autoSpaceDN w:val="0"/>
        <w:adjustRightInd w:val="0"/>
        <w:ind w:left="0"/>
        <w:jc w:val="both"/>
        <w:rPr>
          <w:rFonts w:ascii="Times New Roman" w:hAnsi="Times New Roman" w:cs="Times New Roman"/>
        </w:rPr>
      </w:pPr>
    </w:p>
    <w:p w14:paraId="5D66A485" w14:textId="77777777" w:rsidR="00816E21" w:rsidRDefault="00816E21" w:rsidP="007F572A">
      <w:pPr>
        <w:pStyle w:val="ListParagraph"/>
        <w:autoSpaceDE w:val="0"/>
        <w:autoSpaceDN w:val="0"/>
        <w:adjustRightInd w:val="0"/>
        <w:ind w:left="0"/>
        <w:jc w:val="both"/>
        <w:rPr>
          <w:rFonts w:ascii="Times New Roman" w:hAnsi="Times New Roman" w:cs="Times New Roman"/>
        </w:rPr>
      </w:pPr>
    </w:p>
    <w:p w14:paraId="77870529" w14:textId="77777777" w:rsidR="00816E21" w:rsidRDefault="00816E21" w:rsidP="007F572A">
      <w:pPr>
        <w:pStyle w:val="ListParagraph"/>
        <w:autoSpaceDE w:val="0"/>
        <w:autoSpaceDN w:val="0"/>
        <w:adjustRightInd w:val="0"/>
        <w:ind w:left="0"/>
        <w:jc w:val="both"/>
        <w:rPr>
          <w:rFonts w:ascii="Times New Roman" w:hAnsi="Times New Roman" w:cs="Times New Roman"/>
        </w:rPr>
      </w:pPr>
    </w:p>
    <w:p w14:paraId="42C56D8E" w14:textId="1842AE4A" w:rsidR="001B001A" w:rsidRPr="00834149" w:rsidRDefault="001B001A" w:rsidP="00FA0BB4">
      <w:pPr>
        <w:pStyle w:val="ListParagraph"/>
        <w:numPr>
          <w:ilvl w:val="0"/>
          <w:numId w:val="2"/>
        </w:numPr>
        <w:autoSpaceDE w:val="0"/>
        <w:autoSpaceDN w:val="0"/>
        <w:adjustRightInd w:val="0"/>
        <w:ind w:left="0" w:firstLine="0"/>
        <w:jc w:val="both"/>
        <w:rPr>
          <w:rFonts w:cs="Times New Roman"/>
        </w:rPr>
      </w:pPr>
      <w:r w:rsidRPr="00834149">
        <w:rPr>
          <w:rFonts w:cs="Times New Roman"/>
          <w:b/>
        </w:rPr>
        <w:t>Poor people in Togo are more likely to be living in rural areas, working primarily in agriculture, and relatively isolated from markets and services</w:t>
      </w:r>
      <w:r w:rsidRPr="00834149">
        <w:rPr>
          <w:rFonts w:cs="Times New Roman"/>
        </w:rPr>
        <w:t>. Just over three-quarters (77 percent) of poor people live in rural areas, which have a higher incidence of poverty (68.7 percent) compared to Lomé (34.8 percent) and other urban areas (37.9 percent). Poverty generally increases as one moves away from the wealthier coastal Maritime region and north to the regions of Plateaux and Kara, then (south again) to Centrale, and finally to the driest region, Savanes, which borders Burkina Faso. Poverty rates for households with a young household head aged 15</w:t>
      </w:r>
      <w:r w:rsidR="003363EF" w:rsidRPr="00834149">
        <w:rPr>
          <w:rFonts w:cs="Times New Roman"/>
        </w:rPr>
        <w:t>-</w:t>
      </w:r>
      <w:r w:rsidRPr="00834149">
        <w:rPr>
          <w:rFonts w:cs="Times New Roman"/>
        </w:rPr>
        <w:t xml:space="preserve">29 have risen since 2011. Households with a more educated household head have higher consumption levels, while larger households, those in which a spouse of the household head has completed only primary education, </w:t>
      </w:r>
      <w:r w:rsidR="00087213" w:rsidRPr="00834149">
        <w:rPr>
          <w:rFonts w:cs="Times New Roman"/>
        </w:rPr>
        <w:t xml:space="preserve">and </w:t>
      </w:r>
      <w:r w:rsidRPr="00834149">
        <w:rPr>
          <w:rFonts w:cs="Times New Roman"/>
        </w:rPr>
        <w:t>those with monogamous marriages (rather than polygamous marriages or widowed) are more likely to be poor.</w:t>
      </w:r>
      <w:r w:rsidR="009A0A16" w:rsidRPr="00834149">
        <w:rPr>
          <w:rFonts w:cs="Times New Roman"/>
        </w:rPr>
        <w:t xml:space="preserve"> </w:t>
      </w:r>
      <w:r w:rsidR="00EE4DA4" w:rsidRPr="00834149">
        <w:rPr>
          <w:rFonts w:cs="Times New Roman"/>
          <w:bCs/>
        </w:rPr>
        <w:t xml:space="preserve">Poor people are </w:t>
      </w:r>
      <w:r w:rsidR="00087213" w:rsidRPr="00834149">
        <w:rPr>
          <w:rFonts w:cs="Times New Roman"/>
          <w:bCs/>
        </w:rPr>
        <w:t xml:space="preserve">more </w:t>
      </w:r>
      <w:r w:rsidR="00EE4DA4" w:rsidRPr="00834149">
        <w:rPr>
          <w:rFonts w:cs="Times New Roman"/>
          <w:bCs/>
        </w:rPr>
        <w:t>likely to be excluded from the formal financial sector, making it more difficult for them to smooth income shocks.</w:t>
      </w:r>
    </w:p>
    <w:p w14:paraId="7173E352" w14:textId="77777777" w:rsidR="00EE4DA4" w:rsidRPr="00834149" w:rsidRDefault="00EE4DA4" w:rsidP="00EE4DA4">
      <w:pPr>
        <w:pStyle w:val="ListParagraph"/>
        <w:autoSpaceDE w:val="0"/>
        <w:autoSpaceDN w:val="0"/>
        <w:adjustRightInd w:val="0"/>
        <w:ind w:left="0"/>
        <w:jc w:val="both"/>
        <w:rPr>
          <w:rFonts w:cs="Times New Roman"/>
        </w:rPr>
      </w:pPr>
    </w:p>
    <w:p w14:paraId="0D9A500C" w14:textId="7465CB60" w:rsidR="00EE4DA4" w:rsidRPr="00834149" w:rsidRDefault="00EE4DA4" w:rsidP="00EE4DA4">
      <w:pPr>
        <w:pStyle w:val="ListParagraph"/>
        <w:numPr>
          <w:ilvl w:val="0"/>
          <w:numId w:val="2"/>
        </w:numPr>
        <w:autoSpaceDE w:val="0"/>
        <w:autoSpaceDN w:val="0"/>
        <w:adjustRightInd w:val="0"/>
        <w:ind w:left="0" w:firstLine="0"/>
        <w:jc w:val="both"/>
        <w:rPr>
          <w:rFonts w:cs="Times New Roman"/>
        </w:rPr>
      </w:pPr>
      <w:r w:rsidRPr="00834149">
        <w:rPr>
          <w:rFonts w:cs="Times New Roman"/>
          <w:b/>
        </w:rPr>
        <w:t>Women are more likely to be living in poverty than men</w:t>
      </w:r>
      <w:r w:rsidRPr="00834149">
        <w:rPr>
          <w:rFonts w:cs="Times New Roman"/>
        </w:rPr>
        <w:t xml:space="preserve">. On average, female-headed households have a higher rate of poverty (57.5 percent) than male-headed households (54.6 percent). Female-headed households in rural areas are also more likely to be poor. Cultural and legal obstacles </w:t>
      </w:r>
      <w:r w:rsidR="00C61B0C" w:rsidRPr="00834149">
        <w:rPr>
          <w:rFonts w:cs="Times New Roman"/>
        </w:rPr>
        <w:t>hamper access to opportunities for</w:t>
      </w:r>
      <w:r w:rsidRPr="00834149">
        <w:rPr>
          <w:rFonts w:cs="Times New Roman"/>
        </w:rPr>
        <w:t xml:space="preserve"> women and girls, particularly with regard to attending secondary school, earning incomes equal to those of men in the labor market, accessing inputs when working as small entrepreneurs, and enjoying secure land tenure in rural areas. </w:t>
      </w:r>
      <w:r w:rsidR="00C61B0C" w:rsidRPr="00834149">
        <w:rPr>
          <w:rFonts w:cs="Times New Roman"/>
        </w:rPr>
        <w:t>O</w:t>
      </w:r>
      <w:r w:rsidRPr="00834149">
        <w:rPr>
          <w:rFonts w:cs="Times New Roman"/>
        </w:rPr>
        <w:t xml:space="preserve">nly 15 percent of Togolese women </w:t>
      </w:r>
      <w:r w:rsidR="00C61B0C" w:rsidRPr="00834149">
        <w:rPr>
          <w:rFonts w:cs="Times New Roman"/>
        </w:rPr>
        <w:t xml:space="preserve">have </w:t>
      </w:r>
      <w:r w:rsidRPr="00834149">
        <w:rPr>
          <w:rFonts w:cs="Times New Roman"/>
        </w:rPr>
        <w:t xml:space="preserve">access to a bank account. </w:t>
      </w:r>
      <w:r w:rsidR="00C61B0C" w:rsidRPr="00834149">
        <w:rPr>
          <w:rFonts w:cs="Times New Roman"/>
        </w:rPr>
        <w:t xml:space="preserve">Stakeholder </w:t>
      </w:r>
      <w:r w:rsidRPr="00834149">
        <w:rPr>
          <w:rFonts w:cs="Times New Roman"/>
        </w:rPr>
        <w:t xml:space="preserve">consultations </w:t>
      </w:r>
      <w:r w:rsidR="00C61B0C" w:rsidRPr="00834149">
        <w:rPr>
          <w:rFonts w:cs="Times New Roman"/>
        </w:rPr>
        <w:t xml:space="preserve">undertaken for the CPF </w:t>
      </w:r>
      <w:r w:rsidRPr="00834149">
        <w:rPr>
          <w:rFonts w:cs="Times New Roman"/>
        </w:rPr>
        <w:t>raised additional obstacles</w:t>
      </w:r>
      <w:r w:rsidR="00C61B0C" w:rsidRPr="00834149">
        <w:rPr>
          <w:rFonts w:cs="Times New Roman"/>
        </w:rPr>
        <w:t xml:space="preserve"> for women and girls</w:t>
      </w:r>
      <w:r w:rsidRPr="00834149">
        <w:rPr>
          <w:rFonts w:cs="Times New Roman"/>
        </w:rPr>
        <w:t xml:space="preserve">, including a high rate of illiteracy (estimated at 49 percent for women in 2015), a </w:t>
      </w:r>
      <w:r w:rsidR="00B23DCE" w:rsidRPr="00834149">
        <w:rPr>
          <w:rFonts w:cs="Times New Roman"/>
        </w:rPr>
        <w:t>higher dropout rate for girls in</w:t>
      </w:r>
      <w:r w:rsidRPr="00834149">
        <w:rPr>
          <w:rFonts w:cs="Times New Roman"/>
        </w:rPr>
        <w:t xml:space="preserve"> secondary school, the lack of services to promote women’s economic participation (such as formal affordable child care services, transport and energy services, and more flexible training and employment offerings for mothers), tax policies that penalize married women with children, and cultural biases that encourage women </w:t>
      </w:r>
      <w:r w:rsidR="00C61B0C" w:rsidRPr="00834149">
        <w:rPr>
          <w:rFonts w:cs="Times New Roman"/>
        </w:rPr>
        <w:t xml:space="preserve">to participate in </w:t>
      </w:r>
      <w:r w:rsidRPr="00834149">
        <w:rPr>
          <w:rFonts w:cs="Times New Roman"/>
        </w:rPr>
        <w:t>less productive enterprises.</w:t>
      </w:r>
    </w:p>
    <w:p w14:paraId="0E333C64" w14:textId="77777777" w:rsidR="00BF4F00" w:rsidRPr="00834149" w:rsidRDefault="00BF4F00" w:rsidP="00C97360">
      <w:pPr>
        <w:pStyle w:val="ListParagraph"/>
        <w:autoSpaceDE w:val="0"/>
        <w:autoSpaceDN w:val="0"/>
        <w:adjustRightInd w:val="0"/>
        <w:ind w:left="0"/>
        <w:jc w:val="both"/>
        <w:rPr>
          <w:rFonts w:cs="Times New Roman"/>
        </w:rPr>
      </w:pPr>
    </w:p>
    <w:p w14:paraId="31926938" w14:textId="2C104568" w:rsidR="00EE4DA4" w:rsidRPr="00834149" w:rsidRDefault="00EE4DA4" w:rsidP="00D54B57">
      <w:pPr>
        <w:pStyle w:val="ListParagraph"/>
        <w:numPr>
          <w:ilvl w:val="0"/>
          <w:numId w:val="2"/>
        </w:numPr>
        <w:autoSpaceDE w:val="0"/>
        <w:autoSpaceDN w:val="0"/>
        <w:adjustRightInd w:val="0"/>
        <w:ind w:left="0" w:firstLine="0"/>
        <w:jc w:val="both"/>
        <w:rPr>
          <w:rFonts w:cs="Times New Roman"/>
        </w:rPr>
      </w:pPr>
      <w:r w:rsidRPr="00834149">
        <w:rPr>
          <w:rFonts w:cs="Times New Roman"/>
          <w:b/>
          <w:bCs/>
          <w:color w:val="000000"/>
        </w:rPr>
        <w:t>Togo’s non</w:t>
      </w:r>
      <w:r w:rsidR="00BF4F00" w:rsidRPr="00834149">
        <w:rPr>
          <w:rFonts w:cs="Times New Roman"/>
          <w:b/>
          <w:bCs/>
          <w:color w:val="000000"/>
        </w:rPr>
        <w:t>-</w:t>
      </w:r>
      <w:r w:rsidRPr="00834149">
        <w:rPr>
          <w:rFonts w:cs="Times New Roman"/>
          <w:b/>
          <w:bCs/>
          <w:color w:val="000000"/>
        </w:rPr>
        <w:t>poor population remains vulnerable to a variety of adverse shocks, including economic downturns, natural disasters, normal weather variability, and illness</w:t>
      </w:r>
      <w:r w:rsidRPr="00834149">
        <w:rPr>
          <w:rFonts w:cs="Times New Roman"/>
          <w:bCs/>
          <w:color w:val="000000"/>
        </w:rPr>
        <w:t>.</w:t>
      </w:r>
      <w:r w:rsidRPr="00834149">
        <w:rPr>
          <w:rFonts w:cs="Times New Roman"/>
          <w:b/>
          <w:bCs/>
          <w:color w:val="000000"/>
        </w:rPr>
        <w:t xml:space="preserve"> </w:t>
      </w:r>
      <w:r w:rsidRPr="00834149">
        <w:rPr>
          <w:rFonts w:cs="Times New Roman"/>
        </w:rPr>
        <w:t xml:space="preserve">In 2011, over 50 percent of households in the bottom three quintiles of the consumption distribution claimed that drought or badly timed rainfall </w:t>
      </w:r>
      <w:r w:rsidR="003A1651" w:rsidRPr="00834149">
        <w:rPr>
          <w:rFonts w:cs="Times New Roman"/>
        </w:rPr>
        <w:t xml:space="preserve">had </w:t>
      </w:r>
      <w:r w:rsidRPr="00834149">
        <w:rPr>
          <w:rFonts w:cs="Times New Roman"/>
        </w:rPr>
        <w:t>adversely affected them in the previous year. Households also report</w:t>
      </w:r>
      <w:r w:rsidR="003A1651" w:rsidRPr="00834149">
        <w:rPr>
          <w:rFonts w:cs="Times New Roman"/>
        </w:rPr>
        <w:t>ed</w:t>
      </w:r>
      <w:r w:rsidRPr="00834149">
        <w:rPr>
          <w:rFonts w:cs="Times New Roman"/>
        </w:rPr>
        <w:t xml:space="preserve"> experiencing adverse price movements, crop and animal disease, floods, and illness of a household member in significant percentages. Soil degradation, high input prices, and weather shocks were reportedly more pronounced </w:t>
      </w:r>
      <w:r w:rsidR="003A1651" w:rsidRPr="00834149">
        <w:rPr>
          <w:rFonts w:cs="Times New Roman"/>
        </w:rPr>
        <w:t>among</w:t>
      </w:r>
      <w:r w:rsidRPr="00834149">
        <w:rPr>
          <w:rFonts w:cs="Times New Roman"/>
        </w:rPr>
        <w:t xml:space="preserve"> poor people. Given such risks, approximately 22 percent of the population was </w:t>
      </w:r>
      <w:r w:rsidRPr="00834149">
        <w:rPr>
          <w:rFonts w:cs="Times New Roman"/>
        </w:rPr>
        <w:lastRenderedPageBreak/>
        <w:t>recently estimated to have fallen into poverty as a result of temporary adverse shocks, and another 20 percent of the population was determined to be non</w:t>
      </w:r>
      <w:r w:rsidR="00BF4F00" w:rsidRPr="00834149">
        <w:rPr>
          <w:rFonts w:cs="Times New Roman"/>
        </w:rPr>
        <w:t>-</w:t>
      </w:r>
      <w:r w:rsidRPr="00834149">
        <w:rPr>
          <w:rFonts w:cs="Times New Roman"/>
        </w:rPr>
        <w:t xml:space="preserve">poor but vulnerable to falling into poverty. In 2015, 10 percent of people consume only 20 percent more than the poverty line, and 70 percent of the population lives on under US$3.10 per day (2011 </w:t>
      </w:r>
      <w:r w:rsidR="00A455B3" w:rsidRPr="00D87B11">
        <w:rPr>
          <w:rFonts w:eastAsia="Times New Roman" w:cs="Times New Roman"/>
        </w:rPr>
        <w:t>Purchasing Power Parity</w:t>
      </w:r>
      <w:r w:rsidR="00180FCE">
        <w:rPr>
          <w:rFonts w:eastAsia="Times New Roman" w:cs="Times New Roman"/>
        </w:rPr>
        <w:t>,</w:t>
      </w:r>
      <w:r w:rsidR="00A455B3" w:rsidRPr="00A455B3">
        <w:rPr>
          <w:rFonts w:cs="Times New Roman"/>
        </w:rPr>
        <w:t xml:space="preserve"> </w:t>
      </w:r>
      <w:r w:rsidRPr="00834149">
        <w:rPr>
          <w:rFonts w:cs="Times New Roman"/>
        </w:rPr>
        <w:t>PPP).</w:t>
      </w:r>
    </w:p>
    <w:p w14:paraId="3A148C13" w14:textId="74E7613D" w:rsidR="00EE4DA4" w:rsidRPr="00834149" w:rsidRDefault="00EE4DA4" w:rsidP="00D54B57">
      <w:pPr>
        <w:pStyle w:val="Default"/>
        <w:rPr>
          <w:rFonts w:asciiTheme="minorHAnsi" w:hAnsiTheme="minorHAnsi"/>
          <w:sz w:val="22"/>
          <w:szCs w:val="22"/>
        </w:rPr>
      </w:pPr>
    </w:p>
    <w:p w14:paraId="64517A57" w14:textId="00DB16A5" w:rsidR="00C65DCD" w:rsidRPr="00834149" w:rsidRDefault="00C65DCD" w:rsidP="00D54B57">
      <w:pPr>
        <w:pStyle w:val="Heading2"/>
        <w:spacing w:before="0"/>
        <w:jc w:val="both"/>
        <w:rPr>
          <w:rFonts w:asciiTheme="minorHAnsi" w:hAnsiTheme="minorHAnsi" w:cs="Times New Roman"/>
          <w:sz w:val="22"/>
          <w:szCs w:val="22"/>
        </w:rPr>
      </w:pPr>
      <w:bookmarkStart w:id="11" w:name="_Toc468803949"/>
      <w:bookmarkStart w:id="12" w:name="_Toc480207633"/>
      <w:r w:rsidRPr="00834149">
        <w:rPr>
          <w:rFonts w:asciiTheme="minorHAnsi" w:hAnsiTheme="minorHAnsi" w:cs="Times New Roman"/>
          <w:sz w:val="22"/>
          <w:szCs w:val="22"/>
        </w:rPr>
        <w:t>2.4 Challenges to Poverty Reduction</w:t>
      </w:r>
      <w:bookmarkEnd w:id="11"/>
      <w:r w:rsidR="00B056E9" w:rsidRPr="00834149">
        <w:rPr>
          <w:rFonts w:asciiTheme="minorHAnsi" w:hAnsiTheme="minorHAnsi" w:cs="Times New Roman"/>
          <w:sz w:val="22"/>
          <w:szCs w:val="22"/>
        </w:rPr>
        <w:t xml:space="preserve"> and Shared Prosperity</w:t>
      </w:r>
      <w:bookmarkEnd w:id="12"/>
    </w:p>
    <w:p w14:paraId="24CF4D46" w14:textId="77777777" w:rsidR="00C65DCD" w:rsidRPr="00834149" w:rsidRDefault="00C65DCD" w:rsidP="00D54B57">
      <w:pPr>
        <w:jc w:val="both"/>
        <w:rPr>
          <w:rFonts w:cs="Times New Roman"/>
        </w:rPr>
      </w:pPr>
    </w:p>
    <w:p w14:paraId="596213C3" w14:textId="76876417" w:rsidR="00EE4993" w:rsidRPr="00834149" w:rsidRDefault="00C65DCD" w:rsidP="00606B10">
      <w:pPr>
        <w:pStyle w:val="ListParagraph"/>
        <w:numPr>
          <w:ilvl w:val="0"/>
          <w:numId w:val="2"/>
        </w:numPr>
        <w:autoSpaceDE w:val="0"/>
        <w:autoSpaceDN w:val="0"/>
        <w:adjustRightInd w:val="0"/>
        <w:ind w:left="0" w:firstLine="0"/>
        <w:jc w:val="both"/>
        <w:rPr>
          <w:rFonts w:cs="Times New Roman"/>
        </w:rPr>
      </w:pPr>
      <w:r w:rsidRPr="00834149">
        <w:rPr>
          <w:rFonts w:cs="Times New Roman"/>
          <w:b/>
          <w:bCs/>
        </w:rPr>
        <w:t>The</w:t>
      </w:r>
      <w:r w:rsidRPr="00834149">
        <w:rPr>
          <w:rFonts w:cs="Times New Roman"/>
          <w:b/>
        </w:rPr>
        <w:t xml:space="preserve"> </w:t>
      </w:r>
      <w:r w:rsidR="006C5D51" w:rsidRPr="00834149">
        <w:rPr>
          <w:rFonts w:cs="Times New Roman"/>
          <w:b/>
        </w:rPr>
        <w:t>Systematic Country Diagnostic (</w:t>
      </w:r>
      <w:r w:rsidRPr="00834149">
        <w:rPr>
          <w:rFonts w:cs="Times New Roman"/>
          <w:b/>
        </w:rPr>
        <w:t>SCD</w:t>
      </w:r>
      <w:r w:rsidR="006C5D51" w:rsidRPr="00834149">
        <w:rPr>
          <w:rFonts w:cs="Times New Roman"/>
          <w:b/>
        </w:rPr>
        <w:t>)</w:t>
      </w:r>
      <w:r w:rsidRPr="00834149">
        <w:rPr>
          <w:rFonts w:cs="Times New Roman"/>
          <w:b/>
        </w:rPr>
        <w:t xml:space="preserve"> identifies </w:t>
      </w:r>
      <w:r w:rsidR="006C5D51" w:rsidRPr="00834149">
        <w:rPr>
          <w:rFonts w:cs="Times New Roman"/>
          <w:b/>
        </w:rPr>
        <w:t xml:space="preserve">weak governance as the fundamental </w:t>
      </w:r>
      <w:r w:rsidR="004A3E60" w:rsidRPr="00834149">
        <w:rPr>
          <w:rFonts w:cs="Times New Roman"/>
          <w:b/>
        </w:rPr>
        <w:t>barrier</w:t>
      </w:r>
      <w:r w:rsidR="006C5D51" w:rsidRPr="00834149">
        <w:rPr>
          <w:rFonts w:cs="Times New Roman"/>
          <w:b/>
        </w:rPr>
        <w:t xml:space="preserve"> to reducing poverty through inclusive growth</w:t>
      </w:r>
      <w:r w:rsidR="007C0EBF" w:rsidRPr="00834149">
        <w:rPr>
          <w:rFonts w:cs="Times New Roman"/>
          <w:b/>
        </w:rPr>
        <w:t xml:space="preserve"> in Togo</w:t>
      </w:r>
      <w:r w:rsidR="006C5D51" w:rsidRPr="00834149">
        <w:rPr>
          <w:rFonts w:cs="Times New Roman"/>
        </w:rPr>
        <w:t>.</w:t>
      </w:r>
      <w:r w:rsidR="006C5D51" w:rsidRPr="00834149">
        <w:rPr>
          <w:rFonts w:cs="Times New Roman"/>
          <w:b/>
        </w:rPr>
        <w:t xml:space="preserve"> </w:t>
      </w:r>
      <w:r w:rsidR="006C5D51" w:rsidRPr="00834149">
        <w:rPr>
          <w:rFonts w:cs="Times New Roman"/>
        </w:rPr>
        <w:t>According to the SCD,</w:t>
      </w:r>
      <w:r w:rsidR="006C5D51" w:rsidRPr="00834149">
        <w:rPr>
          <w:rFonts w:cs="Times New Roman"/>
          <w:b/>
        </w:rPr>
        <w:t xml:space="preserve"> </w:t>
      </w:r>
      <w:r w:rsidRPr="00834149">
        <w:rPr>
          <w:rFonts w:cs="Times New Roman"/>
        </w:rPr>
        <w:t xml:space="preserve">Togo’s centralized system of governance results in low levels of state capacity and weak incentives to formulate and implement policies that are favorable to poverty reduction. </w:t>
      </w:r>
      <w:r w:rsidR="007C0EBF" w:rsidRPr="00834149">
        <w:rPr>
          <w:rFonts w:cs="Times New Roman"/>
        </w:rPr>
        <w:t>C</w:t>
      </w:r>
      <w:r w:rsidR="00EE4993" w:rsidRPr="00834149">
        <w:rPr>
          <w:rFonts w:cs="Times New Roman"/>
        </w:rPr>
        <w:t xml:space="preserve">onflicts of interest and a lack of accountability to citizens have resulted in weak government effectiveness in formulating and implementing policies that enable private economic activity (including in agriculture), prioritize and deliver public goods and services, and ensure sound fiscal governance. </w:t>
      </w:r>
    </w:p>
    <w:p w14:paraId="6CD7DD04" w14:textId="47426679" w:rsidR="006C5D51" w:rsidRPr="00834149" w:rsidRDefault="006C5D51">
      <w:pPr>
        <w:pStyle w:val="ListParagraph"/>
        <w:autoSpaceDE w:val="0"/>
        <w:autoSpaceDN w:val="0"/>
        <w:adjustRightInd w:val="0"/>
        <w:ind w:left="0"/>
        <w:jc w:val="both"/>
        <w:rPr>
          <w:rFonts w:cs="Times New Roman"/>
        </w:rPr>
      </w:pPr>
    </w:p>
    <w:p w14:paraId="27037BF6" w14:textId="0CAC0AEE" w:rsidR="006F1B0E" w:rsidRPr="00834149" w:rsidRDefault="00C65DCD" w:rsidP="006F1B0E">
      <w:pPr>
        <w:pStyle w:val="ListParagraph"/>
        <w:numPr>
          <w:ilvl w:val="0"/>
          <w:numId w:val="2"/>
        </w:numPr>
        <w:autoSpaceDE w:val="0"/>
        <w:autoSpaceDN w:val="0"/>
        <w:adjustRightInd w:val="0"/>
        <w:ind w:left="0" w:firstLine="0"/>
        <w:jc w:val="both"/>
        <w:rPr>
          <w:rFonts w:cs="Times New Roman"/>
        </w:rPr>
      </w:pPr>
      <w:r w:rsidRPr="00834149">
        <w:rPr>
          <w:rFonts w:cs="Times New Roman"/>
          <w:b/>
          <w:bCs/>
        </w:rPr>
        <w:t>Despite</w:t>
      </w:r>
      <w:r w:rsidR="000776B3" w:rsidRPr="00834149">
        <w:rPr>
          <w:rFonts w:cs="Times New Roman"/>
        </w:rPr>
        <w:t xml:space="preserve"> </w:t>
      </w:r>
      <w:r w:rsidR="000776B3" w:rsidRPr="00834149">
        <w:rPr>
          <w:rFonts w:cs="Times New Roman"/>
          <w:b/>
        </w:rPr>
        <w:t>steady</w:t>
      </w:r>
      <w:r w:rsidRPr="00834149">
        <w:rPr>
          <w:rFonts w:cs="Times New Roman"/>
          <w:b/>
        </w:rPr>
        <w:t xml:space="preserve"> improvements since 2005, Togo</w:t>
      </w:r>
      <w:r w:rsidR="00EE4993" w:rsidRPr="00834149">
        <w:rPr>
          <w:rFonts w:cs="Times New Roman"/>
          <w:b/>
        </w:rPr>
        <w:t xml:space="preserve"> </w:t>
      </w:r>
      <w:r w:rsidRPr="00834149">
        <w:rPr>
          <w:rFonts w:cs="Times New Roman"/>
          <w:b/>
        </w:rPr>
        <w:t>rank</w:t>
      </w:r>
      <w:r w:rsidR="00EE4993" w:rsidRPr="00834149">
        <w:rPr>
          <w:rFonts w:cs="Times New Roman"/>
          <w:b/>
        </w:rPr>
        <w:t>ed low on the</w:t>
      </w:r>
      <w:r w:rsidRPr="00834149">
        <w:rPr>
          <w:rFonts w:cs="Times New Roman"/>
          <w:b/>
        </w:rPr>
        <w:t xml:space="preserve"> Worldwide Governance Indicators </w:t>
      </w:r>
      <w:r w:rsidR="003A1651" w:rsidRPr="00834149">
        <w:rPr>
          <w:rFonts w:cs="Times New Roman"/>
          <w:b/>
        </w:rPr>
        <w:t>in 2015</w:t>
      </w:r>
      <w:r w:rsidR="00EE4993" w:rsidRPr="00834149">
        <w:rPr>
          <w:rFonts w:cs="Times New Roman"/>
          <w:b/>
        </w:rPr>
        <w:t>,</w:t>
      </w:r>
      <w:r w:rsidRPr="00834149">
        <w:rPr>
          <w:rStyle w:val="FootnoteReference"/>
          <w:rFonts w:cs="Times New Roman"/>
          <w:b/>
        </w:rPr>
        <w:footnoteReference w:id="4"/>
      </w:r>
      <w:r w:rsidRPr="00834149">
        <w:rPr>
          <w:rFonts w:cs="Times New Roman"/>
          <w:b/>
        </w:rPr>
        <w:t xml:space="preserve"> </w:t>
      </w:r>
      <w:r w:rsidR="003A1651" w:rsidRPr="00834149">
        <w:rPr>
          <w:rFonts w:cs="Times New Roman"/>
          <w:b/>
        </w:rPr>
        <w:t>al</w:t>
      </w:r>
      <w:r w:rsidR="00EE4993" w:rsidRPr="00834149">
        <w:rPr>
          <w:rFonts w:cs="Times New Roman"/>
          <w:b/>
        </w:rPr>
        <w:t xml:space="preserve">though </w:t>
      </w:r>
      <w:r w:rsidR="003A1651" w:rsidRPr="00834149">
        <w:rPr>
          <w:rFonts w:cs="Times New Roman"/>
          <w:b/>
        </w:rPr>
        <w:t>it performed above</w:t>
      </w:r>
      <w:r w:rsidR="004E09AE" w:rsidRPr="00834149">
        <w:rPr>
          <w:rFonts w:cs="Times New Roman"/>
          <w:b/>
        </w:rPr>
        <w:t xml:space="preserve"> </w:t>
      </w:r>
      <w:r w:rsidR="00EE4993" w:rsidRPr="00834149">
        <w:rPr>
          <w:rFonts w:cs="Times New Roman"/>
          <w:b/>
        </w:rPr>
        <w:t>average for low</w:t>
      </w:r>
      <w:r w:rsidR="003A1651" w:rsidRPr="00834149">
        <w:rPr>
          <w:rFonts w:cs="Times New Roman"/>
          <w:b/>
        </w:rPr>
        <w:t>-</w:t>
      </w:r>
      <w:r w:rsidR="00EE4993" w:rsidRPr="00834149">
        <w:rPr>
          <w:rFonts w:cs="Times New Roman"/>
          <w:b/>
        </w:rPr>
        <w:t>income countries</w:t>
      </w:r>
      <w:r w:rsidR="004E09AE" w:rsidRPr="00834149">
        <w:rPr>
          <w:rFonts w:cs="Times New Roman"/>
          <w:b/>
        </w:rPr>
        <w:t>,</w:t>
      </w:r>
      <w:r w:rsidR="00EE4993" w:rsidRPr="00834149">
        <w:rPr>
          <w:rFonts w:cs="Times New Roman"/>
          <w:b/>
        </w:rPr>
        <w:t xml:space="preserve"> on all indicators except government effectiveness</w:t>
      </w:r>
      <w:r w:rsidR="00EE4993" w:rsidRPr="00834149">
        <w:rPr>
          <w:rFonts w:cs="Times New Roman"/>
        </w:rPr>
        <w:t>. Government effectiveness is defined as “the quality of public services, the civil service and degree of independence from political pressures, the quality of policy formulation and implementation, and the credibility of the government’s commitment to such policies.”</w:t>
      </w:r>
      <w:r w:rsidR="00F81302" w:rsidRPr="00834149">
        <w:rPr>
          <w:rStyle w:val="FootnoteReference"/>
          <w:rFonts w:cs="Times New Roman"/>
        </w:rPr>
        <w:footnoteReference w:id="5"/>
      </w:r>
      <w:r w:rsidR="00EE4993" w:rsidRPr="00834149">
        <w:rPr>
          <w:rFonts w:cs="Times New Roman"/>
        </w:rPr>
        <w:t xml:space="preserve"> In recent years, when Togo has made improvements in this indicator, as well as in control of corruption, growth has </w:t>
      </w:r>
      <w:r w:rsidR="00BC5E9F" w:rsidRPr="00834149">
        <w:rPr>
          <w:rFonts w:cs="Times New Roman"/>
        </w:rPr>
        <w:t>rebounded</w:t>
      </w:r>
      <w:r w:rsidR="00EE4993" w:rsidRPr="00834149">
        <w:rPr>
          <w:rFonts w:cs="Times New Roman"/>
        </w:rPr>
        <w:t xml:space="preserve"> in subsequent years. </w:t>
      </w:r>
      <w:r w:rsidR="00BC5E9F" w:rsidRPr="00834149">
        <w:rPr>
          <w:rFonts w:cs="Times New Roman"/>
        </w:rPr>
        <w:t>Recent s</w:t>
      </w:r>
      <w:r w:rsidR="006F1B0E" w:rsidRPr="00834149">
        <w:rPr>
          <w:rFonts w:cs="Times New Roman"/>
        </w:rPr>
        <w:t xml:space="preserve">teps taken to increase transparency include the publication of public procurement audits and the reestablishment of a national anticorruption commission. Some progress has been made to improve budget transparency and public administration. The </w:t>
      </w:r>
      <w:r w:rsidR="006F1B0E" w:rsidRPr="00834149">
        <w:rPr>
          <w:rFonts w:cs="Times New Roman"/>
          <w:i/>
          <w:iCs/>
        </w:rPr>
        <w:t xml:space="preserve">Office Togolaise des Recettes </w:t>
      </w:r>
      <w:r w:rsidR="006F1B0E" w:rsidRPr="00834149">
        <w:rPr>
          <w:rFonts w:cs="Times New Roman"/>
        </w:rPr>
        <w:t xml:space="preserve">(OTR) was established to alleviate corruption and complexity in tax administration. Indicators of democratic governance have improved, </w:t>
      </w:r>
      <w:r w:rsidR="00BC5E9F" w:rsidRPr="00834149">
        <w:rPr>
          <w:rFonts w:cs="Times New Roman"/>
        </w:rPr>
        <w:t xml:space="preserve">and Togo’s </w:t>
      </w:r>
      <w:r w:rsidR="006F1B0E" w:rsidRPr="00834149">
        <w:rPr>
          <w:rFonts w:cs="Times New Roman"/>
        </w:rPr>
        <w:t>ranking in the Economist Intelligence Unit’s Democracy Index improved from 164</w:t>
      </w:r>
      <w:r w:rsidR="00895C2B" w:rsidRPr="00834149">
        <w:rPr>
          <w:rFonts w:cs="Times New Roman"/>
          <w:vertAlign w:val="superscript"/>
        </w:rPr>
        <w:t>th</w:t>
      </w:r>
      <w:r w:rsidR="00895C2B" w:rsidRPr="00834149">
        <w:rPr>
          <w:rFonts w:cs="Times New Roman"/>
        </w:rPr>
        <w:t xml:space="preserve"> </w:t>
      </w:r>
      <w:r w:rsidR="006F1B0E" w:rsidRPr="00834149">
        <w:rPr>
          <w:rFonts w:cs="Times New Roman"/>
        </w:rPr>
        <w:t>out of 167 countries in 2006 to 130</w:t>
      </w:r>
      <w:r w:rsidR="00895C2B" w:rsidRPr="00834149">
        <w:rPr>
          <w:rFonts w:cs="Times New Roman"/>
          <w:vertAlign w:val="superscript"/>
        </w:rPr>
        <w:t>th</w:t>
      </w:r>
      <w:r w:rsidR="00895C2B" w:rsidRPr="00834149">
        <w:rPr>
          <w:rFonts w:cs="Times New Roman"/>
        </w:rPr>
        <w:t xml:space="preserve"> </w:t>
      </w:r>
      <w:r w:rsidR="006F1B0E" w:rsidRPr="00834149">
        <w:rPr>
          <w:rFonts w:cs="Times New Roman"/>
        </w:rPr>
        <w:t>in 2015. Togo was named a Top Reformer by Doing Business in 2015 for significant improvements on the cost of starting a business, registering property, protecting minority investors, and paying taxes, jumping from 164</w:t>
      </w:r>
      <w:r w:rsidR="00895C2B" w:rsidRPr="00834149">
        <w:rPr>
          <w:rFonts w:cs="Times New Roman"/>
          <w:vertAlign w:val="superscript"/>
        </w:rPr>
        <w:t>th</w:t>
      </w:r>
      <w:r w:rsidR="00895C2B" w:rsidRPr="00834149">
        <w:rPr>
          <w:rFonts w:cs="Times New Roman"/>
        </w:rPr>
        <w:t xml:space="preserve"> </w:t>
      </w:r>
      <w:r w:rsidR="006F1B0E" w:rsidRPr="00834149">
        <w:rPr>
          <w:rFonts w:cs="Times New Roman"/>
        </w:rPr>
        <w:t>in the</w:t>
      </w:r>
      <w:r w:rsidR="00895C2B" w:rsidRPr="00834149">
        <w:rPr>
          <w:rFonts w:cs="Times New Roman"/>
        </w:rPr>
        <w:t xml:space="preserve"> 2014</w:t>
      </w:r>
      <w:r w:rsidR="006F1B0E" w:rsidRPr="00834149">
        <w:rPr>
          <w:rFonts w:cs="Times New Roman"/>
        </w:rPr>
        <w:t xml:space="preserve"> rankings to 152</w:t>
      </w:r>
      <w:r w:rsidR="00895C2B" w:rsidRPr="00834149">
        <w:rPr>
          <w:rFonts w:cs="Times New Roman"/>
          <w:vertAlign w:val="superscript"/>
        </w:rPr>
        <w:t>nd</w:t>
      </w:r>
      <w:r w:rsidR="00895C2B" w:rsidRPr="00834149">
        <w:rPr>
          <w:rFonts w:cs="Times New Roman"/>
        </w:rPr>
        <w:t xml:space="preserve"> i</w:t>
      </w:r>
      <w:r w:rsidR="006F1B0E" w:rsidRPr="00834149">
        <w:rPr>
          <w:rFonts w:cs="Times New Roman"/>
        </w:rPr>
        <w:t>n 2015 and then to 15</w:t>
      </w:r>
      <w:r w:rsidR="00895C2B" w:rsidRPr="00834149">
        <w:rPr>
          <w:rFonts w:cs="Times New Roman"/>
        </w:rPr>
        <w:t>0</w:t>
      </w:r>
      <w:r w:rsidR="00895C2B" w:rsidRPr="00834149">
        <w:rPr>
          <w:rFonts w:cs="Times New Roman"/>
          <w:vertAlign w:val="superscript"/>
        </w:rPr>
        <w:t>th</w:t>
      </w:r>
      <w:r w:rsidR="00895C2B" w:rsidRPr="00834149">
        <w:rPr>
          <w:rFonts w:cs="Times New Roman"/>
        </w:rPr>
        <w:t xml:space="preserve"> out of 189 countries in 2016.</w:t>
      </w:r>
    </w:p>
    <w:p w14:paraId="32C7CDF5" w14:textId="788DA2BB" w:rsidR="0006184F" w:rsidRPr="00834149" w:rsidRDefault="0006184F">
      <w:pPr>
        <w:rPr>
          <w:rFonts w:cs="Times New Roman"/>
          <w:color w:val="000000"/>
        </w:rPr>
      </w:pPr>
    </w:p>
    <w:p w14:paraId="166B9121" w14:textId="7F9D9CDB" w:rsidR="007A50CF" w:rsidRPr="00834149" w:rsidRDefault="0076537E" w:rsidP="00606B10">
      <w:pPr>
        <w:pStyle w:val="ListParagraph"/>
        <w:numPr>
          <w:ilvl w:val="0"/>
          <w:numId w:val="2"/>
        </w:numPr>
        <w:autoSpaceDE w:val="0"/>
        <w:autoSpaceDN w:val="0"/>
        <w:adjustRightInd w:val="0"/>
        <w:ind w:left="0" w:firstLine="0"/>
        <w:jc w:val="both"/>
        <w:rPr>
          <w:rFonts w:cs="Times New Roman"/>
        </w:rPr>
      </w:pPr>
      <w:r w:rsidRPr="00834149">
        <w:rPr>
          <w:rFonts w:cs="Times New Roman"/>
          <w:b/>
        </w:rPr>
        <w:t>T</w:t>
      </w:r>
      <w:r w:rsidR="006F1B0E" w:rsidRPr="00834149">
        <w:rPr>
          <w:rFonts w:cs="Times New Roman"/>
          <w:b/>
          <w:bCs/>
        </w:rPr>
        <w:t>he scope and success of reform efforts have been limited</w:t>
      </w:r>
      <w:r w:rsidRPr="00834149">
        <w:rPr>
          <w:rFonts w:cs="Times New Roman"/>
          <w:b/>
          <w:bCs/>
        </w:rPr>
        <w:t>, however,</w:t>
      </w:r>
      <w:r w:rsidR="006F1B0E" w:rsidRPr="00834149">
        <w:rPr>
          <w:rFonts w:cs="Times New Roman"/>
          <w:b/>
          <w:bCs/>
        </w:rPr>
        <w:t xml:space="preserve"> by </w:t>
      </w:r>
      <w:r w:rsidR="00175AEE" w:rsidRPr="00834149">
        <w:rPr>
          <w:rFonts w:cs="Times New Roman"/>
          <w:b/>
          <w:bCs/>
        </w:rPr>
        <w:t>a highly centralized governance system and the</w:t>
      </w:r>
      <w:r w:rsidR="006F1B0E" w:rsidRPr="00834149">
        <w:rPr>
          <w:rFonts w:cs="Times New Roman"/>
          <w:b/>
          <w:bCs/>
        </w:rPr>
        <w:t xml:space="preserve"> lack of strong, independent institutions that </w:t>
      </w:r>
      <w:r w:rsidR="007A50CF" w:rsidRPr="00834149">
        <w:rPr>
          <w:rFonts w:cs="Times New Roman"/>
          <w:b/>
          <w:bCs/>
        </w:rPr>
        <w:t>c</w:t>
      </w:r>
      <w:r w:rsidR="00B44BE2" w:rsidRPr="00834149">
        <w:rPr>
          <w:rFonts w:cs="Times New Roman"/>
          <w:b/>
          <w:bCs/>
        </w:rPr>
        <w:t xml:space="preserve">ould </w:t>
      </w:r>
      <w:r w:rsidR="00175AEE" w:rsidRPr="00834149">
        <w:rPr>
          <w:rFonts w:cs="Times New Roman"/>
          <w:b/>
          <w:bCs/>
        </w:rPr>
        <w:t>ensure a more open and equitable distribution of resources</w:t>
      </w:r>
      <w:r w:rsidR="00BC5E9F" w:rsidRPr="00834149">
        <w:rPr>
          <w:rFonts w:cs="Times New Roman"/>
          <w:bCs/>
        </w:rPr>
        <w:t>.</w:t>
      </w:r>
      <w:r w:rsidR="006F1B0E" w:rsidRPr="00834149">
        <w:rPr>
          <w:rFonts w:cs="Times New Roman"/>
          <w:b/>
        </w:rPr>
        <w:t xml:space="preserve"> </w:t>
      </w:r>
      <w:r w:rsidR="00175AEE" w:rsidRPr="00834149">
        <w:rPr>
          <w:rFonts w:cs="Times New Roman"/>
        </w:rPr>
        <w:t xml:space="preserve">The highly centralized nature of Togo’s governance framework </w:t>
      </w:r>
      <w:r w:rsidR="007A50CF" w:rsidRPr="00834149">
        <w:rPr>
          <w:rFonts w:cs="Times New Roman"/>
        </w:rPr>
        <w:t>leads</w:t>
      </w:r>
      <w:r w:rsidR="00175AEE" w:rsidRPr="00834149">
        <w:rPr>
          <w:rFonts w:cs="Times New Roman"/>
        </w:rPr>
        <w:t xml:space="preserve"> to an inequality between those close to the power structure and those outside of it, and subsequently affects how resources are allocated among regions of the country. </w:t>
      </w:r>
      <w:r w:rsidR="006F1B0E" w:rsidRPr="00834149">
        <w:rPr>
          <w:rFonts w:cs="Times New Roman"/>
        </w:rPr>
        <w:t>Decision</w:t>
      </w:r>
      <w:r w:rsidR="00D159D8" w:rsidRPr="00834149">
        <w:rPr>
          <w:rFonts w:cs="Times New Roman"/>
        </w:rPr>
        <w:t>-</w:t>
      </w:r>
      <w:r w:rsidR="006F1B0E" w:rsidRPr="00834149">
        <w:rPr>
          <w:rFonts w:cs="Times New Roman"/>
        </w:rPr>
        <w:t>making remains highly centralized</w:t>
      </w:r>
      <w:r w:rsidR="00BC5E9F" w:rsidRPr="00834149">
        <w:rPr>
          <w:rFonts w:cs="Times New Roman"/>
        </w:rPr>
        <w:t>,</w:t>
      </w:r>
      <w:r w:rsidR="006F1B0E" w:rsidRPr="00834149">
        <w:rPr>
          <w:rFonts w:cs="Times New Roman"/>
        </w:rPr>
        <w:t xml:space="preserve"> and the decentralization agenda—which could introduce greater accountability and </w:t>
      </w:r>
      <w:r w:rsidR="00175AEE" w:rsidRPr="00834149">
        <w:rPr>
          <w:rFonts w:cs="Times New Roman"/>
        </w:rPr>
        <w:t>more equita</w:t>
      </w:r>
      <w:r w:rsidR="00D159D8" w:rsidRPr="00834149">
        <w:rPr>
          <w:rFonts w:cs="Times New Roman"/>
        </w:rPr>
        <w:t xml:space="preserve">ble allocation of resources and </w:t>
      </w:r>
      <w:r w:rsidR="006F1B0E" w:rsidRPr="00834149">
        <w:rPr>
          <w:rFonts w:cs="Times New Roman"/>
        </w:rPr>
        <w:t>service delivery at the regional and local level—</w:t>
      </w:r>
      <w:r w:rsidR="00175AEE" w:rsidRPr="00834149">
        <w:rPr>
          <w:rFonts w:cs="Times New Roman"/>
        </w:rPr>
        <w:t>has lagged</w:t>
      </w:r>
      <w:r w:rsidR="006F1B0E" w:rsidRPr="00834149">
        <w:rPr>
          <w:rFonts w:cs="Times New Roman"/>
        </w:rPr>
        <w:t>. Meanwhile, a</w:t>
      </w:r>
      <w:r w:rsidR="00C65DCD" w:rsidRPr="00834149">
        <w:rPr>
          <w:rFonts w:cs="Times New Roman"/>
        </w:rPr>
        <w:t xml:space="preserve"> variety of policies, regulations, and state interventions impede healthy competition</w:t>
      </w:r>
      <w:r w:rsidR="00F31478" w:rsidRPr="00834149">
        <w:rPr>
          <w:rFonts w:cs="Times New Roman"/>
        </w:rPr>
        <w:t>,</w:t>
      </w:r>
      <w:r w:rsidR="00880253" w:rsidRPr="00834149">
        <w:rPr>
          <w:rFonts w:cs="Times New Roman"/>
        </w:rPr>
        <w:t xml:space="preserve"> productivity</w:t>
      </w:r>
      <w:r w:rsidR="00BC5E9F" w:rsidRPr="00834149">
        <w:rPr>
          <w:rFonts w:cs="Times New Roman"/>
        </w:rPr>
        <w:t>,</w:t>
      </w:r>
      <w:r w:rsidR="00F31478" w:rsidRPr="00834149">
        <w:rPr>
          <w:rFonts w:cs="Times New Roman"/>
        </w:rPr>
        <w:t xml:space="preserve"> and job creation</w:t>
      </w:r>
      <w:r w:rsidR="00C65DCD" w:rsidRPr="00834149">
        <w:rPr>
          <w:rFonts w:cs="Times New Roman"/>
        </w:rPr>
        <w:t>.</w:t>
      </w:r>
      <w:r w:rsidR="00F23756" w:rsidRPr="00834149">
        <w:rPr>
          <w:rFonts w:cs="Times New Roman"/>
        </w:rPr>
        <w:t xml:space="preserve"> </w:t>
      </w:r>
      <w:r w:rsidR="00C65DCD" w:rsidRPr="00834149">
        <w:rPr>
          <w:rFonts w:cs="Times New Roman"/>
        </w:rPr>
        <w:t>A high level of state ownership</w:t>
      </w:r>
      <w:r w:rsidR="00F23756" w:rsidRPr="00834149">
        <w:rPr>
          <w:rFonts w:cs="Times New Roman"/>
        </w:rPr>
        <w:t xml:space="preserve"> in commercial enterprises, such as phosphates, telecommunications, banking</w:t>
      </w:r>
      <w:r w:rsidR="00BC5E9F" w:rsidRPr="00834149">
        <w:rPr>
          <w:rFonts w:cs="Times New Roman"/>
        </w:rPr>
        <w:t>,</w:t>
      </w:r>
      <w:r w:rsidR="00F23756" w:rsidRPr="00834149">
        <w:rPr>
          <w:rFonts w:cs="Times New Roman"/>
        </w:rPr>
        <w:t xml:space="preserve"> and cotton, </w:t>
      </w:r>
      <w:r w:rsidR="00BC5E9F" w:rsidRPr="00834149">
        <w:rPr>
          <w:rFonts w:cs="Times New Roman"/>
        </w:rPr>
        <w:t xml:space="preserve">together with </w:t>
      </w:r>
      <w:r w:rsidR="00F23756" w:rsidRPr="00834149">
        <w:rPr>
          <w:rFonts w:cs="Times New Roman"/>
        </w:rPr>
        <w:t>regulations that are more likely to favor them, create</w:t>
      </w:r>
      <w:r w:rsidR="000D6ABB">
        <w:rPr>
          <w:rFonts w:cs="Times New Roman"/>
        </w:rPr>
        <w:t>s</w:t>
      </w:r>
      <w:r w:rsidR="00F23756" w:rsidRPr="00834149">
        <w:rPr>
          <w:rFonts w:cs="Times New Roman"/>
        </w:rPr>
        <w:t xml:space="preserve"> an uneven playing field for private actors. </w:t>
      </w:r>
    </w:p>
    <w:p w14:paraId="4547B138" w14:textId="77777777" w:rsidR="007A50CF" w:rsidRPr="00834149" w:rsidRDefault="007A50CF" w:rsidP="00C97360">
      <w:pPr>
        <w:pStyle w:val="ListParagraph"/>
        <w:autoSpaceDE w:val="0"/>
        <w:autoSpaceDN w:val="0"/>
        <w:adjustRightInd w:val="0"/>
        <w:ind w:left="0"/>
        <w:jc w:val="both"/>
        <w:rPr>
          <w:rFonts w:cs="Times New Roman"/>
        </w:rPr>
      </w:pPr>
    </w:p>
    <w:p w14:paraId="1D0C0A3D" w14:textId="3C8EFFA3" w:rsidR="000776B3" w:rsidRPr="00834149" w:rsidRDefault="00F23756" w:rsidP="00592284">
      <w:pPr>
        <w:pStyle w:val="ListParagraph"/>
        <w:numPr>
          <w:ilvl w:val="0"/>
          <w:numId w:val="2"/>
        </w:numPr>
        <w:autoSpaceDE w:val="0"/>
        <w:autoSpaceDN w:val="0"/>
        <w:adjustRightInd w:val="0"/>
        <w:ind w:left="0" w:firstLine="0"/>
        <w:jc w:val="both"/>
        <w:rPr>
          <w:rFonts w:cs="Times New Roman"/>
        </w:rPr>
      </w:pPr>
      <w:r w:rsidRPr="00834149">
        <w:rPr>
          <w:rFonts w:cs="Times New Roman"/>
          <w:b/>
        </w:rPr>
        <w:lastRenderedPageBreak/>
        <w:t>Likewise, although Togo has taken significant positive steps to reform its tax administration, its tax system remains burdensome and</w:t>
      </w:r>
      <w:r w:rsidR="00183520">
        <w:rPr>
          <w:rFonts w:cs="Times New Roman"/>
          <w:b/>
        </w:rPr>
        <w:t>, combined</w:t>
      </w:r>
      <w:r w:rsidR="000D6ABB">
        <w:rPr>
          <w:rFonts w:cs="Times New Roman"/>
          <w:b/>
        </w:rPr>
        <w:t xml:space="preserve"> with </w:t>
      </w:r>
      <w:r w:rsidR="00183520">
        <w:rPr>
          <w:rFonts w:cs="Times New Roman"/>
          <w:b/>
        </w:rPr>
        <w:t>regulations,</w:t>
      </w:r>
      <w:r w:rsidRPr="00834149">
        <w:rPr>
          <w:rFonts w:cs="Times New Roman"/>
          <w:b/>
        </w:rPr>
        <w:t xml:space="preserve"> creates a barrier to investment, formalization, firm growth, and job creation.</w:t>
      </w:r>
      <w:r w:rsidRPr="00834149">
        <w:rPr>
          <w:rFonts w:cs="Times New Roman"/>
        </w:rPr>
        <w:t xml:space="preserve"> </w:t>
      </w:r>
      <w:r w:rsidR="00180243">
        <w:rPr>
          <w:rFonts w:cs="Times New Roman"/>
        </w:rPr>
        <w:t xml:space="preserve">These issues also affect </w:t>
      </w:r>
      <w:r w:rsidR="00C65DCD" w:rsidRPr="00834149">
        <w:rPr>
          <w:rFonts w:cs="Times New Roman"/>
        </w:rPr>
        <w:t xml:space="preserve">the agriculture sector, </w:t>
      </w:r>
      <w:r w:rsidR="001E0C2B">
        <w:rPr>
          <w:rFonts w:cs="Times New Roman"/>
        </w:rPr>
        <w:t xml:space="preserve">with </w:t>
      </w:r>
      <w:r w:rsidR="00C65DCD" w:rsidRPr="00834149">
        <w:rPr>
          <w:rFonts w:cs="Times New Roman"/>
        </w:rPr>
        <w:t>policy</w:t>
      </w:r>
      <w:r w:rsidR="000776B3" w:rsidRPr="00834149">
        <w:rPr>
          <w:rFonts w:cs="Times New Roman"/>
        </w:rPr>
        <w:t>,</w:t>
      </w:r>
      <w:r w:rsidR="00C65DCD" w:rsidRPr="00834149">
        <w:rPr>
          <w:rFonts w:cs="Times New Roman"/>
        </w:rPr>
        <w:t xml:space="preserve"> regulatory</w:t>
      </w:r>
      <w:r w:rsidR="00BC5E9F" w:rsidRPr="00834149">
        <w:rPr>
          <w:rFonts w:cs="Times New Roman"/>
        </w:rPr>
        <w:t>,</w:t>
      </w:r>
      <w:r w:rsidR="00C65DCD" w:rsidRPr="00834149">
        <w:rPr>
          <w:rFonts w:cs="Times New Roman"/>
        </w:rPr>
        <w:t xml:space="preserve"> </w:t>
      </w:r>
      <w:r w:rsidR="000776B3" w:rsidRPr="00834149">
        <w:rPr>
          <w:rFonts w:cs="Times New Roman"/>
        </w:rPr>
        <w:t xml:space="preserve">and tax </w:t>
      </w:r>
      <w:r w:rsidR="00C65DCD" w:rsidRPr="00834149">
        <w:rPr>
          <w:rFonts w:cs="Times New Roman"/>
        </w:rPr>
        <w:t>regime</w:t>
      </w:r>
      <w:r w:rsidR="000776B3" w:rsidRPr="00834149">
        <w:rPr>
          <w:rFonts w:cs="Times New Roman"/>
        </w:rPr>
        <w:t>s</w:t>
      </w:r>
      <w:r w:rsidR="001E0C2B">
        <w:rPr>
          <w:rFonts w:cs="Times New Roman"/>
        </w:rPr>
        <w:t xml:space="preserve"> driving</w:t>
      </w:r>
      <w:r w:rsidR="00C65DCD" w:rsidRPr="00834149">
        <w:rPr>
          <w:rFonts w:cs="Times New Roman"/>
        </w:rPr>
        <w:t xml:space="preserve"> a large wedge between producers</w:t>
      </w:r>
      <w:r w:rsidR="0047049F" w:rsidRPr="00834149">
        <w:rPr>
          <w:rFonts w:cs="Times New Roman"/>
        </w:rPr>
        <w:t>’ potential and actual returns,</w:t>
      </w:r>
      <w:r w:rsidR="00C65DCD" w:rsidRPr="00834149">
        <w:rPr>
          <w:rFonts w:cs="Times New Roman"/>
        </w:rPr>
        <w:t xml:space="preserve"> </w:t>
      </w:r>
      <w:r w:rsidR="000776B3" w:rsidRPr="00834149">
        <w:rPr>
          <w:rFonts w:cs="Times New Roman"/>
        </w:rPr>
        <w:t>c</w:t>
      </w:r>
      <w:r w:rsidR="00C65DCD" w:rsidRPr="00834149">
        <w:rPr>
          <w:rFonts w:cs="Times New Roman"/>
        </w:rPr>
        <w:t>onstrain</w:t>
      </w:r>
      <w:r w:rsidR="000776B3" w:rsidRPr="00834149">
        <w:rPr>
          <w:rFonts w:cs="Times New Roman"/>
        </w:rPr>
        <w:t>ing</w:t>
      </w:r>
      <w:r w:rsidR="00C65DCD" w:rsidRPr="00834149">
        <w:rPr>
          <w:rFonts w:cs="Times New Roman"/>
        </w:rPr>
        <w:t xml:space="preserve"> agricultural productivity and rural incomes.</w:t>
      </w:r>
      <w:r w:rsidR="000776B3" w:rsidRPr="00834149">
        <w:rPr>
          <w:rFonts w:cs="Times New Roman"/>
        </w:rPr>
        <w:t xml:space="preserve"> </w:t>
      </w:r>
      <w:r w:rsidR="001E0C2B">
        <w:rPr>
          <w:rFonts w:cs="Times New Roman"/>
        </w:rPr>
        <w:t>G</w:t>
      </w:r>
      <w:r w:rsidR="007A50CF" w:rsidRPr="00834149">
        <w:rPr>
          <w:rFonts w:cs="Times New Roman"/>
        </w:rPr>
        <w:t xml:space="preserve">overnance </w:t>
      </w:r>
      <w:r w:rsidR="001E0C2B">
        <w:rPr>
          <w:rFonts w:cs="Times New Roman"/>
        </w:rPr>
        <w:t>issues also contribute to</w:t>
      </w:r>
      <w:r w:rsidR="007A50CF" w:rsidRPr="00834149">
        <w:rPr>
          <w:rFonts w:cs="Times New Roman"/>
        </w:rPr>
        <w:t xml:space="preserve"> </w:t>
      </w:r>
      <w:r w:rsidR="000776B3" w:rsidRPr="00834149">
        <w:rPr>
          <w:rFonts w:cs="Times New Roman"/>
        </w:rPr>
        <w:t>inadequa</w:t>
      </w:r>
      <w:r w:rsidR="00D159D8" w:rsidRPr="00834149">
        <w:rPr>
          <w:rFonts w:cs="Times New Roman"/>
        </w:rPr>
        <w:t xml:space="preserve">te </w:t>
      </w:r>
      <w:r w:rsidR="007A50CF" w:rsidRPr="00834149">
        <w:rPr>
          <w:rFonts w:cs="Times New Roman"/>
        </w:rPr>
        <w:t>economic</w:t>
      </w:r>
      <w:r w:rsidR="000776B3" w:rsidRPr="00834149">
        <w:rPr>
          <w:rFonts w:cs="Times New Roman"/>
        </w:rPr>
        <w:t xml:space="preserve"> infrastructure services, marked by poor quality and high price</w:t>
      </w:r>
      <w:r w:rsidR="007A50CF" w:rsidRPr="00834149">
        <w:rPr>
          <w:rFonts w:cs="Times New Roman"/>
        </w:rPr>
        <w:t>s.  E</w:t>
      </w:r>
      <w:r w:rsidR="000776B3" w:rsidRPr="00834149">
        <w:rPr>
          <w:rFonts w:cs="Times New Roman"/>
        </w:rPr>
        <w:t>lectricity and information and communic</w:t>
      </w:r>
      <w:r w:rsidR="00F31478" w:rsidRPr="00834149">
        <w:rPr>
          <w:rFonts w:cs="Times New Roman"/>
        </w:rPr>
        <w:t>ation technology (ICT) services</w:t>
      </w:r>
      <w:r w:rsidR="007A50CF" w:rsidRPr="00834149">
        <w:rPr>
          <w:rFonts w:cs="Times New Roman"/>
        </w:rPr>
        <w:t>, which have a direct impact on the ease, security and cost of producing goods and providing services, are poorly regulated and managed,</w:t>
      </w:r>
      <w:r w:rsidR="00F31478" w:rsidRPr="00834149">
        <w:rPr>
          <w:rFonts w:cs="Times New Roman"/>
        </w:rPr>
        <w:t xml:space="preserve"> and</w:t>
      </w:r>
      <w:r w:rsidR="000776B3" w:rsidRPr="00834149">
        <w:rPr>
          <w:rFonts w:cs="Times New Roman"/>
        </w:rPr>
        <w:t xml:space="preserve"> </w:t>
      </w:r>
      <w:r w:rsidR="007A50CF" w:rsidRPr="00834149">
        <w:rPr>
          <w:rFonts w:cs="Times New Roman"/>
        </w:rPr>
        <w:t xml:space="preserve">along with </w:t>
      </w:r>
      <w:r w:rsidR="0047049F" w:rsidRPr="00834149">
        <w:rPr>
          <w:rFonts w:cs="Times New Roman"/>
        </w:rPr>
        <w:t xml:space="preserve">scarce rural infrastructure, </w:t>
      </w:r>
      <w:r w:rsidR="000776B3" w:rsidRPr="00834149">
        <w:rPr>
          <w:rFonts w:cs="Times New Roman"/>
        </w:rPr>
        <w:t>contribute to a less productive and competitive private sector</w:t>
      </w:r>
      <w:r w:rsidR="0047049F" w:rsidRPr="00834149">
        <w:rPr>
          <w:rFonts w:cs="Times New Roman"/>
        </w:rPr>
        <w:t>, including in agriculture</w:t>
      </w:r>
      <w:r w:rsidR="000776B3" w:rsidRPr="00834149">
        <w:rPr>
          <w:rFonts w:cs="Times New Roman"/>
        </w:rPr>
        <w:t>. These constraints combine to make it harder for firms to become formal, boost profits</w:t>
      </w:r>
      <w:r w:rsidR="00BC5E9F" w:rsidRPr="00834149">
        <w:rPr>
          <w:rFonts w:cs="Times New Roman"/>
        </w:rPr>
        <w:t>,</w:t>
      </w:r>
      <w:r w:rsidR="000776B3" w:rsidRPr="00834149">
        <w:rPr>
          <w:rFonts w:cs="Times New Roman"/>
        </w:rPr>
        <w:t xml:space="preserve"> grow their businesses</w:t>
      </w:r>
      <w:r w:rsidR="00BC5E9F" w:rsidRPr="00834149">
        <w:rPr>
          <w:rFonts w:cs="Times New Roman"/>
        </w:rPr>
        <w:t>,</w:t>
      </w:r>
      <w:r w:rsidR="000776B3" w:rsidRPr="00834149">
        <w:rPr>
          <w:rFonts w:cs="Times New Roman"/>
        </w:rPr>
        <w:t xml:space="preserve"> and create more and better jobs. </w:t>
      </w:r>
    </w:p>
    <w:p w14:paraId="772CF531" w14:textId="0C64CE59" w:rsidR="00C65DCD" w:rsidRPr="00834149" w:rsidRDefault="00C65DCD">
      <w:pPr>
        <w:pStyle w:val="ListParagraph"/>
        <w:autoSpaceDE w:val="0"/>
        <w:autoSpaceDN w:val="0"/>
        <w:adjustRightInd w:val="0"/>
        <w:ind w:left="0"/>
        <w:jc w:val="both"/>
        <w:rPr>
          <w:rFonts w:cs="Times New Roman"/>
        </w:rPr>
      </w:pPr>
    </w:p>
    <w:p w14:paraId="072DF9A8" w14:textId="3F2BFC91" w:rsidR="003B52F4" w:rsidRPr="00834149" w:rsidRDefault="00B7365A" w:rsidP="00606B10">
      <w:pPr>
        <w:pStyle w:val="ListParagraph"/>
        <w:numPr>
          <w:ilvl w:val="0"/>
          <w:numId w:val="2"/>
        </w:numPr>
        <w:autoSpaceDE w:val="0"/>
        <w:autoSpaceDN w:val="0"/>
        <w:adjustRightInd w:val="0"/>
        <w:ind w:left="0" w:firstLine="0"/>
        <w:jc w:val="both"/>
        <w:rPr>
          <w:rFonts w:cs="Times New Roman"/>
        </w:rPr>
      </w:pPr>
      <w:r w:rsidRPr="00834149">
        <w:rPr>
          <w:rFonts w:cs="Times New Roman"/>
          <w:b/>
        </w:rPr>
        <w:t>The SCD</w:t>
      </w:r>
      <w:r w:rsidR="00833288" w:rsidRPr="00834149">
        <w:rPr>
          <w:rFonts w:cs="Times New Roman"/>
          <w:b/>
        </w:rPr>
        <w:t xml:space="preserve"> </w:t>
      </w:r>
      <w:r w:rsidR="003363EF" w:rsidRPr="00834149">
        <w:rPr>
          <w:rFonts w:cs="Times New Roman"/>
          <w:b/>
        </w:rPr>
        <w:t xml:space="preserve">also </w:t>
      </w:r>
      <w:r w:rsidRPr="00834149">
        <w:rPr>
          <w:rFonts w:cs="Times New Roman"/>
          <w:b/>
        </w:rPr>
        <w:t xml:space="preserve">underscores </w:t>
      </w:r>
      <w:r w:rsidR="008F0A9D" w:rsidRPr="00834149">
        <w:rPr>
          <w:rFonts w:cs="Times New Roman"/>
          <w:b/>
        </w:rPr>
        <w:t xml:space="preserve">additional constraints to poverty reduction and inclusion, notably </w:t>
      </w:r>
      <w:r w:rsidR="00833288" w:rsidRPr="00834149">
        <w:rPr>
          <w:rFonts w:cs="Times New Roman"/>
          <w:b/>
        </w:rPr>
        <w:t xml:space="preserve">weak health services and environmental degradation, as well as the disparity in access to </w:t>
      </w:r>
      <w:r w:rsidR="00D5737E" w:rsidRPr="00834149">
        <w:rPr>
          <w:rFonts w:cs="Times New Roman"/>
          <w:b/>
        </w:rPr>
        <w:t xml:space="preserve">basic </w:t>
      </w:r>
      <w:r w:rsidR="00833288" w:rsidRPr="00834149">
        <w:rPr>
          <w:rFonts w:cs="Times New Roman"/>
          <w:b/>
        </w:rPr>
        <w:t>services between urban and rural areas</w:t>
      </w:r>
      <w:r w:rsidRPr="00834149">
        <w:rPr>
          <w:rFonts w:cs="Times New Roman"/>
        </w:rPr>
        <w:t xml:space="preserve">. </w:t>
      </w:r>
      <w:r w:rsidR="008F0A9D" w:rsidRPr="00834149">
        <w:rPr>
          <w:rFonts w:cs="Times New Roman"/>
        </w:rPr>
        <w:t>The SCD notes that p</w:t>
      </w:r>
      <w:r w:rsidRPr="00834149">
        <w:rPr>
          <w:rFonts w:cs="Times New Roman"/>
        </w:rPr>
        <w:t xml:space="preserve">oor health care is an economic burden that </w:t>
      </w:r>
      <w:r w:rsidR="00C65DCD" w:rsidRPr="00834149">
        <w:rPr>
          <w:rFonts w:cs="Times New Roman"/>
        </w:rPr>
        <w:t>disproportionately affects poor children and women</w:t>
      </w:r>
      <w:r w:rsidRPr="00834149">
        <w:rPr>
          <w:rFonts w:cs="Times New Roman"/>
        </w:rPr>
        <w:t xml:space="preserve"> and represents a key constraint to </w:t>
      </w:r>
      <w:r w:rsidR="00C65DCD" w:rsidRPr="00834149">
        <w:rPr>
          <w:rFonts w:cs="Times New Roman"/>
        </w:rPr>
        <w:t>inclusion and well-being.</w:t>
      </w:r>
      <w:r w:rsidR="00586A53" w:rsidRPr="00834149">
        <w:rPr>
          <w:rFonts w:cs="Times New Roman"/>
        </w:rPr>
        <w:t xml:space="preserve"> </w:t>
      </w:r>
      <w:r w:rsidR="0048424D" w:rsidRPr="00834149">
        <w:rPr>
          <w:rFonts w:cs="Times New Roman"/>
        </w:rPr>
        <w:t xml:space="preserve">Figure </w:t>
      </w:r>
      <w:r w:rsidR="008F0A9D" w:rsidRPr="00834149">
        <w:rPr>
          <w:rFonts w:cs="Times New Roman"/>
        </w:rPr>
        <w:t xml:space="preserve">3 </w:t>
      </w:r>
      <w:r w:rsidR="0048424D" w:rsidRPr="00834149">
        <w:rPr>
          <w:rFonts w:cs="Times New Roman"/>
        </w:rPr>
        <w:t xml:space="preserve">shows the disparity between rural and urban areas and the poorest and wealthiest in accessing health services, and the decline in access to </w:t>
      </w:r>
      <w:r w:rsidR="002B0DF3" w:rsidRPr="00834149">
        <w:rPr>
          <w:rFonts w:cs="Times New Roman"/>
        </w:rPr>
        <w:t xml:space="preserve">health </w:t>
      </w:r>
      <w:r w:rsidR="0048424D" w:rsidRPr="00834149">
        <w:rPr>
          <w:rFonts w:cs="Times New Roman"/>
        </w:rPr>
        <w:t>services since 2006.</w:t>
      </w:r>
      <w:r w:rsidR="002B0DF3" w:rsidRPr="00834149">
        <w:rPr>
          <w:rFonts w:cs="Times New Roman"/>
        </w:rPr>
        <w:t xml:space="preserve"> </w:t>
      </w:r>
      <w:r w:rsidR="008F0A9D" w:rsidRPr="00834149">
        <w:rPr>
          <w:rFonts w:cs="Times New Roman"/>
        </w:rPr>
        <w:t xml:space="preserve">The SCD underscores the link between illness and environmental degradation, and highlights climate change </w:t>
      </w:r>
      <w:r w:rsidR="004E09AE" w:rsidRPr="00834149">
        <w:rPr>
          <w:rFonts w:cs="Times New Roman"/>
        </w:rPr>
        <w:t>as a long-term risk</w:t>
      </w:r>
      <w:r w:rsidR="008F0A9D" w:rsidRPr="00834149">
        <w:rPr>
          <w:rFonts w:cs="Times New Roman"/>
        </w:rPr>
        <w:t xml:space="preserve"> for sustainable development and poverty reduction. Other issues include t</w:t>
      </w:r>
      <w:r w:rsidR="00C47674" w:rsidRPr="00834149">
        <w:rPr>
          <w:rFonts w:cs="Times New Roman"/>
        </w:rPr>
        <w:t>he weak quality of education services and the skills mismatch</w:t>
      </w:r>
      <w:r w:rsidR="000A2A01" w:rsidRPr="00834149">
        <w:rPr>
          <w:rFonts w:cs="Times New Roman"/>
        </w:rPr>
        <w:t>. C</w:t>
      </w:r>
      <w:r w:rsidR="00C47674" w:rsidRPr="00834149">
        <w:rPr>
          <w:rFonts w:cs="Times New Roman"/>
        </w:rPr>
        <w:t xml:space="preserve">ombined with </w:t>
      </w:r>
      <w:r w:rsidR="006D1625" w:rsidRPr="00834149">
        <w:rPr>
          <w:rFonts w:cs="Times New Roman"/>
        </w:rPr>
        <w:t xml:space="preserve">private sector </w:t>
      </w:r>
      <w:r w:rsidR="00C47674" w:rsidRPr="00834149">
        <w:rPr>
          <w:rFonts w:cs="Times New Roman"/>
        </w:rPr>
        <w:t>constraints</w:t>
      </w:r>
      <w:r w:rsidR="006D1625" w:rsidRPr="00834149">
        <w:rPr>
          <w:rFonts w:cs="Times New Roman"/>
        </w:rPr>
        <w:t>,</w:t>
      </w:r>
      <w:r w:rsidR="00C47674" w:rsidRPr="00834149">
        <w:rPr>
          <w:rFonts w:cs="Times New Roman"/>
        </w:rPr>
        <w:t xml:space="preserve"> </w:t>
      </w:r>
      <w:r w:rsidR="000A2A01" w:rsidRPr="00834149">
        <w:rPr>
          <w:rFonts w:cs="Times New Roman"/>
        </w:rPr>
        <w:t xml:space="preserve">these issues </w:t>
      </w:r>
      <w:r w:rsidR="00C47674" w:rsidRPr="00834149">
        <w:rPr>
          <w:rFonts w:cs="Times New Roman"/>
        </w:rPr>
        <w:t>contribute to a high underemployment rate.</w:t>
      </w:r>
      <w:r w:rsidR="000A2A01" w:rsidRPr="00834149">
        <w:rPr>
          <w:rFonts w:cs="Times New Roman"/>
        </w:rPr>
        <w:t xml:space="preserve"> W</w:t>
      </w:r>
      <w:r w:rsidR="000052C6" w:rsidRPr="00834149">
        <w:rPr>
          <w:rFonts w:cs="Times New Roman"/>
        </w:rPr>
        <w:t>ith a p</w:t>
      </w:r>
      <w:r w:rsidR="00FF25CA" w:rsidRPr="00834149">
        <w:rPr>
          <w:rFonts w:cs="Times New Roman"/>
        </w:rPr>
        <w:t xml:space="preserve">opulation growth </w:t>
      </w:r>
      <w:r w:rsidR="000052C6" w:rsidRPr="00834149">
        <w:rPr>
          <w:rFonts w:cs="Times New Roman"/>
        </w:rPr>
        <w:t>rate of</w:t>
      </w:r>
      <w:r w:rsidR="00FF25CA" w:rsidRPr="00834149">
        <w:rPr>
          <w:rFonts w:cs="Times New Roman"/>
        </w:rPr>
        <w:t xml:space="preserve"> 2.7 percent</w:t>
      </w:r>
      <w:r w:rsidR="000A2A01" w:rsidRPr="00834149">
        <w:rPr>
          <w:rFonts w:cs="Times New Roman"/>
        </w:rPr>
        <w:t xml:space="preserve">, </w:t>
      </w:r>
      <w:r w:rsidR="008F0A9D" w:rsidRPr="00834149">
        <w:rPr>
          <w:rFonts w:cs="Times New Roman"/>
        </w:rPr>
        <w:t>Togo’s young population represents an able potential workforce</w:t>
      </w:r>
      <w:r w:rsidR="000A2A01" w:rsidRPr="00834149">
        <w:rPr>
          <w:rFonts w:cs="Times New Roman"/>
        </w:rPr>
        <w:t xml:space="preserve"> to boost productivity</w:t>
      </w:r>
      <w:r w:rsidR="008F0A9D" w:rsidRPr="00834149">
        <w:rPr>
          <w:rFonts w:cs="Times New Roman"/>
        </w:rPr>
        <w:t>, but y</w:t>
      </w:r>
      <w:r w:rsidR="00FF25CA" w:rsidRPr="00834149">
        <w:rPr>
          <w:rFonts w:cs="Times New Roman"/>
        </w:rPr>
        <w:t xml:space="preserve">outh unemployment and underemployment are elevated, and with 60 percent of the population at less than 25 years old and an urbanization rate of 4 percent per year, Togo faces challenges in providing social services for </w:t>
      </w:r>
      <w:r w:rsidR="00B2519F" w:rsidRPr="00834149">
        <w:rPr>
          <w:rFonts w:cs="Times New Roman"/>
        </w:rPr>
        <w:t xml:space="preserve">young people </w:t>
      </w:r>
      <w:r w:rsidR="00FF25CA" w:rsidRPr="00834149">
        <w:rPr>
          <w:rFonts w:cs="Times New Roman"/>
        </w:rPr>
        <w:t>and creating jobs for its expanding working-age population.</w:t>
      </w:r>
      <w:r w:rsidR="00ED367F" w:rsidRPr="00834149">
        <w:rPr>
          <w:rFonts w:cs="Times New Roman"/>
        </w:rPr>
        <w:t xml:space="preserve"> </w:t>
      </w:r>
    </w:p>
    <w:p w14:paraId="5B66901F" w14:textId="77777777" w:rsidR="009577C2" w:rsidRPr="00834149" w:rsidRDefault="009577C2" w:rsidP="00C97360">
      <w:pPr>
        <w:pStyle w:val="ListParagraph"/>
        <w:autoSpaceDE w:val="0"/>
        <w:autoSpaceDN w:val="0"/>
        <w:adjustRightInd w:val="0"/>
        <w:ind w:left="0"/>
        <w:jc w:val="both"/>
        <w:rPr>
          <w:rFonts w:cs="Times New Roman"/>
        </w:rPr>
      </w:pPr>
    </w:p>
    <w:p w14:paraId="1115CFC3" w14:textId="2D04133C" w:rsidR="00D44427" w:rsidRPr="00834149" w:rsidRDefault="00333103" w:rsidP="00834149">
      <w:pPr>
        <w:pStyle w:val="Caption"/>
        <w:jc w:val="center"/>
        <w:rPr>
          <w:rFonts w:cs="Times New Roman"/>
          <w:caps w:val="0"/>
          <w:sz w:val="20"/>
          <w:szCs w:val="20"/>
        </w:rPr>
      </w:pPr>
      <w:r w:rsidRPr="00F31BAB">
        <w:rPr>
          <w:rFonts w:ascii="Times New Roman" w:hAnsi="Times New Roman" w:cs="Times New Roman"/>
          <w:caps w:val="0"/>
          <w:noProof/>
          <w:sz w:val="20"/>
          <w:szCs w:val="20"/>
        </w:rPr>
        <mc:AlternateContent>
          <mc:Choice Requires="wps">
            <w:drawing>
              <wp:anchor distT="45720" distB="45720" distL="114300" distR="114300" simplePos="0" relativeHeight="251658240" behindDoc="0" locked="1" layoutInCell="1" allowOverlap="1" wp14:anchorId="7C079024" wp14:editId="172CDA28">
                <wp:simplePos x="0" y="0"/>
                <wp:positionH relativeFrom="column">
                  <wp:posOffset>93980</wp:posOffset>
                </wp:positionH>
                <wp:positionV relativeFrom="paragraph">
                  <wp:posOffset>393700</wp:posOffset>
                </wp:positionV>
                <wp:extent cx="5001260" cy="2762250"/>
                <wp:effectExtent l="0" t="0" r="8890" b="0"/>
                <wp:wrapTopAndBottom/>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2762250"/>
                        </a:xfrm>
                        <a:prstGeom prst="rect">
                          <a:avLst/>
                        </a:prstGeom>
                        <a:solidFill>
                          <a:srgbClr val="FFFFFF"/>
                        </a:solidFill>
                        <a:ln w="9525">
                          <a:noFill/>
                          <a:miter lim="800000"/>
                          <a:headEnd/>
                          <a:tailEnd/>
                        </a:ln>
                      </wps:spPr>
                      <wps:txbx>
                        <w:txbxContent>
                          <w:p w14:paraId="32FE1B44" w14:textId="4D17467C" w:rsidR="000D6ABB" w:rsidRDefault="000D6ABB" w:rsidP="00333103">
                            <w:pPr>
                              <w:pStyle w:val="NoSpacing"/>
                              <w:jc w:val="center"/>
                            </w:pPr>
                            <w:r>
                              <w:rPr>
                                <w:noProof/>
                              </w:rPr>
                              <w:drawing>
                                <wp:inline distT="0" distB="0" distL="0" distR="0" wp14:anchorId="23B11ABA" wp14:editId="5C5B0CB0">
                                  <wp:extent cx="4651375" cy="2393343"/>
                                  <wp:effectExtent l="0" t="0" r="15875" b="6985"/>
                                  <wp:docPr id="10"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68C742" w14:textId="30869EDB" w:rsidR="000D6ABB" w:rsidRPr="00CD63D9" w:rsidRDefault="000D6ABB" w:rsidP="00333103">
                            <w:pPr>
                              <w:pStyle w:val="NoSpacing"/>
                              <w:rPr>
                                <w:rFonts w:ascii="Times New Roman" w:hAnsi="Times New Roman" w:cs="Times New Roman"/>
                                <w:i/>
                                <w:sz w:val="20"/>
                              </w:rPr>
                            </w:pPr>
                            <w:r>
                              <w:rPr>
                                <w:i/>
                                <w:sz w:val="20"/>
                              </w:rPr>
                              <w:t xml:space="preserve">   </w:t>
                            </w:r>
                            <w:r w:rsidRPr="00CD63D9">
                              <w:rPr>
                                <w:rFonts w:ascii="Times New Roman" w:hAnsi="Times New Roman" w:cs="Times New Roman"/>
                                <w:i/>
                                <w:sz w:val="20"/>
                              </w:rPr>
                              <w:t xml:space="preserve">Source: </w:t>
                            </w:r>
                            <w:r w:rsidRPr="00982543">
                              <w:rPr>
                                <w:rFonts w:ascii="Times New Roman" w:hAnsi="Times New Roman" w:cs="Times New Roman"/>
                                <w:sz w:val="20"/>
                              </w:rPr>
                              <w:t>INSEED 2016 using QUIBB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79024" id="_x0000_s1028" type="#_x0000_t202" style="position:absolute;left:0;text-align:left;margin-left:7.4pt;margin-top:31pt;width:393.8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" stroked="f">
                <v:textbox>
                  <w:txbxContent>
                    <w:p w14:paraId="32FE1B44" w14:textId="4D17467C" w:rsidR="000D6ABB" w:rsidRDefault="000D6ABB" w:rsidP="00333103">
                      <w:pPr>
                        <w:pStyle w:val="NoSpacing"/>
                        <w:jc w:val="center"/>
                      </w:pPr>
                      <w:r>
                        <w:rPr>
                          <w:noProof/>
                        </w:rPr>
                        <w:drawing>
                          <wp:inline distT="0" distB="0" distL="0" distR="0" wp14:anchorId="23B11ABA" wp14:editId="5C5B0CB0">
                            <wp:extent cx="4651375" cy="2393343"/>
                            <wp:effectExtent l="0" t="0" r="15875" b="6985"/>
                            <wp:docPr id="10"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68C742" w14:textId="30869EDB" w:rsidR="000D6ABB" w:rsidRPr="00CD63D9" w:rsidRDefault="000D6ABB" w:rsidP="00333103">
                      <w:pPr>
                        <w:pStyle w:val="NoSpacing"/>
                        <w:rPr>
                          <w:rFonts w:ascii="Times New Roman" w:hAnsi="Times New Roman" w:cs="Times New Roman"/>
                          <w:i/>
                          <w:sz w:val="20"/>
                        </w:rPr>
                      </w:pPr>
                      <w:r>
                        <w:rPr>
                          <w:i/>
                          <w:sz w:val="20"/>
                        </w:rPr>
                        <w:t xml:space="preserve">   </w:t>
                      </w:r>
                      <w:r w:rsidRPr="00CD63D9">
                        <w:rPr>
                          <w:rFonts w:ascii="Times New Roman" w:hAnsi="Times New Roman" w:cs="Times New Roman"/>
                          <w:i/>
                          <w:sz w:val="20"/>
                        </w:rPr>
                        <w:t xml:space="preserve">Source: </w:t>
                      </w:r>
                      <w:r w:rsidRPr="00982543">
                        <w:rPr>
                          <w:rFonts w:ascii="Times New Roman" w:hAnsi="Times New Roman" w:cs="Times New Roman"/>
                          <w:sz w:val="20"/>
                        </w:rPr>
                        <w:t>INSEED 2016 using QUIBB</w:t>
                      </w:r>
                    </w:p>
                  </w:txbxContent>
                </v:textbox>
                <w10:wrap type="topAndBottom"/>
                <w10:anchorlock/>
              </v:shape>
            </w:pict>
          </mc:Fallback>
        </mc:AlternateContent>
      </w:r>
      <w:bookmarkStart w:id="13" w:name="_Toc461120673"/>
      <w:bookmarkStart w:id="14" w:name="_Toc480207652"/>
      <w:r w:rsidR="00D5737E" w:rsidRPr="00834149">
        <w:rPr>
          <w:rFonts w:cs="Times New Roman"/>
          <w:caps w:val="0"/>
          <w:noProof/>
          <w:sz w:val="20"/>
          <w:szCs w:val="20"/>
        </w:rPr>
        <mc:AlternateContent>
          <mc:Choice Requires="wps">
            <w:drawing>
              <wp:anchor distT="0" distB="0" distL="114300" distR="114300" simplePos="0" relativeHeight="251663360" behindDoc="0" locked="0" layoutInCell="1" allowOverlap="1" wp14:anchorId="716C0225" wp14:editId="544DC554">
                <wp:simplePos x="0" y="0"/>
                <wp:positionH relativeFrom="column">
                  <wp:posOffset>541655</wp:posOffset>
                </wp:positionH>
                <wp:positionV relativeFrom="paragraph">
                  <wp:posOffset>2294418</wp:posOffset>
                </wp:positionV>
                <wp:extent cx="4264503" cy="331773"/>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4264503" cy="3317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BDC0" w14:textId="54D3B070" w:rsidR="000D6ABB" w:rsidRPr="00D5737E" w:rsidRDefault="000D6ABB" w:rsidP="00D5737E">
                            <w:pPr>
                              <w:rPr>
                                <w:rFonts w:ascii="Times New Roman" w:hAnsi="Times New Roman" w:cs="Times New Roman"/>
                                <w:sz w:val="15"/>
                                <w:szCs w:val="15"/>
                              </w:rPr>
                            </w:pPr>
                            <w:r w:rsidRPr="00D5737E">
                              <w:rPr>
                                <w:rFonts w:ascii="Times New Roman" w:hAnsi="Times New Roman" w:cs="Times New Roman"/>
                                <w:sz w:val="15"/>
                                <w:szCs w:val="15"/>
                              </w:rPr>
                              <w:t xml:space="preserve">Poorest    </w:t>
                            </w:r>
                            <w:r>
                              <w:rPr>
                                <w:rFonts w:ascii="Times New Roman" w:hAnsi="Times New Roman" w:cs="Times New Roman"/>
                                <w:sz w:val="15"/>
                                <w:szCs w:val="15"/>
                              </w:rPr>
                              <w:t xml:space="preserve"> </w:t>
                            </w:r>
                            <w:r w:rsidRPr="00D5737E">
                              <w:rPr>
                                <w:rFonts w:ascii="Times New Roman" w:hAnsi="Times New Roman" w:cs="Times New Roman"/>
                                <w:sz w:val="15"/>
                                <w:szCs w:val="15"/>
                              </w:rPr>
                              <w:t xml:space="preserve">Second    </w:t>
                            </w:r>
                            <w:r>
                              <w:rPr>
                                <w:rFonts w:ascii="Times New Roman" w:hAnsi="Times New Roman" w:cs="Times New Roman"/>
                                <w:sz w:val="15"/>
                                <w:szCs w:val="15"/>
                              </w:rPr>
                              <w:t xml:space="preserve"> </w:t>
                            </w:r>
                            <w:r w:rsidRPr="00D5737E">
                              <w:rPr>
                                <w:rFonts w:ascii="Times New Roman" w:hAnsi="Times New Roman" w:cs="Times New Roman"/>
                                <w:sz w:val="15"/>
                                <w:szCs w:val="15"/>
                              </w:rPr>
                              <w:t xml:space="preserve">  Third       Fourth   Wealthiest       Poorest    Second      Third       Fourth   Wealthiest</w:t>
                            </w:r>
                          </w:p>
                          <w:p w14:paraId="7B6115F6" w14:textId="47B3E54C" w:rsidR="000D6ABB" w:rsidRPr="00A47A9A" w:rsidRDefault="000D6ABB" w:rsidP="00A47A9A">
                            <w:pPr>
                              <w:spacing w:before="60"/>
                              <w:jc w:val="center"/>
                              <w:rPr>
                                <w:rFonts w:ascii="Times New Roman" w:hAnsi="Times New Roman" w:cs="Times New Roman"/>
                                <w:caps/>
                                <w:sz w:val="15"/>
                                <w:szCs w:val="15"/>
                              </w:rPr>
                            </w:pPr>
                            <w:r w:rsidRPr="00A47A9A">
                              <w:rPr>
                                <w:rFonts w:ascii="Times New Roman" w:hAnsi="Times New Roman" w:cs="Times New Roman"/>
                                <w:caps/>
                                <w:sz w:val="15"/>
                                <w:szCs w:val="15"/>
                              </w:rPr>
                              <w:t>Urban                                                                             Rural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C0225" id="Text Box 5" o:spid="_x0000_s1029" type="#_x0000_t202" style="position:absolute;left:0;text-align:left;margin-left:42.65pt;margin-top:180.65pt;width:335.8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" fillcolor="white [3201]" stroked="f" strokeweight=".5pt">
                <v:textbox>
                  <w:txbxContent>
                    <w:p w14:paraId="108CBDC0" w14:textId="54D3B070" w:rsidR="000D6ABB" w:rsidRPr="00D5737E" w:rsidRDefault="000D6ABB" w:rsidP="00D5737E">
                      <w:pPr>
                        <w:rPr>
                          <w:rFonts w:ascii="Times New Roman" w:hAnsi="Times New Roman" w:cs="Times New Roman"/>
                          <w:sz w:val="15"/>
                          <w:szCs w:val="15"/>
                        </w:rPr>
                      </w:pPr>
                      <w:r w:rsidRPr="00D5737E">
                        <w:rPr>
                          <w:rFonts w:ascii="Times New Roman" w:hAnsi="Times New Roman" w:cs="Times New Roman"/>
                          <w:sz w:val="15"/>
                          <w:szCs w:val="15"/>
                        </w:rPr>
                        <w:t xml:space="preserve">Poorest    </w:t>
                      </w:r>
                      <w:r>
                        <w:rPr>
                          <w:rFonts w:ascii="Times New Roman" w:hAnsi="Times New Roman" w:cs="Times New Roman"/>
                          <w:sz w:val="15"/>
                          <w:szCs w:val="15"/>
                        </w:rPr>
                        <w:t xml:space="preserve"> </w:t>
                      </w:r>
                      <w:r w:rsidRPr="00D5737E">
                        <w:rPr>
                          <w:rFonts w:ascii="Times New Roman" w:hAnsi="Times New Roman" w:cs="Times New Roman"/>
                          <w:sz w:val="15"/>
                          <w:szCs w:val="15"/>
                        </w:rPr>
                        <w:t xml:space="preserve">Second    </w:t>
                      </w:r>
                      <w:r>
                        <w:rPr>
                          <w:rFonts w:ascii="Times New Roman" w:hAnsi="Times New Roman" w:cs="Times New Roman"/>
                          <w:sz w:val="15"/>
                          <w:szCs w:val="15"/>
                        </w:rPr>
                        <w:t xml:space="preserve"> </w:t>
                      </w:r>
                      <w:r w:rsidRPr="00D5737E">
                        <w:rPr>
                          <w:rFonts w:ascii="Times New Roman" w:hAnsi="Times New Roman" w:cs="Times New Roman"/>
                          <w:sz w:val="15"/>
                          <w:szCs w:val="15"/>
                        </w:rPr>
                        <w:t xml:space="preserve">  Third       Fourth   Wealthiest       Poorest    Second      Third       Fourth   Wealthiest</w:t>
                      </w:r>
                    </w:p>
                    <w:p w14:paraId="7B6115F6" w14:textId="47B3E54C" w:rsidR="000D6ABB" w:rsidRPr="00A47A9A" w:rsidRDefault="000D6ABB" w:rsidP="00A47A9A">
                      <w:pPr>
                        <w:spacing w:before="60"/>
                        <w:jc w:val="center"/>
                        <w:rPr>
                          <w:rFonts w:ascii="Times New Roman" w:hAnsi="Times New Roman" w:cs="Times New Roman"/>
                          <w:caps/>
                          <w:sz w:val="15"/>
                          <w:szCs w:val="15"/>
                        </w:rPr>
                      </w:pPr>
                      <w:r w:rsidRPr="00A47A9A">
                        <w:rPr>
                          <w:rFonts w:ascii="Times New Roman" w:hAnsi="Times New Roman" w:cs="Times New Roman"/>
                          <w:caps/>
                          <w:sz w:val="15"/>
                          <w:szCs w:val="15"/>
                        </w:rPr>
                        <w:t>Urban                                                                             Rural</w:t>
                      </w:r>
                    </w:p>
                  </w:txbxContent>
                </v:textbox>
              </v:shape>
            </w:pict>
          </mc:Fallback>
        </mc:AlternateContent>
      </w:r>
      <w:r w:rsidR="00D54B57" w:rsidRPr="00834149">
        <w:rPr>
          <w:rFonts w:cs="Times New Roman"/>
          <w:caps w:val="0"/>
          <w:sz w:val="20"/>
          <w:szCs w:val="20"/>
        </w:rPr>
        <w:t>Figure</w:t>
      </w:r>
      <w:r w:rsidR="00E76857" w:rsidRPr="00834149">
        <w:rPr>
          <w:rFonts w:cs="Times New Roman"/>
          <w:caps w:val="0"/>
          <w:sz w:val="20"/>
          <w:szCs w:val="20"/>
        </w:rPr>
        <w:t xml:space="preserve"> </w:t>
      </w:r>
      <w:r w:rsidR="00F31BAB" w:rsidRPr="00834149">
        <w:rPr>
          <w:rFonts w:cs="Times New Roman"/>
          <w:sz w:val="20"/>
          <w:szCs w:val="20"/>
        </w:rPr>
        <w:fldChar w:fldCharType="begin"/>
      </w:r>
      <w:r w:rsidR="00F31BAB" w:rsidRPr="00834149">
        <w:rPr>
          <w:rFonts w:cs="Times New Roman"/>
          <w:sz w:val="20"/>
          <w:szCs w:val="20"/>
        </w:rPr>
        <w:instrText xml:space="preserve"> SEQ Figure \* ARABIC </w:instrText>
      </w:r>
      <w:r w:rsidR="00F31BAB" w:rsidRPr="00834149">
        <w:rPr>
          <w:rFonts w:cs="Times New Roman"/>
          <w:sz w:val="20"/>
          <w:szCs w:val="20"/>
        </w:rPr>
        <w:fldChar w:fldCharType="separate"/>
      </w:r>
      <w:r w:rsidR="000D6ABB">
        <w:rPr>
          <w:rFonts w:cs="Times New Roman"/>
          <w:noProof/>
          <w:sz w:val="20"/>
          <w:szCs w:val="20"/>
        </w:rPr>
        <w:t>3</w:t>
      </w:r>
      <w:r w:rsidR="00F31BAB" w:rsidRPr="00834149">
        <w:rPr>
          <w:rFonts w:cs="Times New Roman"/>
          <w:sz w:val="20"/>
          <w:szCs w:val="20"/>
        </w:rPr>
        <w:fldChar w:fldCharType="end"/>
      </w:r>
      <w:r w:rsidR="00D44427" w:rsidRPr="00834149">
        <w:rPr>
          <w:rFonts w:cs="Times New Roman"/>
          <w:caps w:val="0"/>
          <w:sz w:val="20"/>
          <w:szCs w:val="20"/>
        </w:rPr>
        <w:t>: Access to Health Services</w:t>
      </w:r>
      <w:bookmarkEnd w:id="13"/>
      <w:r w:rsidR="00AD3113" w:rsidRPr="00834149">
        <w:rPr>
          <w:rFonts w:cs="Times New Roman"/>
          <w:caps w:val="0"/>
          <w:sz w:val="20"/>
          <w:szCs w:val="20"/>
        </w:rPr>
        <w:t xml:space="preserve"> in Togo</w:t>
      </w:r>
      <w:bookmarkEnd w:id="14"/>
    </w:p>
    <w:p w14:paraId="47F3B24A" w14:textId="48C2A371" w:rsidR="00104C96" w:rsidRPr="00834149" w:rsidRDefault="00104C96" w:rsidP="00834149">
      <w:pPr>
        <w:pStyle w:val="ListParagraph"/>
        <w:autoSpaceDE w:val="0"/>
        <w:autoSpaceDN w:val="0"/>
        <w:ind w:left="0"/>
        <w:jc w:val="both"/>
        <w:rPr>
          <w:rFonts w:cs="Times New Roman"/>
        </w:rPr>
      </w:pPr>
      <w:bookmarkStart w:id="15" w:name="_Toc468803951"/>
    </w:p>
    <w:p w14:paraId="6EFA30BB" w14:textId="77777777" w:rsidR="00EE2478" w:rsidRDefault="00EE2478">
      <w:pPr>
        <w:rPr>
          <w:rFonts w:cs="Times New Roman"/>
          <w:b/>
        </w:rPr>
      </w:pPr>
      <w:r>
        <w:rPr>
          <w:rFonts w:cs="Times New Roman"/>
          <w:b/>
        </w:rPr>
        <w:br w:type="page"/>
      </w:r>
    </w:p>
    <w:p w14:paraId="67180F4D" w14:textId="0E90312C" w:rsidR="009577C2" w:rsidRPr="00834149" w:rsidRDefault="00AF6675" w:rsidP="00C97360">
      <w:pPr>
        <w:pStyle w:val="ListParagraph"/>
        <w:numPr>
          <w:ilvl w:val="0"/>
          <w:numId w:val="2"/>
        </w:numPr>
        <w:autoSpaceDE w:val="0"/>
        <w:autoSpaceDN w:val="0"/>
        <w:ind w:left="0" w:firstLine="0"/>
        <w:jc w:val="both"/>
        <w:rPr>
          <w:rFonts w:cs="Times New Roman"/>
        </w:rPr>
      </w:pPr>
      <w:r w:rsidRPr="00834149">
        <w:rPr>
          <w:rFonts w:cs="Times New Roman"/>
          <w:b/>
        </w:rPr>
        <w:lastRenderedPageBreak/>
        <w:t>Reducing illicit financial flows</w:t>
      </w:r>
      <w:r w:rsidR="000372FB">
        <w:rPr>
          <w:rFonts w:cs="Times New Roman"/>
          <w:b/>
        </w:rPr>
        <w:t xml:space="preserve"> (IFFs)</w:t>
      </w:r>
      <w:r w:rsidR="00DA0DD1">
        <w:rPr>
          <w:rFonts w:cs="Times New Roman"/>
          <w:b/>
        </w:rPr>
        <w:t>,</w:t>
      </w:r>
      <w:r w:rsidRPr="00834149">
        <w:rPr>
          <w:rFonts w:cs="Times New Roman"/>
          <w:b/>
        </w:rPr>
        <w:t xml:space="preserve"> money laundering and terrorism financing is a key challenge for the region, including</w:t>
      </w:r>
      <w:r w:rsidR="000372FB">
        <w:rPr>
          <w:rFonts w:cs="Times New Roman"/>
          <w:b/>
        </w:rPr>
        <w:t xml:space="preserve"> for</w:t>
      </w:r>
      <w:r w:rsidRPr="00834149">
        <w:rPr>
          <w:rFonts w:cs="Times New Roman"/>
          <w:b/>
        </w:rPr>
        <w:t xml:space="preserve"> Togo.</w:t>
      </w:r>
      <w:r w:rsidRPr="00834149">
        <w:rPr>
          <w:rFonts w:cs="Times New Roman"/>
        </w:rPr>
        <w:t xml:space="preserve"> The</w:t>
      </w:r>
      <w:r w:rsidR="009577C2" w:rsidRPr="00834149">
        <w:rPr>
          <w:rFonts w:cs="Times New Roman"/>
        </w:rPr>
        <w:t xml:space="preserve"> </w:t>
      </w:r>
      <w:r w:rsidR="00C622A7" w:rsidRPr="00834149">
        <w:rPr>
          <w:rFonts w:cs="Times New Roman"/>
        </w:rPr>
        <w:t>G</w:t>
      </w:r>
      <w:r w:rsidR="009577C2" w:rsidRPr="00834149">
        <w:rPr>
          <w:rFonts w:cs="Times New Roman"/>
        </w:rPr>
        <w:t>overnment is addressing th</w:t>
      </w:r>
      <w:r w:rsidRPr="00834149">
        <w:rPr>
          <w:rFonts w:cs="Times New Roman"/>
        </w:rPr>
        <w:t>e issue th</w:t>
      </w:r>
      <w:r w:rsidR="009577C2" w:rsidRPr="00834149">
        <w:rPr>
          <w:rFonts w:cs="Times New Roman"/>
        </w:rPr>
        <w:t>rough it</w:t>
      </w:r>
      <w:r w:rsidRPr="00834149">
        <w:rPr>
          <w:rFonts w:cs="Times New Roman"/>
        </w:rPr>
        <w:t>s</w:t>
      </w:r>
      <w:r w:rsidR="009577C2" w:rsidRPr="00834149">
        <w:rPr>
          <w:rFonts w:cs="Times New Roman"/>
        </w:rPr>
        <w:t xml:space="preserve"> contribution to the work of the Inter-Governmental Group Against Money Laundering in West Africa (GIABA)</w:t>
      </w:r>
      <w:r w:rsidR="0030411E">
        <w:rPr>
          <w:rFonts w:cs="Times New Roman"/>
        </w:rPr>
        <w:t xml:space="preserve">, which has examined </w:t>
      </w:r>
      <w:r w:rsidR="009577C2" w:rsidRPr="00834149">
        <w:rPr>
          <w:rFonts w:cs="Times New Roman"/>
        </w:rPr>
        <w:t xml:space="preserve">the vulnerability of West Africa </w:t>
      </w:r>
      <w:r w:rsidR="0030411E">
        <w:rPr>
          <w:rFonts w:cs="Times New Roman"/>
        </w:rPr>
        <w:t>to</w:t>
      </w:r>
      <w:r w:rsidR="009577C2" w:rsidRPr="00834149">
        <w:rPr>
          <w:rFonts w:cs="Times New Roman"/>
        </w:rPr>
        <w:t xml:space="preserve"> terrorist financing, illicit trafficking in narcotic drugs and psychotropic substances, money laundering arising from electronic counterfeiting and intellectual property theft, among others. Given the transnational nature of proceeds generating criminal activity in Togo, and the importance of incoming and outgoing financial flows related to corruption, tax evasion, misappropriation of funds, money laundering, drug and wildlife trafficking, trafficking in persons, and illicit smuggling and trafficking, Togo will need to strengthen efforts at the national and regional level to develop a risk-based approach to combat IFFs, </w:t>
      </w:r>
      <w:r w:rsidR="0030411E">
        <w:rPr>
          <w:rFonts w:cs="Times New Roman"/>
        </w:rPr>
        <w:t>including by</w:t>
      </w:r>
      <w:r w:rsidR="009577C2" w:rsidRPr="00834149">
        <w:rPr>
          <w:rFonts w:cs="Times New Roman"/>
        </w:rPr>
        <w:t xml:space="preserve"> enhancing international cooperation. </w:t>
      </w:r>
    </w:p>
    <w:p w14:paraId="18DE7954" w14:textId="77777777" w:rsidR="009577C2" w:rsidRPr="00834149" w:rsidRDefault="009577C2" w:rsidP="004C6A26">
      <w:pPr>
        <w:rPr>
          <w:rStyle w:val="Strong"/>
          <w:rFonts w:cs="Times New Roman"/>
        </w:rPr>
      </w:pPr>
    </w:p>
    <w:p w14:paraId="09CF695E" w14:textId="1F07DE11" w:rsidR="003B52F4" w:rsidRPr="00F566F5" w:rsidRDefault="003B52F4" w:rsidP="004C6A26">
      <w:pPr>
        <w:pStyle w:val="HEAD"/>
        <w:rPr>
          <w:rStyle w:val="Strong"/>
          <w:rFonts w:asciiTheme="minorHAnsi" w:hAnsiTheme="minorHAnsi"/>
          <w:bCs w:val="0"/>
          <w:sz w:val="22"/>
          <w:szCs w:val="22"/>
        </w:rPr>
      </w:pPr>
      <w:bookmarkStart w:id="16" w:name="_Toc480207634"/>
      <w:r w:rsidRPr="00834149">
        <w:rPr>
          <w:rStyle w:val="Strong"/>
          <w:rFonts w:asciiTheme="minorHAnsi" w:hAnsiTheme="minorHAnsi"/>
          <w:sz w:val="22"/>
          <w:szCs w:val="22"/>
        </w:rPr>
        <w:t xml:space="preserve">III. </w:t>
      </w:r>
      <w:r w:rsidRPr="00834149">
        <w:rPr>
          <w:rStyle w:val="Strong"/>
          <w:rFonts w:asciiTheme="minorHAnsi" w:hAnsiTheme="minorHAnsi"/>
          <w:bCs w:val="0"/>
          <w:sz w:val="22"/>
          <w:szCs w:val="22"/>
        </w:rPr>
        <w:t>WORLD</w:t>
      </w:r>
      <w:r w:rsidRPr="00834149">
        <w:rPr>
          <w:rStyle w:val="Strong"/>
          <w:rFonts w:asciiTheme="minorHAnsi" w:hAnsiTheme="minorHAnsi"/>
          <w:sz w:val="22"/>
          <w:szCs w:val="22"/>
        </w:rPr>
        <w:t xml:space="preserve"> BANK GROUP PARTNERSHIP STRATEGY</w:t>
      </w:r>
      <w:bookmarkEnd w:id="15"/>
      <w:bookmarkEnd w:id="16"/>
    </w:p>
    <w:p w14:paraId="7509EBA0" w14:textId="77777777" w:rsidR="003B52F4" w:rsidRPr="00834149" w:rsidRDefault="003B52F4" w:rsidP="004C6A26">
      <w:pPr>
        <w:widowControl w:val="0"/>
        <w:autoSpaceDE w:val="0"/>
        <w:autoSpaceDN w:val="0"/>
        <w:adjustRightInd w:val="0"/>
        <w:jc w:val="both"/>
        <w:rPr>
          <w:rFonts w:cs="Times New Roman"/>
          <w:bCs/>
          <w:color w:val="000000"/>
        </w:rPr>
      </w:pPr>
    </w:p>
    <w:p w14:paraId="18A146F9" w14:textId="2DBAA2D9" w:rsidR="003B52F4" w:rsidRPr="00834149" w:rsidRDefault="003B52F4" w:rsidP="00834149">
      <w:pPr>
        <w:pStyle w:val="Heading2"/>
        <w:spacing w:before="0"/>
        <w:jc w:val="both"/>
        <w:rPr>
          <w:rFonts w:asciiTheme="minorHAnsi" w:hAnsiTheme="minorHAnsi" w:cs="Times New Roman"/>
          <w:sz w:val="22"/>
          <w:szCs w:val="22"/>
        </w:rPr>
      </w:pPr>
      <w:bookmarkStart w:id="17" w:name="_Toc468803952"/>
      <w:bookmarkStart w:id="18" w:name="_Toc480207635"/>
      <w:r w:rsidRPr="00834149">
        <w:rPr>
          <w:rFonts w:asciiTheme="minorHAnsi" w:hAnsiTheme="minorHAnsi" w:cs="Times New Roman"/>
          <w:sz w:val="22"/>
          <w:szCs w:val="22"/>
        </w:rPr>
        <w:t>3.1 The Government’s National Development Plan</w:t>
      </w:r>
      <w:bookmarkEnd w:id="17"/>
      <w:bookmarkEnd w:id="18"/>
    </w:p>
    <w:p w14:paraId="7E2C7D05" w14:textId="77777777" w:rsidR="001A3785" w:rsidRPr="00834149" w:rsidRDefault="001A3785" w:rsidP="004C6A26">
      <w:pPr>
        <w:jc w:val="both"/>
        <w:rPr>
          <w:rFonts w:cs="Times New Roman"/>
        </w:rPr>
      </w:pPr>
    </w:p>
    <w:p w14:paraId="4F19850D" w14:textId="19B31009" w:rsidR="00763805" w:rsidRDefault="004C6770" w:rsidP="00834149">
      <w:pPr>
        <w:pStyle w:val="ListParagraph"/>
        <w:numPr>
          <w:ilvl w:val="0"/>
          <w:numId w:val="2"/>
        </w:numPr>
        <w:ind w:left="0" w:firstLine="0"/>
        <w:contextualSpacing w:val="0"/>
        <w:jc w:val="both"/>
        <w:rPr>
          <w:rFonts w:cs="Times New Roman"/>
        </w:rPr>
      </w:pPr>
      <w:r w:rsidRPr="00834149">
        <w:rPr>
          <w:rFonts w:cs="Times New Roman"/>
          <w:b/>
        </w:rPr>
        <w:t xml:space="preserve">In late 2015, the </w:t>
      </w:r>
      <w:r w:rsidR="00C622A7" w:rsidRPr="00834149">
        <w:rPr>
          <w:rFonts w:cs="Times New Roman"/>
          <w:b/>
        </w:rPr>
        <w:t>G</w:t>
      </w:r>
      <w:r w:rsidRPr="00834149">
        <w:rPr>
          <w:rFonts w:cs="Times New Roman"/>
          <w:b/>
        </w:rPr>
        <w:t>overnment launched the process of developing a new National Development Plan (</w:t>
      </w:r>
      <w:r w:rsidR="00670EF3" w:rsidRPr="00834149">
        <w:rPr>
          <w:rFonts w:cs="Times New Roman"/>
          <w:b/>
        </w:rPr>
        <w:t>PND</w:t>
      </w:r>
      <w:r w:rsidRPr="00834149">
        <w:rPr>
          <w:rFonts w:cs="Times New Roman"/>
          <w:b/>
        </w:rPr>
        <w:t>) for 2018–</w:t>
      </w:r>
      <w:r w:rsidR="00104C96" w:rsidRPr="004C6A26">
        <w:rPr>
          <w:rFonts w:cs="Times New Roman"/>
          <w:b/>
        </w:rPr>
        <w:t>20</w:t>
      </w:r>
      <w:r w:rsidRPr="00834149">
        <w:rPr>
          <w:rFonts w:cs="Times New Roman"/>
          <w:b/>
        </w:rPr>
        <w:t>22</w:t>
      </w:r>
      <w:r w:rsidRPr="00834149">
        <w:rPr>
          <w:rFonts w:cs="Times New Roman"/>
        </w:rPr>
        <w:t xml:space="preserve">. The </w:t>
      </w:r>
      <w:r w:rsidR="00670EF3" w:rsidRPr="00834149">
        <w:rPr>
          <w:rFonts w:cs="Times New Roman"/>
        </w:rPr>
        <w:t xml:space="preserve">PND </w:t>
      </w:r>
      <w:r w:rsidR="00716FEE" w:rsidRPr="00834149">
        <w:rPr>
          <w:rFonts w:cs="Times New Roman"/>
        </w:rPr>
        <w:t>follows</w:t>
      </w:r>
      <w:r w:rsidRPr="00834149">
        <w:rPr>
          <w:rFonts w:cs="Times New Roman"/>
        </w:rPr>
        <w:t xml:space="preserve"> the </w:t>
      </w:r>
      <w:r w:rsidR="00716FEE" w:rsidRPr="00834149">
        <w:rPr>
          <w:rFonts w:cs="Times New Roman"/>
        </w:rPr>
        <w:t>SCAPE</w:t>
      </w:r>
      <w:r w:rsidRPr="00834149">
        <w:rPr>
          <w:rFonts w:cs="Times New Roman"/>
        </w:rPr>
        <w:t xml:space="preserve"> (2013–</w:t>
      </w:r>
      <w:r w:rsidR="00104C96" w:rsidRPr="004C6A26">
        <w:rPr>
          <w:rFonts w:cs="Times New Roman"/>
        </w:rPr>
        <w:t>20</w:t>
      </w:r>
      <w:r w:rsidRPr="00834149">
        <w:rPr>
          <w:rFonts w:cs="Times New Roman"/>
        </w:rPr>
        <w:t>17)</w:t>
      </w:r>
      <w:r w:rsidR="004A3E60" w:rsidRPr="00834149">
        <w:rPr>
          <w:rFonts w:cs="Times New Roman"/>
        </w:rPr>
        <w:t xml:space="preserve"> and</w:t>
      </w:r>
      <w:r w:rsidR="00763805" w:rsidRPr="00834149">
        <w:rPr>
          <w:rFonts w:cs="Times New Roman"/>
        </w:rPr>
        <w:t xml:space="preserve"> </w:t>
      </w:r>
      <w:r w:rsidR="004A3E60" w:rsidRPr="00834149">
        <w:rPr>
          <w:rFonts w:cs="Times New Roman"/>
        </w:rPr>
        <w:t xml:space="preserve">will </w:t>
      </w:r>
      <w:r w:rsidR="00763805" w:rsidRPr="00834149">
        <w:rPr>
          <w:rFonts w:cs="Times New Roman"/>
        </w:rPr>
        <w:t>provide a medium-term framework for integrating and implementing the Sustainable Development Goals (SDGs). To this end, SDG priorities and target</w:t>
      </w:r>
      <w:r w:rsidR="00670EF3" w:rsidRPr="00834149">
        <w:rPr>
          <w:rFonts w:cs="Times New Roman"/>
        </w:rPr>
        <w:t>s</w:t>
      </w:r>
      <w:r w:rsidR="00763805" w:rsidRPr="00834149">
        <w:rPr>
          <w:rFonts w:cs="Times New Roman"/>
        </w:rPr>
        <w:t xml:space="preserve"> are being defined through a participatory process</w:t>
      </w:r>
      <w:r w:rsidR="00670EF3" w:rsidRPr="00834149">
        <w:rPr>
          <w:rFonts w:cs="Times New Roman"/>
        </w:rPr>
        <w:t>,</w:t>
      </w:r>
      <w:r w:rsidR="00763805" w:rsidRPr="00834149">
        <w:rPr>
          <w:rFonts w:cs="Times New Roman"/>
        </w:rPr>
        <w:t xml:space="preserve"> with support from the UN, </w:t>
      </w:r>
      <w:r w:rsidR="00DA0DD1">
        <w:rPr>
          <w:rFonts w:cs="Times New Roman"/>
        </w:rPr>
        <w:t>World Bank, and other partners.</w:t>
      </w:r>
    </w:p>
    <w:p w14:paraId="08A0BE59" w14:textId="77777777" w:rsidR="00DA0DD1" w:rsidRPr="00834149" w:rsidRDefault="00DA0DD1" w:rsidP="00DA0DD1">
      <w:pPr>
        <w:pStyle w:val="ListParagraph"/>
        <w:ind w:left="0"/>
        <w:contextualSpacing w:val="0"/>
        <w:jc w:val="both"/>
        <w:rPr>
          <w:rFonts w:cs="Times New Roman"/>
        </w:rPr>
      </w:pPr>
    </w:p>
    <w:p w14:paraId="1DEAA7E7" w14:textId="426DDB3A" w:rsidR="00716FEE" w:rsidRDefault="00763805" w:rsidP="00834149">
      <w:pPr>
        <w:pStyle w:val="ListParagraph"/>
        <w:numPr>
          <w:ilvl w:val="0"/>
          <w:numId w:val="2"/>
        </w:numPr>
        <w:ind w:left="0" w:firstLine="0"/>
        <w:contextualSpacing w:val="0"/>
        <w:jc w:val="both"/>
        <w:rPr>
          <w:rFonts w:cs="Times New Roman"/>
        </w:rPr>
      </w:pPr>
      <w:r w:rsidRPr="00834149">
        <w:rPr>
          <w:rFonts w:cs="Times New Roman"/>
          <w:b/>
        </w:rPr>
        <w:t>An early draft of the PND presents the initial strategic priorities for the country</w:t>
      </w:r>
      <w:r w:rsidRPr="00834149">
        <w:rPr>
          <w:rFonts w:cs="Times New Roman"/>
        </w:rPr>
        <w:t xml:space="preserve">. </w:t>
      </w:r>
      <w:r w:rsidR="0030411E">
        <w:rPr>
          <w:rFonts w:cs="Times New Roman"/>
        </w:rPr>
        <w:t xml:space="preserve"> T</w:t>
      </w:r>
      <w:r w:rsidR="00503EEB" w:rsidRPr="00834149">
        <w:rPr>
          <w:rFonts w:cs="Times New Roman"/>
        </w:rPr>
        <w:t xml:space="preserve">he PND’s </w:t>
      </w:r>
      <w:r w:rsidR="003A2E48" w:rsidRPr="00834149">
        <w:rPr>
          <w:rFonts w:cs="Times New Roman"/>
        </w:rPr>
        <w:t>principal</w:t>
      </w:r>
      <w:r w:rsidR="00503EEB" w:rsidRPr="00834149">
        <w:rPr>
          <w:rFonts w:cs="Times New Roman"/>
        </w:rPr>
        <w:t xml:space="preserve"> goal is to forge a democratic nation that is solid, stable, open to the world, and structurally transformed, in which all local and regional authorities participate in a substantial way in strong, sustainable, inclusive growth, promoting equitable access to quality social services</w:t>
      </w:r>
      <w:r w:rsidR="00716FEE" w:rsidRPr="00834149">
        <w:rPr>
          <w:rFonts w:cs="Times New Roman"/>
        </w:rPr>
        <w:t>, and</w:t>
      </w:r>
      <w:r w:rsidR="00503EEB" w:rsidRPr="00834149">
        <w:rPr>
          <w:rFonts w:cs="Times New Roman"/>
        </w:rPr>
        <w:t xml:space="preserve"> </w:t>
      </w:r>
      <w:r w:rsidR="00716FEE" w:rsidRPr="00834149">
        <w:rPr>
          <w:rFonts w:cs="Times New Roman"/>
        </w:rPr>
        <w:t>respecting</w:t>
      </w:r>
      <w:r w:rsidR="00503EEB" w:rsidRPr="00834149">
        <w:rPr>
          <w:rFonts w:cs="Times New Roman"/>
        </w:rPr>
        <w:t xml:space="preserve"> the environment. </w:t>
      </w:r>
      <w:r w:rsidR="00716FEE" w:rsidRPr="00834149">
        <w:rPr>
          <w:rFonts w:cs="Times New Roman"/>
        </w:rPr>
        <w:t>In line with Vision 2030, t</w:t>
      </w:r>
      <w:r w:rsidR="00503EEB" w:rsidRPr="00834149">
        <w:rPr>
          <w:rFonts w:cs="Times New Roman"/>
        </w:rPr>
        <w:t>he PND</w:t>
      </w:r>
      <w:r w:rsidR="0094567D" w:rsidRPr="00834149">
        <w:rPr>
          <w:rFonts w:cs="Times New Roman"/>
        </w:rPr>
        <w:t xml:space="preserve">’s </w:t>
      </w:r>
      <w:r w:rsidR="00716FEE" w:rsidRPr="00834149">
        <w:rPr>
          <w:rFonts w:cs="Times New Roman"/>
        </w:rPr>
        <w:t>medium-term strategic objectives are</w:t>
      </w:r>
      <w:r w:rsidR="00DA0DD1">
        <w:rPr>
          <w:rFonts w:cs="Times New Roman"/>
        </w:rPr>
        <w:t>:</w:t>
      </w:r>
    </w:p>
    <w:p w14:paraId="042305CE" w14:textId="77777777" w:rsidR="00DA0DD1" w:rsidRPr="00DA0DD1" w:rsidRDefault="00DA0DD1" w:rsidP="00DA0DD1">
      <w:pPr>
        <w:pStyle w:val="ListParagraph"/>
        <w:rPr>
          <w:rFonts w:cs="Times New Roman"/>
        </w:rPr>
      </w:pPr>
    </w:p>
    <w:p w14:paraId="7A438802" w14:textId="219882CD" w:rsidR="00716FEE" w:rsidRDefault="00130057" w:rsidP="00834149">
      <w:pPr>
        <w:pStyle w:val="ListParagraph"/>
        <w:ind w:left="180"/>
        <w:contextualSpacing w:val="0"/>
        <w:jc w:val="both"/>
        <w:rPr>
          <w:rFonts w:cs="Times New Roman"/>
        </w:rPr>
      </w:pPr>
      <w:r w:rsidRPr="00834149">
        <w:rPr>
          <w:rFonts w:cs="Times New Roman"/>
          <w:b/>
        </w:rPr>
        <w:t>(1)</w:t>
      </w:r>
      <w:r w:rsidR="00670EF3" w:rsidRPr="00834149">
        <w:rPr>
          <w:rFonts w:cs="Times New Roman"/>
          <w:b/>
        </w:rPr>
        <w:t xml:space="preserve"> </w:t>
      </w:r>
      <w:r w:rsidRPr="00834149">
        <w:rPr>
          <w:rFonts w:cs="Times New Roman"/>
          <w:b/>
        </w:rPr>
        <w:t>I</w:t>
      </w:r>
      <w:r w:rsidR="0094567D" w:rsidRPr="00834149">
        <w:rPr>
          <w:rFonts w:cs="Times New Roman"/>
          <w:b/>
        </w:rPr>
        <w:t>mproving the well-being and development of the population</w:t>
      </w:r>
      <w:r w:rsidR="00716FEE" w:rsidRPr="00834149">
        <w:rPr>
          <w:rFonts w:cs="Times New Roman"/>
        </w:rPr>
        <w:t xml:space="preserve">: </w:t>
      </w:r>
      <w:r w:rsidR="00670EF3" w:rsidRPr="00834149">
        <w:rPr>
          <w:rFonts w:cs="Times New Roman"/>
        </w:rPr>
        <w:t>T</w:t>
      </w:r>
      <w:r w:rsidR="00716FEE" w:rsidRPr="00834149">
        <w:rPr>
          <w:rFonts w:cs="Times New Roman"/>
        </w:rPr>
        <w:t xml:space="preserve">he </w:t>
      </w:r>
      <w:r w:rsidR="00670EF3" w:rsidRPr="00834149">
        <w:rPr>
          <w:rFonts w:cs="Times New Roman"/>
        </w:rPr>
        <w:t xml:space="preserve">PND will focus on the </w:t>
      </w:r>
      <w:r w:rsidR="00716FEE" w:rsidRPr="00834149">
        <w:rPr>
          <w:rFonts w:cs="Times New Roman"/>
        </w:rPr>
        <w:t>Urgent Program of Community Development, the National Fund for Financial Inclusion</w:t>
      </w:r>
      <w:r w:rsidR="00670EF3" w:rsidRPr="00834149">
        <w:rPr>
          <w:rFonts w:cs="Times New Roman"/>
        </w:rPr>
        <w:t>,</w:t>
      </w:r>
      <w:r w:rsidR="00716FEE" w:rsidRPr="00834149">
        <w:rPr>
          <w:rFonts w:cs="Times New Roman"/>
        </w:rPr>
        <w:t xml:space="preserve"> and the construction and rehabilitation of socioeconomic infrastructure and services needed to </w:t>
      </w:r>
      <w:r w:rsidR="004A3E60" w:rsidRPr="00834149">
        <w:rPr>
          <w:rFonts w:cs="Times New Roman"/>
        </w:rPr>
        <w:t>ensure</w:t>
      </w:r>
      <w:r w:rsidR="00716FEE" w:rsidRPr="00834149">
        <w:rPr>
          <w:rFonts w:cs="Times New Roman"/>
        </w:rPr>
        <w:t xml:space="preserve"> the population’s well-being and to eventually establish a future middle class</w:t>
      </w:r>
      <w:r w:rsidR="00670EF3" w:rsidRPr="00834149">
        <w:rPr>
          <w:rFonts w:cs="Times New Roman"/>
        </w:rPr>
        <w:t>.</w:t>
      </w:r>
    </w:p>
    <w:p w14:paraId="759552F9" w14:textId="77777777" w:rsidR="004C6A26" w:rsidRPr="00834149" w:rsidRDefault="004C6A26" w:rsidP="00834149">
      <w:pPr>
        <w:pStyle w:val="ListParagraph"/>
        <w:ind w:left="180"/>
        <w:contextualSpacing w:val="0"/>
        <w:jc w:val="both"/>
        <w:rPr>
          <w:rFonts w:cs="Times New Roman"/>
        </w:rPr>
      </w:pPr>
    </w:p>
    <w:p w14:paraId="10E2FE01" w14:textId="0A30525C" w:rsidR="000304A0" w:rsidRDefault="0094567D" w:rsidP="00834149">
      <w:pPr>
        <w:pStyle w:val="ListParagraph"/>
        <w:ind w:left="180"/>
        <w:contextualSpacing w:val="0"/>
        <w:jc w:val="both"/>
        <w:rPr>
          <w:rFonts w:cs="Times New Roman"/>
        </w:rPr>
      </w:pPr>
      <w:r w:rsidRPr="00834149">
        <w:rPr>
          <w:rFonts w:cs="Times New Roman"/>
          <w:b/>
        </w:rPr>
        <w:t>(2)</w:t>
      </w:r>
      <w:r w:rsidRPr="00834149">
        <w:rPr>
          <w:rFonts w:cs="Times New Roman"/>
        </w:rPr>
        <w:t xml:space="preserve"> </w:t>
      </w:r>
      <w:r w:rsidR="00130057" w:rsidRPr="00834149">
        <w:rPr>
          <w:rFonts w:cs="Times New Roman"/>
          <w:b/>
        </w:rPr>
        <w:t>B</w:t>
      </w:r>
      <w:r w:rsidRPr="00834149">
        <w:rPr>
          <w:rFonts w:cs="Times New Roman"/>
          <w:b/>
        </w:rPr>
        <w:t>oosting the productivity and co</w:t>
      </w:r>
      <w:r w:rsidR="00716FEE" w:rsidRPr="00834149">
        <w:rPr>
          <w:rFonts w:cs="Times New Roman"/>
          <w:b/>
        </w:rPr>
        <w:t>mpetitiveness of growth sectors</w:t>
      </w:r>
      <w:r w:rsidR="000304A0" w:rsidRPr="00834149">
        <w:rPr>
          <w:rFonts w:cs="Times New Roman"/>
        </w:rPr>
        <w:t xml:space="preserve"> and </w:t>
      </w:r>
      <w:r w:rsidR="000304A0" w:rsidRPr="00834149">
        <w:rPr>
          <w:rFonts w:cs="Times New Roman"/>
          <w:b/>
        </w:rPr>
        <w:t>(3)</w:t>
      </w:r>
      <w:r w:rsidR="000304A0" w:rsidRPr="00834149">
        <w:rPr>
          <w:rFonts w:cs="Times New Roman"/>
        </w:rPr>
        <w:t xml:space="preserve"> </w:t>
      </w:r>
      <w:r w:rsidR="00670EF3" w:rsidRPr="00834149">
        <w:rPr>
          <w:rFonts w:cs="Times New Roman"/>
          <w:b/>
        </w:rPr>
        <w:t>S</w:t>
      </w:r>
      <w:r w:rsidR="000304A0" w:rsidRPr="00834149">
        <w:rPr>
          <w:rFonts w:cs="Times New Roman"/>
          <w:b/>
        </w:rPr>
        <w:t>trengthening infrastructure to support growth</w:t>
      </w:r>
      <w:r w:rsidR="00716FEE" w:rsidRPr="00834149">
        <w:rPr>
          <w:rFonts w:cs="Times New Roman"/>
        </w:rPr>
        <w:t>:</w:t>
      </w:r>
      <w:r w:rsidR="000304A0" w:rsidRPr="00834149">
        <w:rPr>
          <w:rFonts w:cs="Times New Roman"/>
        </w:rPr>
        <w:t xml:space="preserve"> </w:t>
      </w:r>
      <w:r w:rsidR="006A01D9" w:rsidRPr="00834149">
        <w:rPr>
          <w:rFonts w:cs="Times New Roman"/>
        </w:rPr>
        <w:t>For Togo t</w:t>
      </w:r>
      <w:r w:rsidR="000304A0" w:rsidRPr="00834149">
        <w:rPr>
          <w:rFonts w:cs="Times New Roman"/>
        </w:rPr>
        <w:t>o become a leader in services and industry, this objective e</w:t>
      </w:r>
      <w:r w:rsidR="00716FEE" w:rsidRPr="00834149">
        <w:rPr>
          <w:rFonts w:cs="Times New Roman"/>
        </w:rPr>
        <w:t>mphasiz</w:t>
      </w:r>
      <w:r w:rsidR="000304A0" w:rsidRPr="00834149">
        <w:rPr>
          <w:rFonts w:cs="Times New Roman"/>
        </w:rPr>
        <w:t>es</w:t>
      </w:r>
      <w:r w:rsidR="00716FEE" w:rsidRPr="00834149">
        <w:rPr>
          <w:rFonts w:cs="Times New Roman"/>
        </w:rPr>
        <w:t xml:space="preserve"> </w:t>
      </w:r>
      <w:r w:rsidR="000304A0" w:rsidRPr="00834149">
        <w:rPr>
          <w:rFonts w:cs="Times New Roman"/>
        </w:rPr>
        <w:t xml:space="preserve">improving the quality and reducing the costs of </w:t>
      </w:r>
      <w:r w:rsidR="00716FEE" w:rsidRPr="00834149">
        <w:rPr>
          <w:rFonts w:cs="Times New Roman"/>
        </w:rPr>
        <w:t xml:space="preserve">energy, telecommunications, and transport (air, sea, </w:t>
      </w:r>
      <w:r w:rsidR="000304A0" w:rsidRPr="00834149">
        <w:rPr>
          <w:rFonts w:cs="Times New Roman"/>
        </w:rPr>
        <w:t>river, road</w:t>
      </w:r>
      <w:r w:rsidR="00670EF3" w:rsidRPr="00834149">
        <w:rPr>
          <w:rFonts w:cs="Times New Roman"/>
        </w:rPr>
        <w:t>,</w:t>
      </w:r>
      <w:r w:rsidR="000304A0" w:rsidRPr="00834149">
        <w:rPr>
          <w:rFonts w:cs="Times New Roman"/>
        </w:rPr>
        <w:t xml:space="preserve"> and rail</w:t>
      </w:r>
      <w:r w:rsidR="00716FEE" w:rsidRPr="00834149">
        <w:rPr>
          <w:rFonts w:cs="Times New Roman"/>
        </w:rPr>
        <w:t>)</w:t>
      </w:r>
      <w:r w:rsidR="000304A0" w:rsidRPr="00834149">
        <w:rPr>
          <w:rFonts w:cs="Times New Roman"/>
        </w:rPr>
        <w:t xml:space="preserve">—services and infrastructure that drive growth and will help make Togo more competitive in the region and globally. The objective will </w:t>
      </w:r>
      <w:r w:rsidR="004A3E60" w:rsidRPr="00834149">
        <w:rPr>
          <w:rFonts w:cs="Times New Roman"/>
        </w:rPr>
        <w:t>also be achieved by developing the</w:t>
      </w:r>
      <w:r w:rsidR="000304A0" w:rsidRPr="00834149">
        <w:rPr>
          <w:rFonts w:cs="Times New Roman"/>
        </w:rPr>
        <w:t xml:space="preserve"> blue economy and positioning tourism, culture, sports</w:t>
      </w:r>
      <w:r w:rsidR="00670EF3" w:rsidRPr="00834149">
        <w:rPr>
          <w:rFonts w:cs="Times New Roman"/>
        </w:rPr>
        <w:t>,</w:t>
      </w:r>
      <w:r w:rsidR="000304A0" w:rsidRPr="00834149">
        <w:rPr>
          <w:rFonts w:cs="Times New Roman"/>
        </w:rPr>
        <w:t xml:space="preserve"> and communication to create jobs and wealth</w:t>
      </w:r>
      <w:r w:rsidR="00670EF3" w:rsidRPr="00834149">
        <w:rPr>
          <w:rFonts w:cs="Times New Roman"/>
        </w:rPr>
        <w:t>.</w:t>
      </w:r>
    </w:p>
    <w:p w14:paraId="7AD44F70" w14:textId="77777777" w:rsidR="004C6A26" w:rsidRPr="00834149" w:rsidRDefault="004C6A26" w:rsidP="00834149">
      <w:pPr>
        <w:pStyle w:val="ListParagraph"/>
        <w:ind w:left="180"/>
        <w:contextualSpacing w:val="0"/>
        <w:jc w:val="both"/>
        <w:rPr>
          <w:rFonts w:cs="Times New Roman"/>
        </w:rPr>
      </w:pPr>
    </w:p>
    <w:p w14:paraId="54D74C73" w14:textId="240A81D3" w:rsidR="001F2487" w:rsidRDefault="00130057" w:rsidP="00834149">
      <w:pPr>
        <w:pStyle w:val="ListParagraph"/>
        <w:ind w:left="180"/>
        <w:contextualSpacing w:val="0"/>
        <w:jc w:val="both"/>
        <w:rPr>
          <w:rFonts w:cs="Times New Roman"/>
        </w:rPr>
      </w:pPr>
      <w:r w:rsidRPr="00834149">
        <w:rPr>
          <w:rFonts w:cs="Times New Roman"/>
          <w:b/>
        </w:rPr>
        <w:t>(4) P</w:t>
      </w:r>
      <w:r w:rsidR="0094567D" w:rsidRPr="00834149">
        <w:rPr>
          <w:rFonts w:cs="Times New Roman"/>
          <w:b/>
        </w:rPr>
        <w:t xml:space="preserve">romoting sustainable management of the </w:t>
      </w:r>
      <w:r w:rsidR="00452B68" w:rsidRPr="00834149">
        <w:rPr>
          <w:rFonts w:cs="Times New Roman"/>
          <w:b/>
        </w:rPr>
        <w:t xml:space="preserve">territory, the </w:t>
      </w:r>
      <w:r w:rsidR="0094567D" w:rsidRPr="00834149">
        <w:rPr>
          <w:rFonts w:cs="Times New Roman"/>
          <w:b/>
        </w:rPr>
        <w:t>environment</w:t>
      </w:r>
      <w:r w:rsidR="00452B68" w:rsidRPr="00834149">
        <w:rPr>
          <w:rFonts w:cs="Times New Roman"/>
          <w:b/>
        </w:rPr>
        <w:t>, and living standards</w:t>
      </w:r>
      <w:r w:rsidR="000304A0" w:rsidRPr="00834149">
        <w:rPr>
          <w:rFonts w:cs="Times New Roman"/>
        </w:rPr>
        <w:t xml:space="preserve">: </w:t>
      </w:r>
      <w:r w:rsidR="00670EF3" w:rsidRPr="00834149">
        <w:rPr>
          <w:rFonts w:cs="Times New Roman"/>
        </w:rPr>
        <w:t>This objective focuses on p</w:t>
      </w:r>
      <w:r w:rsidR="000304A0" w:rsidRPr="00834149">
        <w:rPr>
          <w:rFonts w:cs="Times New Roman"/>
        </w:rPr>
        <w:t>romoting decentralization and balanced development of regions, transfer of resources</w:t>
      </w:r>
      <w:r w:rsidR="00670EF3" w:rsidRPr="00834149">
        <w:rPr>
          <w:rFonts w:cs="Times New Roman"/>
        </w:rPr>
        <w:t>,</w:t>
      </w:r>
      <w:r w:rsidR="000304A0" w:rsidRPr="00834149">
        <w:rPr>
          <w:rFonts w:cs="Times New Roman"/>
        </w:rPr>
        <w:t xml:space="preserve"> and skills to help develop the potential of </w:t>
      </w:r>
      <w:r w:rsidR="00790B22" w:rsidRPr="00834149">
        <w:rPr>
          <w:rFonts w:cs="Times New Roman"/>
        </w:rPr>
        <w:t xml:space="preserve">each </w:t>
      </w:r>
      <w:r w:rsidR="000304A0" w:rsidRPr="00834149">
        <w:rPr>
          <w:rFonts w:cs="Times New Roman"/>
        </w:rPr>
        <w:t>region; supporting preservation of the environment, management of natural resources</w:t>
      </w:r>
      <w:r w:rsidR="00670EF3" w:rsidRPr="00834149">
        <w:rPr>
          <w:rFonts w:cs="Times New Roman"/>
        </w:rPr>
        <w:t>,</w:t>
      </w:r>
      <w:r w:rsidR="000304A0" w:rsidRPr="00834149">
        <w:rPr>
          <w:rFonts w:cs="Times New Roman"/>
        </w:rPr>
        <w:t xml:space="preserve"> and adaptation to climate change; </w:t>
      </w:r>
      <w:r w:rsidR="00670EF3" w:rsidRPr="00834149">
        <w:rPr>
          <w:rFonts w:cs="Times New Roman"/>
        </w:rPr>
        <w:t>and i</w:t>
      </w:r>
      <w:r w:rsidR="001F2487" w:rsidRPr="00834149">
        <w:rPr>
          <w:rFonts w:cs="Times New Roman"/>
        </w:rPr>
        <w:t>m</w:t>
      </w:r>
      <w:r w:rsidR="000304A0" w:rsidRPr="00834149">
        <w:rPr>
          <w:rFonts w:cs="Times New Roman"/>
        </w:rPr>
        <w:t xml:space="preserve">plementing institutional and constitutional reforms to give </w:t>
      </w:r>
      <w:r w:rsidR="00670EF3" w:rsidRPr="00834149">
        <w:rPr>
          <w:rFonts w:cs="Times New Roman"/>
        </w:rPr>
        <w:t xml:space="preserve">all </w:t>
      </w:r>
      <w:r w:rsidR="000304A0" w:rsidRPr="00834149">
        <w:rPr>
          <w:rFonts w:cs="Times New Roman"/>
        </w:rPr>
        <w:t xml:space="preserve">Togolese </w:t>
      </w:r>
      <w:r w:rsidR="00670EF3" w:rsidRPr="00834149">
        <w:rPr>
          <w:rFonts w:cs="Times New Roman"/>
        </w:rPr>
        <w:t xml:space="preserve">access to </w:t>
      </w:r>
      <w:r w:rsidR="000304A0" w:rsidRPr="00834149">
        <w:rPr>
          <w:rFonts w:cs="Times New Roman"/>
        </w:rPr>
        <w:t>equal opportunit</w:t>
      </w:r>
      <w:r w:rsidR="00670EF3" w:rsidRPr="00834149">
        <w:rPr>
          <w:rFonts w:cs="Times New Roman"/>
        </w:rPr>
        <w:t>ies</w:t>
      </w:r>
      <w:r w:rsidR="000304A0" w:rsidRPr="00834149">
        <w:rPr>
          <w:rFonts w:cs="Times New Roman"/>
        </w:rPr>
        <w:t xml:space="preserve"> and</w:t>
      </w:r>
      <w:r w:rsidR="00670EF3" w:rsidRPr="00834149">
        <w:rPr>
          <w:rFonts w:cs="Times New Roman"/>
        </w:rPr>
        <w:t xml:space="preserve"> adequate</w:t>
      </w:r>
      <w:r w:rsidR="000304A0" w:rsidRPr="00834149">
        <w:rPr>
          <w:rFonts w:cs="Times New Roman"/>
        </w:rPr>
        <w:t xml:space="preserve"> living conditions</w:t>
      </w:r>
      <w:r w:rsidR="00670EF3" w:rsidRPr="00834149">
        <w:rPr>
          <w:rFonts w:cs="Times New Roman"/>
        </w:rPr>
        <w:t>.</w:t>
      </w:r>
      <w:r w:rsidR="00452B68" w:rsidRPr="00834149">
        <w:rPr>
          <w:rFonts w:cs="Times New Roman"/>
        </w:rPr>
        <w:t xml:space="preserve"> </w:t>
      </w:r>
    </w:p>
    <w:p w14:paraId="42233C77" w14:textId="77777777" w:rsidR="004C6A26" w:rsidRPr="00834149" w:rsidRDefault="004C6A26" w:rsidP="00834149">
      <w:pPr>
        <w:pStyle w:val="ListParagraph"/>
        <w:ind w:left="180"/>
        <w:contextualSpacing w:val="0"/>
        <w:jc w:val="both"/>
        <w:rPr>
          <w:rFonts w:cs="Times New Roman"/>
        </w:rPr>
      </w:pPr>
    </w:p>
    <w:p w14:paraId="05BF2C47" w14:textId="4EF9E691" w:rsidR="00CF5F5F" w:rsidRDefault="00452B68" w:rsidP="00834149">
      <w:pPr>
        <w:pStyle w:val="ListParagraph"/>
        <w:ind w:left="180"/>
        <w:contextualSpacing w:val="0"/>
        <w:jc w:val="both"/>
        <w:rPr>
          <w:rFonts w:cs="Times New Roman"/>
        </w:rPr>
      </w:pPr>
      <w:r w:rsidRPr="00834149">
        <w:rPr>
          <w:rFonts w:cs="Times New Roman"/>
          <w:b/>
        </w:rPr>
        <w:t xml:space="preserve">(5) </w:t>
      </w:r>
      <w:r w:rsidR="00130057" w:rsidRPr="00834149">
        <w:rPr>
          <w:rFonts w:cs="Times New Roman"/>
          <w:b/>
        </w:rPr>
        <w:t>S</w:t>
      </w:r>
      <w:r w:rsidR="001F2487" w:rsidRPr="00834149">
        <w:rPr>
          <w:rFonts w:cs="Times New Roman"/>
          <w:b/>
        </w:rPr>
        <w:t>trengthening</w:t>
      </w:r>
      <w:r w:rsidRPr="00834149">
        <w:rPr>
          <w:rFonts w:cs="Times New Roman"/>
          <w:b/>
        </w:rPr>
        <w:t xml:space="preserve"> gov</w:t>
      </w:r>
      <w:r w:rsidR="001F2487" w:rsidRPr="00834149">
        <w:rPr>
          <w:rFonts w:cs="Times New Roman"/>
          <w:b/>
        </w:rPr>
        <w:t>ernance and consolidating peace</w:t>
      </w:r>
      <w:r w:rsidR="001F2487" w:rsidRPr="00834149">
        <w:rPr>
          <w:rFonts w:cs="Times New Roman"/>
        </w:rPr>
        <w:t xml:space="preserve">: </w:t>
      </w:r>
      <w:r w:rsidR="00670EF3" w:rsidRPr="00834149">
        <w:rPr>
          <w:rFonts w:cs="Times New Roman"/>
        </w:rPr>
        <w:t>This objective emphasizes s</w:t>
      </w:r>
      <w:r w:rsidR="001F2487" w:rsidRPr="00834149">
        <w:rPr>
          <w:rFonts w:cs="Times New Roman"/>
        </w:rPr>
        <w:t>trengthening governance and the capacity of local and national actors; mobilizing resources</w:t>
      </w:r>
      <w:r w:rsidR="00670EF3" w:rsidRPr="00834149">
        <w:rPr>
          <w:rFonts w:cs="Times New Roman"/>
        </w:rPr>
        <w:t>,</w:t>
      </w:r>
      <w:r w:rsidR="001F2487" w:rsidRPr="00834149">
        <w:rPr>
          <w:rFonts w:cs="Times New Roman"/>
        </w:rPr>
        <w:t xml:space="preserve"> strengthening the </w:t>
      </w:r>
      <w:r w:rsidR="001F2487" w:rsidRPr="00834149">
        <w:rPr>
          <w:rFonts w:cs="Times New Roman"/>
        </w:rPr>
        <w:lastRenderedPageBreak/>
        <w:t>management of public finances, and creating strong institutions and partnership</w:t>
      </w:r>
      <w:r w:rsidR="00D00465" w:rsidRPr="00834149">
        <w:rPr>
          <w:rFonts w:cs="Times New Roman"/>
        </w:rPr>
        <w:t>s</w:t>
      </w:r>
      <w:r w:rsidR="001F2487" w:rsidRPr="00834149">
        <w:rPr>
          <w:rFonts w:cs="Times New Roman"/>
        </w:rPr>
        <w:t xml:space="preserve">, notably </w:t>
      </w:r>
      <w:r w:rsidR="00670EF3" w:rsidRPr="00834149">
        <w:rPr>
          <w:rFonts w:cs="Times New Roman"/>
        </w:rPr>
        <w:t xml:space="preserve">between </w:t>
      </w:r>
      <w:r w:rsidR="001F2487" w:rsidRPr="00834149">
        <w:rPr>
          <w:rFonts w:cs="Times New Roman"/>
        </w:rPr>
        <w:t>public and private</w:t>
      </w:r>
      <w:r w:rsidR="00670EF3" w:rsidRPr="00834149">
        <w:rPr>
          <w:rFonts w:cs="Times New Roman"/>
        </w:rPr>
        <w:t xml:space="preserve"> spheres</w:t>
      </w:r>
      <w:r w:rsidR="001F2487" w:rsidRPr="00834149">
        <w:rPr>
          <w:rFonts w:cs="Times New Roman"/>
        </w:rPr>
        <w:t>; promoting civics, citizenship, patriotism and entrepreneurship</w:t>
      </w:r>
      <w:r w:rsidR="00670EF3" w:rsidRPr="00834149">
        <w:rPr>
          <w:rFonts w:cs="Times New Roman"/>
        </w:rPr>
        <w:t xml:space="preserve">; </w:t>
      </w:r>
      <w:r w:rsidR="001F2487" w:rsidRPr="00834149">
        <w:rPr>
          <w:rFonts w:cs="Times New Roman"/>
        </w:rPr>
        <w:t>strengthening human rights and democratic principles</w:t>
      </w:r>
      <w:r w:rsidR="00670EF3" w:rsidRPr="00834149">
        <w:rPr>
          <w:rFonts w:cs="Times New Roman"/>
        </w:rPr>
        <w:t xml:space="preserve">; </w:t>
      </w:r>
      <w:r w:rsidR="001F2487" w:rsidRPr="00834149">
        <w:rPr>
          <w:rFonts w:cs="Times New Roman"/>
        </w:rPr>
        <w:t xml:space="preserve">strengthening justice, executive and legislative services and their </w:t>
      </w:r>
      <w:r w:rsidR="00763805" w:rsidRPr="00834149">
        <w:rPr>
          <w:rFonts w:cs="Times New Roman"/>
        </w:rPr>
        <w:t>financial and administrative autonomy</w:t>
      </w:r>
      <w:r w:rsidR="001F2487" w:rsidRPr="00834149">
        <w:rPr>
          <w:rFonts w:cs="Times New Roman"/>
        </w:rPr>
        <w:t>.</w:t>
      </w:r>
    </w:p>
    <w:p w14:paraId="640F1F37" w14:textId="77777777" w:rsidR="004C6A26" w:rsidRPr="00834149" w:rsidRDefault="004C6A26" w:rsidP="00834149">
      <w:pPr>
        <w:pStyle w:val="ListParagraph"/>
        <w:ind w:left="180"/>
        <w:contextualSpacing w:val="0"/>
        <w:jc w:val="both"/>
        <w:rPr>
          <w:rFonts w:cs="Times New Roman"/>
        </w:rPr>
      </w:pPr>
    </w:p>
    <w:p w14:paraId="216B0C64" w14:textId="254C5AB4" w:rsidR="00157CE3" w:rsidRDefault="00157CE3" w:rsidP="00834149">
      <w:pPr>
        <w:pStyle w:val="ListParagraph"/>
        <w:numPr>
          <w:ilvl w:val="0"/>
          <w:numId w:val="2"/>
        </w:numPr>
        <w:ind w:left="0" w:firstLine="0"/>
        <w:contextualSpacing w:val="0"/>
        <w:jc w:val="both"/>
        <w:rPr>
          <w:rFonts w:cs="Times New Roman"/>
        </w:rPr>
      </w:pPr>
      <w:r w:rsidRPr="00834149">
        <w:rPr>
          <w:rFonts w:cs="Times New Roman"/>
        </w:rPr>
        <w:t xml:space="preserve">The </w:t>
      </w:r>
      <w:r w:rsidR="00C622A7" w:rsidRPr="00834149">
        <w:rPr>
          <w:rFonts w:cs="Times New Roman"/>
        </w:rPr>
        <w:t>G</w:t>
      </w:r>
      <w:r w:rsidRPr="00834149">
        <w:rPr>
          <w:rFonts w:cs="Times New Roman"/>
        </w:rPr>
        <w:t>overnment plans to complete preparation of the budgeting plan for the PND by March 2017 and expects to have the PND validated and adopted by May 2017.</w:t>
      </w:r>
    </w:p>
    <w:p w14:paraId="748226B3" w14:textId="77777777" w:rsidR="004C6A26" w:rsidRPr="00834149" w:rsidRDefault="004C6A26" w:rsidP="00834149">
      <w:pPr>
        <w:pStyle w:val="ListParagraph"/>
        <w:ind w:left="0"/>
        <w:contextualSpacing w:val="0"/>
        <w:jc w:val="both"/>
        <w:rPr>
          <w:rFonts w:cs="Times New Roman"/>
        </w:rPr>
      </w:pPr>
    </w:p>
    <w:p w14:paraId="0BC51C5C" w14:textId="7D55C99E" w:rsidR="002B7A1D" w:rsidRPr="00834149" w:rsidRDefault="002B7A1D" w:rsidP="004C6A26">
      <w:pPr>
        <w:pStyle w:val="Heading2"/>
        <w:spacing w:before="0"/>
        <w:jc w:val="both"/>
        <w:rPr>
          <w:rFonts w:asciiTheme="minorHAnsi" w:hAnsiTheme="minorHAnsi" w:cs="Times New Roman"/>
          <w:sz w:val="22"/>
          <w:szCs w:val="22"/>
        </w:rPr>
      </w:pPr>
      <w:bookmarkStart w:id="19" w:name="_Toc468803953"/>
      <w:bookmarkStart w:id="20" w:name="_Toc480207636"/>
      <w:r w:rsidRPr="00834149">
        <w:rPr>
          <w:rFonts w:asciiTheme="minorHAnsi" w:hAnsiTheme="minorHAnsi" w:cs="Times New Roman"/>
          <w:sz w:val="22"/>
          <w:szCs w:val="22"/>
        </w:rPr>
        <w:t>3.2 World Bank Group Country Partnership Framework</w:t>
      </w:r>
      <w:bookmarkEnd w:id="19"/>
      <w:bookmarkEnd w:id="20"/>
    </w:p>
    <w:p w14:paraId="23DDAC7F" w14:textId="77777777" w:rsidR="002B7A1D" w:rsidRPr="00834149" w:rsidRDefault="002B7A1D" w:rsidP="004C6A26">
      <w:pPr>
        <w:jc w:val="both"/>
        <w:rPr>
          <w:rFonts w:cs="Times New Roman"/>
        </w:rPr>
      </w:pPr>
    </w:p>
    <w:p w14:paraId="0A2F4B06" w14:textId="2FD55437" w:rsidR="002B7A1D" w:rsidRPr="00834149" w:rsidRDefault="002B7A1D" w:rsidP="004C6A26">
      <w:pPr>
        <w:pStyle w:val="Heading3"/>
        <w:spacing w:before="0" w:line="240" w:lineRule="auto"/>
        <w:jc w:val="both"/>
        <w:rPr>
          <w:rFonts w:asciiTheme="minorHAnsi" w:hAnsiTheme="minorHAnsi" w:cs="Times New Roman"/>
        </w:rPr>
      </w:pPr>
      <w:bookmarkStart w:id="21" w:name="_Toc480207637"/>
      <w:r w:rsidRPr="00834149">
        <w:rPr>
          <w:rFonts w:asciiTheme="minorHAnsi" w:hAnsiTheme="minorHAnsi" w:cs="Times New Roman"/>
        </w:rPr>
        <w:t xml:space="preserve">3.2.1 Lessons </w:t>
      </w:r>
      <w:r w:rsidR="0066637D" w:rsidRPr="00834149">
        <w:rPr>
          <w:rFonts w:asciiTheme="minorHAnsi" w:hAnsiTheme="minorHAnsi" w:cs="Times New Roman"/>
        </w:rPr>
        <w:t>L</w:t>
      </w:r>
      <w:r w:rsidRPr="00834149">
        <w:rPr>
          <w:rFonts w:asciiTheme="minorHAnsi" w:hAnsiTheme="minorHAnsi" w:cs="Times New Roman"/>
        </w:rPr>
        <w:t xml:space="preserve">earned from the </w:t>
      </w:r>
      <w:r w:rsidR="00503EEB" w:rsidRPr="00834149">
        <w:rPr>
          <w:rFonts w:asciiTheme="minorHAnsi" w:hAnsiTheme="minorHAnsi" w:cs="Times New Roman"/>
        </w:rPr>
        <w:t xml:space="preserve">2008 </w:t>
      </w:r>
      <w:r w:rsidRPr="00834149">
        <w:rPr>
          <w:rFonts w:asciiTheme="minorHAnsi" w:hAnsiTheme="minorHAnsi" w:cs="Times New Roman"/>
        </w:rPr>
        <w:t>and 2012 Interim Strategy Notes</w:t>
      </w:r>
      <w:bookmarkEnd w:id="21"/>
    </w:p>
    <w:p w14:paraId="535DD236" w14:textId="77777777" w:rsidR="002B7A1D" w:rsidRPr="00834149" w:rsidRDefault="002B7A1D" w:rsidP="004C6A26">
      <w:pPr>
        <w:jc w:val="both"/>
        <w:rPr>
          <w:rFonts w:cs="Times New Roman"/>
        </w:rPr>
      </w:pPr>
    </w:p>
    <w:p w14:paraId="3849E37C" w14:textId="62F87D8C" w:rsidR="00D747FF" w:rsidRDefault="00D747FF" w:rsidP="00834149">
      <w:pPr>
        <w:pStyle w:val="ListParagraph"/>
        <w:numPr>
          <w:ilvl w:val="0"/>
          <w:numId w:val="2"/>
        </w:numPr>
        <w:ind w:left="0" w:firstLine="0"/>
        <w:contextualSpacing w:val="0"/>
        <w:jc w:val="both"/>
        <w:rPr>
          <w:rFonts w:cs="Times New Roman"/>
        </w:rPr>
      </w:pPr>
      <w:r w:rsidRPr="00834149">
        <w:rPr>
          <w:rFonts w:cs="Times New Roman"/>
          <w:b/>
        </w:rPr>
        <w:t>Implementation of the ISNs for FY08–10 and FY12–13 hold important lessons for this CPF and for the WBG’s work in low-income fragile states more generally</w:t>
      </w:r>
      <w:r w:rsidRPr="00834149">
        <w:rPr>
          <w:rFonts w:cs="Times New Roman"/>
        </w:rPr>
        <w:t>. Following is a brief review of the key lessons learned during the two ISN periods. These lessons are explored in greater depth in the Completion and Learning Review (CLR)</w:t>
      </w:r>
      <w:r w:rsidR="000A2A01" w:rsidRPr="00834149">
        <w:rPr>
          <w:rFonts w:cs="Times New Roman"/>
        </w:rPr>
        <w:t xml:space="preserve"> in </w:t>
      </w:r>
      <w:r w:rsidRPr="00834149">
        <w:rPr>
          <w:rFonts w:cs="Times New Roman"/>
        </w:rPr>
        <w:t xml:space="preserve">Annex </w:t>
      </w:r>
      <w:r w:rsidR="006C5F4C" w:rsidRPr="00834149">
        <w:rPr>
          <w:rFonts w:cs="Times New Roman"/>
        </w:rPr>
        <w:t>2</w:t>
      </w:r>
      <w:r w:rsidRPr="00834149">
        <w:rPr>
          <w:rFonts w:cs="Times New Roman"/>
        </w:rPr>
        <w:t xml:space="preserve">. </w:t>
      </w:r>
    </w:p>
    <w:p w14:paraId="71F5427E" w14:textId="77777777" w:rsidR="004C6A26" w:rsidRPr="00834149" w:rsidRDefault="004C6A26" w:rsidP="00834149">
      <w:pPr>
        <w:pStyle w:val="ListParagraph"/>
        <w:ind w:left="0"/>
        <w:contextualSpacing w:val="0"/>
        <w:jc w:val="both"/>
        <w:rPr>
          <w:rFonts w:cs="Times New Roman"/>
        </w:rPr>
      </w:pPr>
    </w:p>
    <w:p w14:paraId="05A8EB0F" w14:textId="6EE634A3" w:rsidR="00D747FF" w:rsidRDefault="00222461" w:rsidP="00834149">
      <w:pPr>
        <w:pStyle w:val="ListParagraph"/>
        <w:numPr>
          <w:ilvl w:val="0"/>
          <w:numId w:val="2"/>
        </w:numPr>
        <w:ind w:left="0" w:firstLine="0"/>
        <w:contextualSpacing w:val="0"/>
        <w:jc w:val="both"/>
        <w:rPr>
          <w:rFonts w:cs="Times New Roman"/>
        </w:rPr>
      </w:pPr>
      <w:r w:rsidRPr="00834149">
        <w:rPr>
          <w:rFonts w:cs="Times New Roman"/>
          <w:b/>
        </w:rPr>
        <w:t>As</w:t>
      </w:r>
      <w:r w:rsidR="00D747FF" w:rsidRPr="00834149">
        <w:rPr>
          <w:rFonts w:cs="Times New Roman"/>
          <w:b/>
        </w:rPr>
        <w:t xml:space="preserve"> Togo </w:t>
      </w:r>
      <w:r w:rsidRPr="00834149">
        <w:rPr>
          <w:rFonts w:cs="Times New Roman"/>
          <w:b/>
        </w:rPr>
        <w:t xml:space="preserve">continues to </w:t>
      </w:r>
      <w:r w:rsidR="00D747FF" w:rsidRPr="00834149">
        <w:rPr>
          <w:rFonts w:cs="Times New Roman"/>
          <w:b/>
        </w:rPr>
        <w:t xml:space="preserve">emerge from </w:t>
      </w:r>
      <w:r w:rsidR="000A2A01" w:rsidRPr="00834149">
        <w:rPr>
          <w:rFonts w:cs="Times New Roman"/>
          <w:b/>
        </w:rPr>
        <w:t xml:space="preserve">a </w:t>
      </w:r>
      <w:r w:rsidR="00D747FF" w:rsidRPr="00834149">
        <w:rPr>
          <w:rFonts w:cs="Times New Roman"/>
          <w:b/>
        </w:rPr>
        <w:t>period of reengagement</w:t>
      </w:r>
      <w:r w:rsidR="000A2A01" w:rsidRPr="00834149">
        <w:rPr>
          <w:rFonts w:cs="Times New Roman"/>
          <w:b/>
        </w:rPr>
        <w:t xml:space="preserve"> with development partners</w:t>
      </w:r>
      <w:r w:rsidR="00D747FF" w:rsidRPr="00834149">
        <w:rPr>
          <w:rFonts w:cs="Times New Roman"/>
          <w:b/>
        </w:rPr>
        <w:t xml:space="preserve">, it </w:t>
      </w:r>
      <w:r w:rsidR="000A2A01" w:rsidRPr="00834149">
        <w:rPr>
          <w:rFonts w:cs="Times New Roman"/>
          <w:b/>
        </w:rPr>
        <w:t>remains</w:t>
      </w:r>
      <w:r w:rsidR="00D747FF" w:rsidRPr="00834149">
        <w:rPr>
          <w:rFonts w:cs="Times New Roman"/>
          <w:b/>
        </w:rPr>
        <w:t xml:space="preserve"> important to </w:t>
      </w:r>
      <w:r w:rsidR="000A2A01" w:rsidRPr="00834149">
        <w:rPr>
          <w:rFonts w:cs="Times New Roman"/>
          <w:b/>
        </w:rPr>
        <w:t xml:space="preserve">have </w:t>
      </w:r>
      <w:r w:rsidR="00D747FF" w:rsidRPr="00834149">
        <w:rPr>
          <w:rFonts w:cs="Times New Roman"/>
          <w:b/>
        </w:rPr>
        <w:t>a long-term view of reform</w:t>
      </w:r>
      <w:r w:rsidRPr="00834149">
        <w:rPr>
          <w:rFonts w:cs="Times New Roman"/>
          <w:b/>
        </w:rPr>
        <w:t>s</w:t>
      </w:r>
      <w:r w:rsidR="00D747FF" w:rsidRPr="00834149">
        <w:rPr>
          <w:rFonts w:cs="Times New Roman"/>
          <w:b/>
          <w:i/>
        </w:rPr>
        <w:t xml:space="preserve"> </w:t>
      </w:r>
      <w:r w:rsidR="00D747FF" w:rsidRPr="00834149">
        <w:rPr>
          <w:rFonts w:cs="Times New Roman"/>
          <w:b/>
        </w:rPr>
        <w:t xml:space="preserve">to rebuild confidence in a context of political and economic </w:t>
      </w:r>
      <w:r w:rsidR="002C6B35" w:rsidRPr="00834149">
        <w:rPr>
          <w:rFonts w:cs="Times New Roman"/>
          <w:b/>
        </w:rPr>
        <w:t>fragility</w:t>
      </w:r>
      <w:r w:rsidR="00D747FF" w:rsidRPr="00834149">
        <w:rPr>
          <w:rFonts w:cs="Times New Roman"/>
        </w:rPr>
        <w:t>. The experience of implementing annual stand</w:t>
      </w:r>
      <w:r w:rsidR="000A2A01" w:rsidRPr="00834149">
        <w:rPr>
          <w:rFonts w:cs="Times New Roman"/>
        </w:rPr>
        <w:t>-</w:t>
      </w:r>
      <w:r w:rsidR="00D747FF" w:rsidRPr="00834149">
        <w:rPr>
          <w:rFonts w:cs="Times New Roman"/>
        </w:rPr>
        <w:t xml:space="preserve">alone development policy operations (DPOs) under the ISNs highlighted the difficulty of translating a single-year policy focus into longer-term reform approaches, particularly in a context of gradual reengagement and limited capacity. Developing a longer-term policy perspective at the outset, aligned with a country-owned national development plan, would </w:t>
      </w:r>
      <w:r w:rsidR="002C6B35" w:rsidRPr="00834149">
        <w:rPr>
          <w:rFonts w:cs="Times New Roman"/>
        </w:rPr>
        <w:t>help to sequence and pace reforms</w:t>
      </w:r>
      <w:r w:rsidR="00D747FF" w:rsidRPr="00834149">
        <w:rPr>
          <w:rFonts w:cs="Times New Roman"/>
        </w:rPr>
        <w:t xml:space="preserve">. </w:t>
      </w:r>
    </w:p>
    <w:p w14:paraId="107E39BE" w14:textId="04DE8AD7" w:rsidR="004C6A26" w:rsidRPr="00834149" w:rsidRDefault="004C6A26" w:rsidP="00834149">
      <w:pPr>
        <w:pStyle w:val="ListParagraph"/>
        <w:ind w:left="0"/>
        <w:contextualSpacing w:val="0"/>
        <w:jc w:val="both"/>
        <w:rPr>
          <w:rFonts w:cs="Times New Roman"/>
        </w:rPr>
      </w:pPr>
    </w:p>
    <w:p w14:paraId="1067F342" w14:textId="77777777" w:rsidR="004C6A26" w:rsidRDefault="006C5F4C" w:rsidP="00834149">
      <w:pPr>
        <w:pStyle w:val="ListParagraph"/>
        <w:numPr>
          <w:ilvl w:val="0"/>
          <w:numId w:val="2"/>
        </w:numPr>
        <w:ind w:left="0" w:firstLine="0"/>
        <w:contextualSpacing w:val="0"/>
        <w:jc w:val="both"/>
        <w:rPr>
          <w:rFonts w:cs="Times New Roman"/>
        </w:rPr>
      </w:pPr>
      <w:r w:rsidRPr="00834149">
        <w:rPr>
          <w:rFonts w:cs="Times New Roman"/>
          <w:b/>
          <w:bCs/>
        </w:rPr>
        <w:t>P</w:t>
      </w:r>
      <w:r w:rsidR="00D747FF" w:rsidRPr="00834149">
        <w:rPr>
          <w:rFonts w:cs="Times New Roman"/>
          <w:b/>
          <w:bCs/>
        </w:rPr>
        <w:t>olitical econo</w:t>
      </w:r>
      <w:r w:rsidR="002C6B35" w:rsidRPr="00834149">
        <w:rPr>
          <w:rFonts w:cs="Times New Roman"/>
          <w:b/>
          <w:bCs/>
        </w:rPr>
        <w:t>my analysis</w:t>
      </w:r>
      <w:r w:rsidRPr="00834149">
        <w:rPr>
          <w:rFonts w:cs="Times New Roman"/>
          <w:b/>
          <w:bCs/>
        </w:rPr>
        <w:t xml:space="preserve"> is important</w:t>
      </w:r>
      <w:r w:rsidR="00D747FF" w:rsidRPr="00834149">
        <w:rPr>
          <w:rFonts w:cs="Times New Roman"/>
          <w:b/>
          <w:bCs/>
        </w:rPr>
        <w:t>, particularly in a fragile environment</w:t>
      </w:r>
      <w:r w:rsidR="00D747FF" w:rsidRPr="00834149">
        <w:rPr>
          <w:rFonts w:cs="Times New Roman"/>
          <w:bCs/>
        </w:rPr>
        <w:t>.</w:t>
      </w:r>
      <w:r w:rsidR="00D747FF" w:rsidRPr="00834149">
        <w:rPr>
          <w:rFonts w:cs="Times New Roman"/>
          <w:b/>
          <w:bCs/>
        </w:rPr>
        <w:t xml:space="preserve"> </w:t>
      </w:r>
      <w:r w:rsidR="00D747FF" w:rsidRPr="00834149">
        <w:rPr>
          <w:rFonts w:cs="Times New Roman"/>
          <w:bCs/>
        </w:rPr>
        <w:t xml:space="preserve">Experience in implementing both </w:t>
      </w:r>
      <w:r w:rsidR="00D711BD" w:rsidRPr="00834149">
        <w:rPr>
          <w:rFonts w:cs="Times New Roman"/>
        </w:rPr>
        <w:t>reforms</w:t>
      </w:r>
      <w:r w:rsidR="00D747FF" w:rsidRPr="00834149">
        <w:rPr>
          <w:rFonts w:cs="Times New Roman"/>
        </w:rPr>
        <w:t xml:space="preserve"> and investment lending highlights the </w:t>
      </w:r>
      <w:r w:rsidRPr="00834149">
        <w:rPr>
          <w:rFonts w:cs="Times New Roman"/>
        </w:rPr>
        <w:t>critical need for</w:t>
      </w:r>
      <w:r w:rsidR="00D747FF" w:rsidRPr="00834149">
        <w:rPr>
          <w:rFonts w:cs="Times New Roman"/>
        </w:rPr>
        <w:t xml:space="preserve"> political commitment from the top down</w:t>
      </w:r>
      <w:r w:rsidR="00D711BD" w:rsidRPr="00834149">
        <w:rPr>
          <w:rFonts w:cs="Times New Roman"/>
        </w:rPr>
        <w:t xml:space="preserve"> to</w:t>
      </w:r>
      <w:r w:rsidR="00D747FF" w:rsidRPr="00834149">
        <w:rPr>
          <w:rFonts w:cs="Times New Roman"/>
        </w:rPr>
        <w:t xml:space="preserve"> ensur</w:t>
      </w:r>
      <w:r w:rsidR="00D711BD" w:rsidRPr="00834149">
        <w:rPr>
          <w:rFonts w:cs="Times New Roman"/>
        </w:rPr>
        <w:t>e the feasibility and</w:t>
      </w:r>
      <w:r w:rsidR="00D747FF" w:rsidRPr="00834149">
        <w:rPr>
          <w:rFonts w:cs="Times New Roman"/>
        </w:rPr>
        <w:t xml:space="preserve"> sustainab</w:t>
      </w:r>
      <w:r w:rsidR="00D711BD" w:rsidRPr="00834149">
        <w:rPr>
          <w:rFonts w:cs="Times New Roman"/>
        </w:rPr>
        <w:t xml:space="preserve">ility of </w:t>
      </w:r>
      <w:r w:rsidR="00D747FF" w:rsidRPr="00834149">
        <w:rPr>
          <w:rFonts w:cs="Times New Roman"/>
        </w:rPr>
        <w:t>reform</w:t>
      </w:r>
      <w:r w:rsidR="00D711BD" w:rsidRPr="00834149">
        <w:rPr>
          <w:rFonts w:cs="Times New Roman"/>
        </w:rPr>
        <w:t>s</w:t>
      </w:r>
      <w:r w:rsidR="00D747FF" w:rsidRPr="00834149">
        <w:rPr>
          <w:rFonts w:cs="Times New Roman"/>
        </w:rPr>
        <w:t xml:space="preserve">. </w:t>
      </w:r>
      <w:r w:rsidRPr="00834149">
        <w:rPr>
          <w:rFonts w:cs="Times New Roman"/>
        </w:rPr>
        <w:t>International Development Association (</w:t>
      </w:r>
      <w:r w:rsidR="00B61B5B" w:rsidRPr="00834149">
        <w:rPr>
          <w:rFonts w:cs="Times New Roman"/>
        </w:rPr>
        <w:t>IDA</w:t>
      </w:r>
      <w:r w:rsidRPr="00834149">
        <w:rPr>
          <w:rFonts w:cs="Times New Roman"/>
        </w:rPr>
        <w:t>)</w:t>
      </w:r>
      <w:r w:rsidR="00B61B5B" w:rsidRPr="00834149">
        <w:rPr>
          <w:rFonts w:cs="Times New Roman"/>
        </w:rPr>
        <w:t xml:space="preserve"> p</w:t>
      </w:r>
      <w:r w:rsidR="00320687" w:rsidRPr="00834149">
        <w:rPr>
          <w:rFonts w:cs="Times New Roman"/>
        </w:rPr>
        <w:t xml:space="preserve">rojects </w:t>
      </w:r>
      <w:r w:rsidR="00B61B5B" w:rsidRPr="00834149">
        <w:rPr>
          <w:rFonts w:cs="Times New Roman"/>
        </w:rPr>
        <w:t>supporting</w:t>
      </w:r>
      <w:r w:rsidR="00320687" w:rsidRPr="00834149">
        <w:rPr>
          <w:rFonts w:cs="Times New Roman"/>
        </w:rPr>
        <w:t xml:space="preserve"> financial and private sector development </w:t>
      </w:r>
      <w:r w:rsidR="00B61B5B" w:rsidRPr="00834149">
        <w:rPr>
          <w:rFonts w:cs="Times New Roman"/>
        </w:rPr>
        <w:t xml:space="preserve">reforms suffered from diminishing </w:t>
      </w:r>
      <w:r w:rsidR="00D747FF" w:rsidRPr="00834149">
        <w:rPr>
          <w:rFonts w:cs="Times New Roman"/>
        </w:rPr>
        <w:t>high-level commitment</w:t>
      </w:r>
      <w:r w:rsidR="00320687" w:rsidRPr="00834149">
        <w:rPr>
          <w:rFonts w:cs="Times New Roman"/>
        </w:rPr>
        <w:t>, and reforms remain incomplete</w:t>
      </w:r>
      <w:r w:rsidR="00D747FF" w:rsidRPr="00834149">
        <w:rPr>
          <w:rFonts w:cs="Times New Roman"/>
        </w:rPr>
        <w:t xml:space="preserve">. Implementation of the ongoing West Africa Regional Communications Infrastructure Project </w:t>
      </w:r>
      <w:r w:rsidR="002C6B35" w:rsidRPr="00834149">
        <w:rPr>
          <w:rFonts w:cs="Times New Roman"/>
        </w:rPr>
        <w:t xml:space="preserve">has been slow </w:t>
      </w:r>
      <w:r w:rsidR="00D747FF" w:rsidRPr="00834149">
        <w:rPr>
          <w:rFonts w:cs="Times New Roman"/>
        </w:rPr>
        <w:t xml:space="preserve">in part </w:t>
      </w:r>
      <w:r w:rsidR="003F1147" w:rsidRPr="00834149">
        <w:rPr>
          <w:rFonts w:cs="Times New Roman"/>
        </w:rPr>
        <w:t>due to</w:t>
      </w:r>
      <w:r w:rsidR="002C6B35" w:rsidRPr="00834149">
        <w:rPr>
          <w:rFonts w:cs="Times New Roman"/>
        </w:rPr>
        <w:t xml:space="preserve"> lack of progress</w:t>
      </w:r>
      <w:r w:rsidR="00D747FF" w:rsidRPr="00834149">
        <w:rPr>
          <w:rFonts w:cs="Times New Roman"/>
        </w:rPr>
        <w:t xml:space="preserve"> </w:t>
      </w:r>
      <w:r w:rsidR="002C6B35" w:rsidRPr="00834149">
        <w:rPr>
          <w:rFonts w:cs="Times New Roman"/>
        </w:rPr>
        <w:t>reforming the sector.</w:t>
      </w:r>
    </w:p>
    <w:p w14:paraId="3C4E5E37" w14:textId="1F2DBE97" w:rsidR="00D747FF" w:rsidRPr="00834149" w:rsidRDefault="00D747FF" w:rsidP="00834149">
      <w:pPr>
        <w:pStyle w:val="ListParagraph"/>
        <w:ind w:left="0"/>
        <w:contextualSpacing w:val="0"/>
        <w:jc w:val="both"/>
        <w:rPr>
          <w:rFonts w:cs="Times New Roman"/>
        </w:rPr>
      </w:pPr>
    </w:p>
    <w:p w14:paraId="0857FC5F" w14:textId="77777777" w:rsidR="004C6A26" w:rsidRDefault="00D747FF" w:rsidP="00834149">
      <w:pPr>
        <w:pStyle w:val="ListParagraph"/>
        <w:numPr>
          <w:ilvl w:val="0"/>
          <w:numId w:val="2"/>
        </w:numPr>
        <w:ind w:left="0" w:firstLine="0"/>
        <w:contextualSpacing w:val="0"/>
        <w:jc w:val="both"/>
        <w:rPr>
          <w:rFonts w:cs="Times New Roman"/>
        </w:rPr>
      </w:pPr>
      <w:r w:rsidRPr="00834149">
        <w:rPr>
          <w:rFonts w:cs="Times New Roman"/>
          <w:b/>
          <w:bCs/>
        </w:rPr>
        <w:t>Selectivity and sequencing</w:t>
      </w:r>
      <w:r w:rsidRPr="00834149">
        <w:rPr>
          <w:rFonts w:cs="Times New Roman"/>
          <w:b/>
        </w:rPr>
        <w:t xml:space="preserve"> are critical to moving forward on a complex reform agenda</w:t>
      </w:r>
      <w:r w:rsidRPr="00834149">
        <w:rPr>
          <w:rFonts w:cs="Times New Roman"/>
        </w:rPr>
        <w:t>. Given the generally limited public sector capacity, a selective and sequenced approach offers the best chance of achieving results without straining client resources. Achieving this goal requires making difficult decisions about which interventions must be slimmed down or delayed in an effort to avoid an overly ambitious and, ultimately, underperforming program.</w:t>
      </w:r>
      <w:r w:rsidR="002C6B35" w:rsidRPr="00834149">
        <w:rPr>
          <w:rFonts w:cs="Times New Roman"/>
        </w:rPr>
        <w:t xml:space="preserve"> A</w:t>
      </w:r>
      <w:r w:rsidRPr="00834149">
        <w:rPr>
          <w:rFonts w:cs="Times New Roman"/>
        </w:rPr>
        <w:t xml:space="preserve">chieving this goal requires a careful balancing act between keeping the project design simple and remaining responsive to pressing needs. </w:t>
      </w:r>
    </w:p>
    <w:p w14:paraId="25812D90" w14:textId="1D56D6E9" w:rsidR="00D747FF" w:rsidRPr="00834149" w:rsidRDefault="00D747FF" w:rsidP="00834149">
      <w:pPr>
        <w:pStyle w:val="ListParagraph"/>
        <w:ind w:left="0"/>
        <w:contextualSpacing w:val="0"/>
        <w:jc w:val="both"/>
        <w:rPr>
          <w:rFonts w:cs="Times New Roman"/>
        </w:rPr>
      </w:pPr>
    </w:p>
    <w:p w14:paraId="67BDAF06" w14:textId="0302CBF3" w:rsidR="00D747FF" w:rsidRDefault="00D747FF" w:rsidP="00834149">
      <w:pPr>
        <w:pStyle w:val="ListParagraph"/>
        <w:numPr>
          <w:ilvl w:val="0"/>
          <w:numId w:val="2"/>
        </w:numPr>
        <w:ind w:left="0" w:firstLine="0"/>
        <w:contextualSpacing w:val="0"/>
        <w:jc w:val="both"/>
        <w:rPr>
          <w:rFonts w:cs="Times New Roman"/>
        </w:rPr>
      </w:pPr>
      <w:r w:rsidRPr="00834149">
        <w:rPr>
          <w:rFonts w:cs="Times New Roman"/>
          <w:b/>
          <w:bCs/>
        </w:rPr>
        <w:t>Intensive supervision and</w:t>
      </w:r>
      <w:r w:rsidR="0030411E">
        <w:rPr>
          <w:rFonts w:cs="Times New Roman"/>
          <w:b/>
          <w:bCs/>
        </w:rPr>
        <w:t xml:space="preserve"> on-the-ground expertise are ke</w:t>
      </w:r>
      <w:r w:rsidRPr="00834149">
        <w:rPr>
          <w:rFonts w:cs="Times New Roman"/>
          <w:b/>
          <w:bCs/>
        </w:rPr>
        <w:t>y to achieving sustainable results</w:t>
      </w:r>
      <w:r w:rsidRPr="00834149">
        <w:rPr>
          <w:rFonts w:cs="Times New Roman"/>
          <w:bCs/>
        </w:rPr>
        <w:t>.</w:t>
      </w:r>
      <w:r w:rsidRPr="00834149">
        <w:rPr>
          <w:rFonts w:cs="Times New Roman"/>
        </w:rPr>
        <w:t xml:space="preserve"> WBG interventions in Togo have been most successful, with the best chance for sustainability, in areas where specialists were regularly present in country to provide technical assistance, interact frequently with counterparts, and resolve problems as they arose. </w:t>
      </w:r>
    </w:p>
    <w:p w14:paraId="52BD3AB1" w14:textId="2F3C04DE" w:rsidR="004C6A26" w:rsidRPr="00834149" w:rsidRDefault="004C6A26" w:rsidP="00834149">
      <w:pPr>
        <w:pStyle w:val="ListParagraph"/>
        <w:ind w:left="0"/>
        <w:contextualSpacing w:val="0"/>
        <w:jc w:val="both"/>
        <w:rPr>
          <w:rFonts w:cs="Times New Roman"/>
        </w:rPr>
      </w:pPr>
    </w:p>
    <w:p w14:paraId="72F05E7B" w14:textId="205C84EA" w:rsidR="00D747FF" w:rsidRPr="004C6A26" w:rsidRDefault="00D747FF" w:rsidP="00834149">
      <w:pPr>
        <w:pStyle w:val="ListParagraph"/>
        <w:numPr>
          <w:ilvl w:val="0"/>
          <w:numId w:val="2"/>
        </w:numPr>
        <w:ind w:left="0" w:firstLine="0"/>
        <w:contextualSpacing w:val="0"/>
        <w:jc w:val="both"/>
        <w:rPr>
          <w:rFonts w:cs="Times New Roman"/>
        </w:rPr>
      </w:pPr>
      <w:r w:rsidRPr="00834149">
        <w:rPr>
          <w:rFonts w:cs="Times New Roman"/>
          <w:b/>
          <w:bCs/>
        </w:rPr>
        <w:t>Effective monitoring of results depends on appropriate specification of expected outcomes and indicators</w:t>
      </w:r>
      <w:r w:rsidRPr="00834149">
        <w:rPr>
          <w:rFonts w:cs="Times New Roman"/>
          <w:bCs/>
        </w:rPr>
        <w:t>.</w:t>
      </w:r>
      <w:r w:rsidRPr="00834149">
        <w:rPr>
          <w:rFonts w:cs="Times New Roman"/>
          <w:b/>
          <w:bCs/>
          <w:i/>
        </w:rPr>
        <w:t xml:space="preserve"> </w:t>
      </w:r>
      <w:r w:rsidRPr="00834149">
        <w:rPr>
          <w:rFonts w:cs="Times New Roman"/>
          <w:bCs/>
        </w:rPr>
        <w:t xml:space="preserve">Particularly in the case of a multisector DPO, program objectives and results indicators need </w:t>
      </w:r>
      <w:r w:rsidRPr="00834149">
        <w:rPr>
          <w:rFonts w:cs="Times New Roman"/>
          <w:bCs/>
        </w:rPr>
        <w:lastRenderedPageBreak/>
        <w:t xml:space="preserve">to be realistic, feasible, and subject to clear and straightforward monitoring. Indicators need to be easily attributable to government actions, rather than depending on exogenous factors, and are most effective if already embedded in regular monitoring processes, either in country or under the auspices of an ongoing project. </w:t>
      </w:r>
    </w:p>
    <w:p w14:paraId="1863C107" w14:textId="2765492F" w:rsidR="004C6A26" w:rsidRPr="00834149" w:rsidRDefault="004C6A26" w:rsidP="00834149">
      <w:pPr>
        <w:pStyle w:val="ListParagraph"/>
        <w:ind w:left="0"/>
        <w:contextualSpacing w:val="0"/>
        <w:jc w:val="both"/>
        <w:rPr>
          <w:rFonts w:cs="Times New Roman"/>
        </w:rPr>
      </w:pPr>
    </w:p>
    <w:p w14:paraId="75DF0F44" w14:textId="77777777" w:rsidR="004C6A26" w:rsidRDefault="00D747FF" w:rsidP="00834149">
      <w:pPr>
        <w:pStyle w:val="ListParagraph"/>
        <w:numPr>
          <w:ilvl w:val="0"/>
          <w:numId w:val="2"/>
        </w:numPr>
        <w:ind w:left="0" w:firstLine="0"/>
        <w:contextualSpacing w:val="0"/>
        <w:jc w:val="both"/>
        <w:rPr>
          <w:rFonts w:cs="Times New Roman"/>
        </w:rPr>
      </w:pPr>
      <w:r w:rsidRPr="00834149">
        <w:rPr>
          <w:rFonts w:cs="Times New Roman"/>
          <w:b/>
          <w:bCs/>
        </w:rPr>
        <w:t xml:space="preserve">Community-driven development </w:t>
      </w:r>
      <w:r w:rsidR="006C5F4C" w:rsidRPr="00834149">
        <w:rPr>
          <w:rFonts w:cs="Times New Roman"/>
          <w:b/>
          <w:bCs/>
        </w:rPr>
        <w:t xml:space="preserve">(CDD) </w:t>
      </w:r>
      <w:r w:rsidRPr="00834149">
        <w:rPr>
          <w:rFonts w:cs="Times New Roman"/>
          <w:b/>
          <w:bCs/>
        </w:rPr>
        <w:t>approaches can achieve good development results where public services are weak and poverty levels high</w:t>
      </w:r>
      <w:r w:rsidRPr="00834149">
        <w:rPr>
          <w:rFonts w:cs="Times New Roman"/>
          <w:bCs/>
        </w:rPr>
        <w:t>. Projects</w:t>
      </w:r>
      <w:r w:rsidRPr="00834149">
        <w:rPr>
          <w:rFonts w:cs="Times New Roman"/>
          <w:b/>
          <w:bCs/>
        </w:rPr>
        <w:t xml:space="preserve"> </w:t>
      </w:r>
      <w:r w:rsidRPr="00834149">
        <w:rPr>
          <w:rFonts w:cs="Times New Roman"/>
        </w:rPr>
        <w:t>using CDD approaches have had high success rates in Togo</w:t>
      </w:r>
      <w:r w:rsidR="00320687" w:rsidRPr="00834149">
        <w:rPr>
          <w:rFonts w:cs="Times New Roman"/>
        </w:rPr>
        <w:t xml:space="preserve">, both in specifically targeted CDD programs and as CDD elements embedded in </w:t>
      </w:r>
      <w:r w:rsidRPr="00834149">
        <w:rPr>
          <w:rFonts w:cs="Times New Roman"/>
        </w:rPr>
        <w:t xml:space="preserve">sector-specific projects. The WBG </w:t>
      </w:r>
      <w:r w:rsidR="00320687" w:rsidRPr="00834149">
        <w:rPr>
          <w:rFonts w:cs="Times New Roman"/>
        </w:rPr>
        <w:t>can</w:t>
      </w:r>
      <w:r w:rsidRPr="00834149">
        <w:rPr>
          <w:rFonts w:cs="Times New Roman"/>
        </w:rPr>
        <w:t xml:space="preserve"> have a rapid impact on poverty through CDD, backed up by institutional structures that empower local communities by decentraliz</w:t>
      </w:r>
      <w:r w:rsidR="000A2A01" w:rsidRPr="00834149">
        <w:rPr>
          <w:rFonts w:cs="Times New Roman"/>
        </w:rPr>
        <w:t>ed</w:t>
      </w:r>
      <w:r w:rsidRPr="00834149">
        <w:rPr>
          <w:rFonts w:cs="Times New Roman"/>
        </w:rPr>
        <w:t xml:space="preserve"> decision</w:t>
      </w:r>
      <w:r w:rsidR="000A2A01" w:rsidRPr="00834149">
        <w:rPr>
          <w:rFonts w:cs="Times New Roman"/>
        </w:rPr>
        <w:t>-</w:t>
      </w:r>
      <w:r w:rsidRPr="00834149">
        <w:rPr>
          <w:rFonts w:cs="Times New Roman"/>
        </w:rPr>
        <w:t>making and that build capacity through sustained and targeted support.</w:t>
      </w:r>
    </w:p>
    <w:p w14:paraId="0A6584B4" w14:textId="4CBB274C" w:rsidR="00D747FF" w:rsidRPr="00834149" w:rsidRDefault="00D747FF" w:rsidP="00834149">
      <w:pPr>
        <w:pStyle w:val="ListParagraph"/>
        <w:ind w:left="0"/>
        <w:contextualSpacing w:val="0"/>
        <w:jc w:val="both"/>
        <w:rPr>
          <w:rFonts w:cs="Times New Roman"/>
        </w:rPr>
      </w:pPr>
    </w:p>
    <w:p w14:paraId="3E5429BC" w14:textId="7EDEB612" w:rsidR="00833D92" w:rsidRPr="00834149" w:rsidRDefault="00D747FF" w:rsidP="00834149">
      <w:pPr>
        <w:pStyle w:val="ListParagraph"/>
        <w:numPr>
          <w:ilvl w:val="0"/>
          <w:numId w:val="2"/>
        </w:numPr>
        <w:ind w:left="0" w:firstLine="0"/>
        <w:contextualSpacing w:val="0"/>
        <w:jc w:val="both"/>
        <w:rPr>
          <w:rFonts w:cs="Times New Roman"/>
        </w:rPr>
      </w:pPr>
      <w:r w:rsidRPr="00834149">
        <w:rPr>
          <w:rFonts w:cs="Times New Roman"/>
          <w:b/>
          <w:bCs/>
        </w:rPr>
        <w:t xml:space="preserve">Close coordination </w:t>
      </w:r>
      <w:r w:rsidR="00320687" w:rsidRPr="00834149">
        <w:rPr>
          <w:rFonts w:cs="Times New Roman"/>
          <w:b/>
          <w:bCs/>
        </w:rPr>
        <w:t xml:space="preserve">with a wide range of development partners is critical </w:t>
      </w:r>
      <w:r w:rsidRPr="00834149">
        <w:rPr>
          <w:rFonts w:cs="Times New Roman"/>
          <w:b/>
          <w:bCs/>
        </w:rPr>
        <w:t>to avoid compromising the efficiency of aid</w:t>
      </w:r>
      <w:r w:rsidR="00320687" w:rsidRPr="00834149">
        <w:rPr>
          <w:rFonts w:cs="Times New Roman"/>
          <w:b/>
          <w:bCs/>
        </w:rPr>
        <w:t>,</w:t>
      </w:r>
      <w:r w:rsidRPr="00834149">
        <w:rPr>
          <w:rFonts w:cs="Times New Roman"/>
          <w:b/>
          <w:bCs/>
        </w:rPr>
        <w:t xml:space="preserve"> overburdening public sector capacity</w:t>
      </w:r>
      <w:r w:rsidR="00320687" w:rsidRPr="00834149">
        <w:rPr>
          <w:rFonts w:cs="Times New Roman"/>
          <w:b/>
          <w:bCs/>
        </w:rPr>
        <w:t>, or working at cross-purposes vis-à-vis national stakeholders</w:t>
      </w:r>
      <w:r w:rsidRPr="00834149">
        <w:rPr>
          <w:rFonts w:cs="Times New Roman"/>
          <w:bCs/>
        </w:rPr>
        <w:t>.</w:t>
      </w:r>
      <w:r w:rsidRPr="00834149">
        <w:rPr>
          <w:rFonts w:cs="Times New Roman"/>
        </w:rPr>
        <w:t xml:space="preserve"> Close collaboration between the WBG and other donors greatly enhance</w:t>
      </w:r>
      <w:r w:rsidR="00320687" w:rsidRPr="00834149">
        <w:rPr>
          <w:rFonts w:cs="Times New Roman"/>
        </w:rPr>
        <w:t>s</w:t>
      </w:r>
      <w:r w:rsidRPr="00834149">
        <w:rPr>
          <w:rFonts w:cs="Times New Roman"/>
        </w:rPr>
        <w:t xml:space="preserve"> the likelihood of making a sustainable impact and channeling country capacity as efficiently as possible. More efforts are needed to deliver on the Paris Declaration, and the WBG should create more opportunities to support country systems and performance- or results-based approaches to reduce transaction costs.</w:t>
      </w:r>
    </w:p>
    <w:p w14:paraId="40FBBEC2" w14:textId="393F04DA" w:rsidR="00542981" w:rsidRPr="00834149" w:rsidRDefault="00542981" w:rsidP="004C6A26">
      <w:pPr>
        <w:rPr>
          <w:rFonts w:cs="Times New Roman"/>
        </w:rPr>
      </w:pPr>
    </w:p>
    <w:p w14:paraId="3CA0B92A" w14:textId="38F57648" w:rsidR="003D67F6" w:rsidRPr="00834149" w:rsidRDefault="00EF7768" w:rsidP="004C6A26">
      <w:pPr>
        <w:pStyle w:val="Caption"/>
        <w:rPr>
          <w:rFonts w:cs="Times New Roman"/>
          <w:caps w:val="0"/>
          <w:sz w:val="22"/>
          <w:szCs w:val="22"/>
        </w:rPr>
      </w:pPr>
      <w:bookmarkStart w:id="22" w:name="_Toc468807705"/>
      <w:bookmarkStart w:id="23" w:name="_Toc480207654"/>
      <w:r w:rsidRPr="00834149">
        <w:rPr>
          <w:rFonts w:cs="Times New Roman"/>
          <w:caps w:val="0"/>
          <w:sz w:val="22"/>
          <w:szCs w:val="22"/>
        </w:rPr>
        <w:t xml:space="preserve">Box </w:t>
      </w:r>
      <w:r w:rsidRPr="00834149">
        <w:rPr>
          <w:rFonts w:cs="Times New Roman"/>
          <w:sz w:val="22"/>
          <w:szCs w:val="22"/>
        </w:rPr>
        <w:fldChar w:fldCharType="begin"/>
      </w:r>
      <w:r w:rsidRPr="00834149">
        <w:rPr>
          <w:rFonts w:cs="Times New Roman"/>
          <w:sz w:val="22"/>
          <w:szCs w:val="22"/>
        </w:rPr>
        <w:instrText xml:space="preserve"> SEQ Box \* ARABIC </w:instrText>
      </w:r>
      <w:r w:rsidRPr="00834149">
        <w:rPr>
          <w:rFonts w:cs="Times New Roman"/>
          <w:sz w:val="22"/>
          <w:szCs w:val="22"/>
        </w:rPr>
        <w:fldChar w:fldCharType="separate"/>
      </w:r>
      <w:r w:rsidR="000D6ABB">
        <w:rPr>
          <w:rFonts w:cs="Times New Roman"/>
          <w:noProof/>
          <w:sz w:val="22"/>
          <w:szCs w:val="22"/>
        </w:rPr>
        <w:t>1</w:t>
      </w:r>
      <w:r w:rsidRPr="00834149">
        <w:rPr>
          <w:rFonts w:cs="Times New Roman"/>
          <w:sz w:val="22"/>
          <w:szCs w:val="22"/>
        </w:rPr>
        <w:fldChar w:fldCharType="end"/>
      </w:r>
      <w:r w:rsidR="003D67F6" w:rsidRPr="00834149">
        <w:rPr>
          <w:rFonts w:cs="Times New Roman"/>
          <w:caps w:val="0"/>
          <w:sz w:val="22"/>
          <w:szCs w:val="22"/>
        </w:rPr>
        <w:t>. Stakeholder Consultations</w:t>
      </w:r>
      <w:bookmarkEnd w:id="22"/>
      <w:bookmarkEnd w:id="23"/>
    </w:p>
    <w:p w14:paraId="7CEC5752" w14:textId="78D99A7F" w:rsidR="003D67F6" w:rsidRPr="00834149" w:rsidRDefault="003D67F6" w:rsidP="004C6A26">
      <w:pPr>
        <w:pStyle w:val="ListParagraph"/>
        <w:pBdr>
          <w:top w:val="double" w:sz="4" w:space="1" w:color="auto"/>
          <w:left w:val="double" w:sz="4" w:space="4" w:color="auto"/>
          <w:bottom w:val="double" w:sz="4" w:space="1" w:color="auto"/>
          <w:right w:val="double" w:sz="4" w:space="4" w:color="auto"/>
        </w:pBdr>
        <w:shd w:val="clear" w:color="auto" w:fill="F8F8F0" w:themeFill="background2" w:themeFillTint="33"/>
        <w:autoSpaceDE w:val="0"/>
        <w:autoSpaceDN w:val="0"/>
        <w:adjustRightInd w:val="0"/>
        <w:ind w:left="0"/>
        <w:jc w:val="both"/>
        <w:rPr>
          <w:rFonts w:cs="Times New Roman"/>
        </w:rPr>
      </w:pPr>
      <w:r w:rsidRPr="00834149">
        <w:rPr>
          <w:rFonts w:cs="Times New Roman"/>
          <w:b/>
        </w:rPr>
        <w:t>Stakeholder consultations carried out during the preparation of the 2016 SCD (2014 to 2016) and the CPF (2016 and 2017) inform the WBG’s strategy.</w:t>
      </w:r>
      <w:r w:rsidRPr="00834149">
        <w:rPr>
          <w:rFonts w:cs="Times New Roman"/>
        </w:rPr>
        <w:t xml:space="preserve"> Consultations were held in all five of Togo’s regions to explore development priorities and constraints to poverty reduction, including more inclusive economic growth. </w:t>
      </w:r>
      <w:r w:rsidR="006C5F4C" w:rsidRPr="00834149">
        <w:rPr>
          <w:rFonts w:cs="Times New Roman"/>
        </w:rPr>
        <w:t xml:space="preserve">Stakeholders </w:t>
      </w:r>
      <w:r w:rsidRPr="00834149">
        <w:rPr>
          <w:rFonts w:cs="Times New Roman"/>
        </w:rPr>
        <w:t xml:space="preserve">included both government and nongovernment actors, consisting of central and local authorities, members of parliament, unions, private sector operators and associations, and civil society organizations (advocacy and development organizations, religious groups, women’s organizations, youth groups, and the media). Consultations </w:t>
      </w:r>
      <w:r w:rsidR="006C5F4C" w:rsidRPr="00834149">
        <w:rPr>
          <w:rFonts w:cs="Times New Roman"/>
        </w:rPr>
        <w:t>were also</w:t>
      </w:r>
      <w:r w:rsidRPr="00834149">
        <w:rPr>
          <w:rFonts w:cs="Times New Roman"/>
        </w:rPr>
        <w:t xml:space="preserve"> held with development partners in Lomé. </w:t>
      </w:r>
    </w:p>
    <w:p w14:paraId="61C4CE74" w14:textId="41CF237A" w:rsidR="003D67F6" w:rsidRPr="00834149" w:rsidRDefault="003D67F6" w:rsidP="0030411E">
      <w:pPr>
        <w:pStyle w:val="ListParagraph"/>
        <w:pBdr>
          <w:top w:val="double" w:sz="4" w:space="1" w:color="auto"/>
          <w:left w:val="double" w:sz="4" w:space="4" w:color="auto"/>
          <w:bottom w:val="double" w:sz="4" w:space="1" w:color="auto"/>
          <w:right w:val="double" w:sz="4" w:space="4" w:color="auto"/>
        </w:pBdr>
        <w:shd w:val="clear" w:color="auto" w:fill="F8F8F0" w:themeFill="background2" w:themeFillTint="33"/>
        <w:autoSpaceDE w:val="0"/>
        <w:autoSpaceDN w:val="0"/>
        <w:adjustRightInd w:val="0"/>
        <w:ind w:left="0" w:firstLine="720"/>
        <w:jc w:val="both"/>
        <w:rPr>
          <w:rFonts w:cs="Times New Roman"/>
        </w:rPr>
      </w:pPr>
      <w:r w:rsidRPr="00834149">
        <w:rPr>
          <w:rFonts w:cs="Times New Roman"/>
        </w:rPr>
        <w:t xml:space="preserve">Participants agreed that weak governance </w:t>
      </w:r>
      <w:r w:rsidR="006C5F4C" w:rsidRPr="00834149">
        <w:rPr>
          <w:rFonts w:cs="Times New Roman"/>
        </w:rPr>
        <w:t xml:space="preserve">underlies </w:t>
      </w:r>
      <w:r w:rsidRPr="00834149">
        <w:rPr>
          <w:rFonts w:cs="Times New Roman"/>
        </w:rPr>
        <w:t>many development challenges in Togo</w:t>
      </w:r>
      <w:r w:rsidR="006C5F4C" w:rsidRPr="00834149">
        <w:rPr>
          <w:rFonts w:cs="Times New Roman"/>
        </w:rPr>
        <w:t>. They</w:t>
      </w:r>
      <w:r w:rsidRPr="00834149">
        <w:rPr>
          <w:rFonts w:cs="Times New Roman"/>
        </w:rPr>
        <w:t xml:space="preserve"> expressed a desire for more equitable distribution of public resources, for grievance and accountability mechanisms, </w:t>
      </w:r>
      <w:r w:rsidR="006C5F4C" w:rsidRPr="00834149">
        <w:rPr>
          <w:rFonts w:cs="Times New Roman"/>
        </w:rPr>
        <w:t xml:space="preserve">for </w:t>
      </w:r>
      <w:r w:rsidRPr="00834149">
        <w:rPr>
          <w:rFonts w:cs="Times New Roman"/>
        </w:rPr>
        <w:t>greater participation of non</w:t>
      </w:r>
      <w:r w:rsidR="00CD63D9" w:rsidRPr="00834149">
        <w:rPr>
          <w:rFonts w:cs="Times New Roman"/>
        </w:rPr>
        <w:t>-</w:t>
      </w:r>
      <w:r w:rsidRPr="00834149">
        <w:rPr>
          <w:rFonts w:cs="Times New Roman"/>
        </w:rPr>
        <w:t>state actors in development decisions</w:t>
      </w:r>
      <w:r w:rsidR="00DB4621" w:rsidRPr="00834149">
        <w:rPr>
          <w:rFonts w:cs="Times New Roman"/>
        </w:rPr>
        <w:t>,</w:t>
      </w:r>
      <w:r w:rsidRPr="00834149">
        <w:rPr>
          <w:rFonts w:cs="Times New Roman"/>
        </w:rPr>
        <w:t xml:space="preserve"> and </w:t>
      </w:r>
      <w:r w:rsidR="006C5F4C" w:rsidRPr="00834149">
        <w:rPr>
          <w:rFonts w:cs="Times New Roman"/>
        </w:rPr>
        <w:t>for strengthened</w:t>
      </w:r>
      <w:r w:rsidRPr="00834149">
        <w:rPr>
          <w:rFonts w:cs="Times New Roman"/>
        </w:rPr>
        <w:t xml:space="preserve"> judicial services. Perceptions of corruption in the public administration were </w:t>
      </w:r>
      <w:r w:rsidR="006C5F4C" w:rsidRPr="00834149">
        <w:rPr>
          <w:rFonts w:cs="Times New Roman"/>
        </w:rPr>
        <w:t>high</w:t>
      </w:r>
      <w:r w:rsidRPr="00834149">
        <w:rPr>
          <w:rFonts w:cs="Times New Roman"/>
        </w:rPr>
        <w:t xml:space="preserve">, and weak capacity </w:t>
      </w:r>
      <w:r w:rsidR="006C5F4C" w:rsidRPr="00834149">
        <w:rPr>
          <w:rFonts w:cs="Times New Roman"/>
        </w:rPr>
        <w:t xml:space="preserve">among </w:t>
      </w:r>
      <w:r w:rsidRPr="00834149">
        <w:rPr>
          <w:rFonts w:cs="Times New Roman"/>
        </w:rPr>
        <w:t>public administrati</w:t>
      </w:r>
      <w:r w:rsidR="006C5F4C" w:rsidRPr="00834149">
        <w:rPr>
          <w:rFonts w:cs="Times New Roman"/>
        </w:rPr>
        <w:t>ve staff was seen as</w:t>
      </w:r>
      <w:r w:rsidRPr="00834149">
        <w:rPr>
          <w:rFonts w:cs="Times New Roman"/>
        </w:rPr>
        <w:t xml:space="preserve"> a constraint </w:t>
      </w:r>
      <w:r w:rsidR="006C5F4C" w:rsidRPr="00834149">
        <w:rPr>
          <w:rFonts w:cs="Times New Roman"/>
        </w:rPr>
        <w:t xml:space="preserve">to </w:t>
      </w:r>
      <w:r w:rsidRPr="00834149">
        <w:rPr>
          <w:rFonts w:cs="Times New Roman"/>
        </w:rPr>
        <w:t xml:space="preserve">improved service delivery. Civil society participants sought assurances that </w:t>
      </w:r>
      <w:r w:rsidR="006C5F4C" w:rsidRPr="00834149">
        <w:rPr>
          <w:rFonts w:cs="Times New Roman"/>
        </w:rPr>
        <w:t xml:space="preserve">WBG </w:t>
      </w:r>
      <w:r w:rsidRPr="00834149">
        <w:rPr>
          <w:rFonts w:cs="Times New Roman"/>
        </w:rPr>
        <w:t>financing for Togo was closely monitored and not diverted.</w:t>
      </w:r>
      <w:r w:rsidR="00DB4621" w:rsidRPr="00834149">
        <w:rPr>
          <w:rFonts w:cs="Times New Roman"/>
        </w:rPr>
        <w:t xml:space="preserve"> They also requested greater support from the </w:t>
      </w:r>
      <w:r w:rsidR="00104A8E" w:rsidRPr="00834149">
        <w:rPr>
          <w:rFonts w:cs="Times New Roman"/>
        </w:rPr>
        <w:t xml:space="preserve">WBG </w:t>
      </w:r>
      <w:r w:rsidR="00DB4621" w:rsidRPr="00834149">
        <w:rPr>
          <w:rFonts w:cs="Times New Roman"/>
        </w:rPr>
        <w:t>to help CSOs play an oversight role.</w:t>
      </w:r>
      <w:r w:rsidR="00FC69BB" w:rsidRPr="00834149">
        <w:rPr>
          <w:rFonts w:cs="Times New Roman"/>
        </w:rPr>
        <w:t xml:space="preserve"> </w:t>
      </w:r>
    </w:p>
    <w:p w14:paraId="56313558" w14:textId="53A820E1" w:rsidR="003D67F6" w:rsidRPr="00834149" w:rsidRDefault="003D67F6" w:rsidP="0030411E">
      <w:pPr>
        <w:pStyle w:val="ListParagraph"/>
        <w:pBdr>
          <w:top w:val="double" w:sz="4" w:space="1" w:color="auto"/>
          <w:left w:val="double" w:sz="4" w:space="4" w:color="auto"/>
          <w:bottom w:val="double" w:sz="4" w:space="1" w:color="auto"/>
          <w:right w:val="double" w:sz="4" w:space="4" w:color="auto"/>
        </w:pBdr>
        <w:shd w:val="clear" w:color="auto" w:fill="F8F8F0" w:themeFill="background2" w:themeFillTint="33"/>
        <w:autoSpaceDE w:val="0"/>
        <w:autoSpaceDN w:val="0"/>
        <w:adjustRightInd w:val="0"/>
        <w:ind w:left="0" w:firstLine="720"/>
        <w:jc w:val="both"/>
        <w:rPr>
          <w:rFonts w:cs="Times New Roman"/>
        </w:rPr>
      </w:pPr>
      <w:r w:rsidRPr="00834149">
        <w:rPr>
          <w:rFonts w:cs="Times New Roman"/>
        </w:rPr>
        <w:t>The challenge of coastal erosion was highlighted for increasingly dislocating coastal populations and livelihoods. In terms of human development, participants raised the issue of education quality and the disconnect between the skills training available for the labor force and the opportunities available on the market</w:t>
      </w:r>
      <w:r w:rsidR="0066637D" w:rsidRPr="00834149">
        <w:rPr>
          <w:rFonts w:cs="Times New Roman"/>
        </w:rPr>
        <w:t>. L</w:t>
      </w:r>
      <w:r w:rsidRPr="00834149">
        <w:rPr>
          <w:rFonts w:cs="Times New Roman"/>
        </w:rPr>
        <w:t>ow salaries</w:t>
      </w:r>
      <w:r w:rsidR="0066637D" w:rsidRPr="00834149">
        <w:rPr>
          <w:rFonts w:cs="Times New Roman"/>
        </w:rPr>
        <w:t>, limited</w:t>
      </w:r>
      <w:r w:rsidRPr="00834149">
        <w:rPr>
          <w:rFonts w:cs="Times New Roman"/>
        </w:rPr>
        <w:t xml:space="preserve"> job security</w:t>
      </w:r>
      <w:r w:rsidR="0066637D" w:rsidRPr="00834149">
        <w:rPr>
          <w:rFonts w:cs="Times New Roman"/>
        </w:rPr>
        <w:t>,</w:t>
      </w:r>
      <w:r w:rsidRPr="00834149">
        <w:rPr>
          <w:rFonts w:cs="Times New Roman"/>
        </w:rPr>
        <w:t xml:space="preserve"> and lack of motivation for job seekers</w:t>
      </w:r>
      <w:r w:rsidR="0066637D" w:rsidRPr="00834149">
        <w:rPr>
          <w:rFonts w:cs="Times New Roman"/>
        </w:rPr>
        <w:t xml:space="preserve"> were also cited</w:t>
      </w:r>
      <w:r w:rsidRPr="00834149">
        <w:rPr>
          <w:rFonts w:cs="Times New Roman"/>
        </w:rPr>
        <w:t xml:space="preserve">. </w:t>
      </w:r>
      <w:r w:rsidR="0066637D" w:rsidRPr="00834149">
        <w:rPr>
          <w:rFonts w:cs="Times New Roman"/>
        </w:rPr>
        <w:t>I</w:t>
      </w:r>
      <w:r w:rsidRPr="00834149">
        <w:rPr>
          <w:rFonts w:cs="Times New Roman"/>
        </w:rPr>
        <w:t xml:space="preserve">ssues of irrigation, secondary </w:t>
      </w:r>
      <w:r w:rsidR="0066637D" w:rsidRPr="00834149">
        <w:rPr>
          <w:rFonts w:cs="Times New Roman"/>
        </w:rPr>
        <w:t xml:space="preserve">and </w:t>
      </w:r>
      <w:r w:rsidRPr="00834149">
        <w:rPr>
          <w:rFonts w:cs="Times New Roman"/>
        </w:rPr>
        <w:t xml:space="preserve">feeder roads, and decentralization were stressed in regions where there is </w:t>
      </w:r>
      <w:r w:rsidR="0066637D" w:rsidRPr="00834149">
        <w:rPr>
          <w:rFonts w:cs="Times New Roman"/>
        </w:rPr>
        <w:t xml:space="preserve">a </w:t>
      </w:r>
      <w:r w:rsidRPr="00834149">
        <w:rPr>
          <w:rFonts w:cs="Times New Roman"/>
        </w:rPr>
        <w:t xml:space="preserve">need to develop secondary cities and promote local development. These elements were emphasized as prerequisites to prevent further rural emigration and to keep young people engaged in agriculture and the local economy. </w:t>
      </w:r>
    </w:p>
    <w:p w14:paraId="3A0D0FC8" w14:textId="6230E5E7" w:rsidR="003D67F6" w:rsidRPr="00834149" w:rsidRDefault="003D67F6" w:rsidP="0030411E">
      <w:pPr>
        <w:pStyle w:val="ListParagraph"/>
        <w:pBdr>
          <w:top w:val="double" w:sz="4" w:space="1" w:color="auto"/>
          <w:left w:val="double" w:sz="4" w:space="4" w:color="auto"/>
          <w:bottom w:val="double" w:sz="4" w:space="1" w:color="auto"/>
          <w:right w:val="double" w:sz="4" w:space="4" w:color="auto"/>
        </w:pBdr>
        <w:shd w:val="clear" w:color="auto" w:fill="F8F8F0" w:themeFill="background2" w:themeFillTint="33"/>
        <w:autoSpaceDE w:val="0"/>
        <w:autoSpaceDN w:val="0"/>
        <w:adjustRightInd w:val="0"/>
        <w:ind w:left="0" w:firstLine="720"/>
        <w:jc w:val="both"/>
        <w:rPr>
          <w:rFonts w:cs="Times New Roman"/>
        </w:rPr>
      </w:pPr>
      <w:r w:rsidRPr="00834149">
        <w:rPr>
          <w:rFonts w:cs="Times New Roman"/>
        </w:rPr>
        <w:t xml:space="preserve">The lack of private sector competitiveness due to </w:t>
      </w:r>
      <w:r w:rsidR="0066637D" w:rsidRPr="00834149">
        <w:rPr>
          <w:rFonts w:cs="Times New Roman"/>
        </w:rPr>
        <w:t xml:space="preserve">the tax system </w:t>
      </w:r>
      <w:r w:rsidRPr="00834149">
        <w:rPr>
          <w:rFonts w:cs="Times New Roman"/>
        </w:rPr>
        <w:t>and expensive inputs (electricity</w:t>
      </w:r>
      <w:r w:rsidR="004A3E60" w:rsidRPr="00834149">
        <w:rPr>
          <w:rFonts w:cs="Times New Roman"/>
        </w:rPr>
        <w:t>, telecommunications</w:t>
      </w:r>
      <w:r w:rsidR="0066637D" w:rsidRPr="00834149">
        <w:rPr>
          <w:rFonts w:cs="Times New Roman"/>
        </w:rPr>
        <w:t>,</w:t>
      </w:r>
      <w:r w:rsidRPr="00834149">
        <w:rPr>
          <w:rFonts w:cs="Times New Roman"/>
        </w:rPr>
        <w:t xml:space="preserve"> and other services), </w:t>
      </w:r>
      <w:r w:rsidR="00DB4621" w:rsidRPr="00834149">
        <w:rPr>
          <w:rFonts w:cs="Times New Roman"/>
        </w:rPr>
        <w:t xml:space="preserve">lack of transparency in public procurement, </w:t>
      </w:r>
      <w:r w:rsidRPr="00834149">
        <w:rPr>
          <w:rFonts w:cs="Times New Roman"/>
        </w:rPr>
        <w:t xml:space="preserve">and the need for special attention to </w:t>
      </w:r>
      <w:r w:rsidR="00DA0DD1">
        <w:rPr>
          <w:rFonts w:cs="Times New Roman"/>
        </w:rPr>
        <w:t>gender and fiscal policy</w:t>
      </w:r>
      <w:r w:rsidR="0066637D" w:rsidRPr="00834149">
        <w:rPr>
          <w:rFonts w:cs="Times New Roman"/>
        </w:rPr>
        <w:t xml:space="preserve"> and </w:t>
      </w:r>
      <w:r w:rsidRPr="00834149">
        <w:rPr>
          <w:rFonts w:cs="Times New Roman"/>
        </w:rPr>
        <w:t>education</w:t>
      </w:r>
      <w:r w:rsidR="0066637D" w:rsidRPr="00834149">
        <w:rPr>
          <w:rFonts w:cs="Times New Roman"/>
        </w:rPr>
        <w:t>—</w:t>
      </w:r>
      <w:r w:rsidRPr="00834149">
        <w:rPr>
          <w:rFonts w:cs="Times New Roman"/>
        </w:rPr>
        <w:t>notably</w:t>
      </w:r>
      <w:r w:rsidR="004A3E60" w:rsidRPr="00834149">
        <w:rPr>
          <w:rFonts w:cs="Times New Roman"/>
        </w:rPr>
        <w:t xml:space="preserve"> </w:t>
      </w:r>
      <w:r w:rsidRPr="00834149">
        <w:rPr>
          <w:rFonts w:cs="Times New Roman"/>
        </w:rPr>
        <w:t>secondary and higher education</w:t>
      </w:r>
      <w:r w:rsidR="0066637D" w:rsidRPr="00834149">
        <w:rPr>
          <w:rFonts w:cs="Times New Roman"/>
        </w:rPr>
        <w:t>—</w:t>
      </w:r>
      <w:r w:rsidRPr="00834149">
        <w:rPr>
          <w:rFonts w:cs="Times New Roman"/>
        </w:rPr>
        <w:t>were</w:t>
      </w:r>
      <w:r w:rsidR="004A3E60" w:rsidRPr="00834149">
        <w:rPr>
          <w:rFonts w:cs="Times New Roman"/>
        </w:rPr>
        <w:t xml:space="preserve"> </w:t>
      </w:r>
      <w:r w:rsidRPr="00834149">
        <w:rPr>
          <w:rFonts w:cs="Times New Roman"/>
        </w:rPr>
        <w:t xml:space="preserve">also highlighted. </w:t>
      </w:r>
    </w:p>
    <w:p w14:paraId="4D8B6483" w14:textId="77777777" w:rsidR="0030411E" w:rsidRDefault="0030411E">
      <w:pPr>
        <w:rPr>
          <w:rFonts w:eastAsiaTheme="majorEastAsia" w:cs="Times New Roman"/>
          <w:b/>
          <w:bCs/>
        </w:rPr>
      </w:pPr>
      <w:bookmarkStart w:id="24" w:name="_Toc480207638"/>
      <w:r>
        <w:rPr>
          <w:rFonts w:eastAsiaTheme="majorEastAsia" w:cs="Times New Roman"/>
          <w:b/>
          <w:bCs/>
        </w:rPr>
        <w:br w:type="page"/>
      </w:r>
    </w:p>
    <w:p w14:paraId="0E342E54" w14:textId="0B802155" w:rsidR="002B7A1D" w:rsidRPr="00F566F5" w:rsidRDefault="002B7A1D" w:rsidP="00834149">
      <w:pPr>
        <w:rPr>
          <w:rFonts w:cs="Times New Roman"/>
        </w:rPr>
      </w:pPr>
      <w:r w:rsidRPr="00834149">
        <w:rPr>
          <w:rFonts w:eastAsiaTheme="majorEastAsia" w:cs="Times New Roman"/>
          <w:b/>
          <w:bCs/>
        </w:rPr>
        <w:lastRenderedPageBreak/>
        <w:t>3.2.2 Overview of Strategy</w:t>
      </w:r>
      <w:bookmarkEnd w:id="24"/>
    </w:p>
    <w:p w14:paraId="01AA8406" w14:textId="77777777" w:rsidR="008E2B1A" w:rsidRPr="00834149" w:rsidRDefault="008E2B1A" w:rsidP="008E2B1A">
      <w:pPr>
        <w:rPr>
          <w:rFonts w:eastAsiaTheme="minorHAnsi" w:cs="Times New Roman"/>
          <w:b/>
          <w:bCs/>
        </w:rPr>
      </w:pPr>
    </w:p>
    <w:p w14:paraId="7D8DF79D" w14:textId="29AE3B8B" w:rsidR="00E80B25" w:rsidRPr="00834149" w:rsidRDefault="00157CE3" w:rsidP="00834149">
      <w:pPr>
        <w:pStyle w:val="ListParagraph"/>
        <w:numPr>
          <w:ilvl w:val="0"/>
          <w:numId w:val="2"/>
        </w:numPr>
        <w:ind w:left="0" w:firstLine="0"/>
        <w:contextualSpacing w:val="0"/>
        <w:jc w:val="both"/>
        <w:rPr>
          <w:rFonts w:cs="Times New Roman"/>
        </w:rPr>
      </w:pPr>
      <w:r w:rsidRPr="00834149">
        <w:rPr>
          <w:rFonts w:cs="Times New Roman"/>
          <w:b/>
        </w:rPr>
        <w:t xml:space="preserve">A fundamental challenge facing Togo as it seeks to transition from its status as a low-income fragile state to an emerging economy is weak governance that impedes </w:t>
      </w:r>
      <w:r w:rsidRPr="00834149">
        <w:rPr>
          <w:rFonts w:cs="Times New Roman"/>
          <w:b/>
          <w:bCs/>
          <w:color w:val="000000"/>
        </w:rPr>
        <w:t xml:space="preserve">more robust, inclusive and sustainable growth </w:t>
      </w:r>
      <w:r w:rsidR="00CA3425" w:rsidRPr="00834149">
        <w:rPr>
          <w:rFonts w:cs="Times New Roman"/>
          <w:b/>
          <w:bCs/>
          <w:color w:val="000000"/>
        </w:rPr>
        <w:t>and has contributed to</w:t>
      </w:r>
      <w:r w:rsidR="00534689" w:rsidRPr="00834149">
        <w:rPr>
          <w:rFonts w:cs="Times New Roman"/>
          <w:b/>
          <w:bCs/>
          <w:color w:val="000000"/>
        </w:rPr>
        <w:t xml:space="preserve"> </w:t>
      </w:r>
      <w:r w:rsidR="00CA3425" w:rsidRPr="00834149">
        <w:rPr>
          <w:rFonts w:cs="Times New Roman"/>
          <w:b/>
          <w:bCs/>
          <w:color w:val="000000"/>
        </w:rPr>
        <w:t>stagnant per capita GDP</w:t>
      </w:r>
      <w:r w:rsidR="005B4247" w:rsidRPr="00834149">
        <w:rPr>
          <w:rFonts w:cs="Times New Roman"/>
          <w:bCs/>
          <w:color w:val="000000"/>
        </w:rPr>
        <w:t xml:space="preserve">. </w:t>
      </w:r>
      <w:r w:rsidR="006D0F45" w:rsidRPr="00834149">
        <w:rPr>
          <w:rFonts w:cs="Times New Roman"/>
          <w:bCs/>
          <w:color w:val="000000"/>
        </w:rPr>
        <w:t>Governance r</w:t>
      </w:r>
      <w:r w:rsidR="00ED21FA" w:rsidRPr="00834149">
        <w:rPr>
          <w:rFonts w:cs="Times New Roman"/>
          <w:bCs/>
          <w:color w:val="000000"/>
        </w:rPr>
        <w:t xml:space="preserve">eforms aimed at </w:t>
      </w:r>
      <w:r w:rsidR="00ED21FA" w:rsidRPr="00834149">
        <w:rPr>
          <w:rFonts w:cs="Times New Roman"/>
          <w:color w:val="000000"/>
        </w:rPr>
        <w:t>engendering a</w:t>
      </w:r>
      <w:r w:rsidR="00E80B25" w:rsidRPr="00834149">
        <w:rPr>
          <w:rFonts w:cs="Times New Roman"/>
          <w:color w:val="000000"/>
        </w:rPr>
        <w:t xml:space="preserve"> more inclusive growth process led by private economic activity </w:t>
      </w:r>
      <w:r w:rsidR="006D0F45" w:rsidRPr="00834149">
        <w:rPr>
          <w:rFonts w:cs="Times New Roman"/>
          <w:color w:val="000000"/>
        </w:rPr>
        <w:t xml:space="preserve">are needed to </w:t>
      </w:r>
      <w:r w:rsidR="00E80B25" w:rsidRPr="00834149">
        <w:rPr>
          <w:rFonts w:cs="Times New Roman"/>
          <w:color w:val="000000"/>
        </w:rPr>
        <w:t xml:space="preserve">build an economy that is more </w:t>
      </w:r>
      <w:r w:rsidR="006D0F45" w:rsidRPr="00834149">
        <w:rPr>
          <w:rFonts w:cs="Times New Roman"/>
          <w:color w:val="000000"/>
        </w:rPr>
        <w:t>productive, creates more jobs and leads to a</w:t>
      </w:r>
      <w:r w:rsidR="00E80B25" w:rsidRPr="00834149">
        <w:rPr>
          <w:rFonts w:cs="Times New Roman"/>
          <w:color w:val="000000"/>
        </w:rPr>
        <w:t xml:space="preserve"> virtuous cycle of rising incomes, expand</w:t>
      </w:r>
      <w:r w:rsidR="00B14B7F" w:rsidRPr="00834149">
        <w:rPr>
          <w:rFonts w:cs="Times New Roman"/>
          <w:color w:val="000000"/>
        </w:rPr>
        <w:t>ed</w:t>
      </w:r>
      <w:r w:rsidR="00E80B25" w:rsidRPr="00834149">
        <w:rPr>
          <w:rFonts w:cs="Times New Roman"/>
          <w:color w:val="000000"/>
        </w:rPr>
        <w:t xml:space="preserve"> fiscal resources, </w:t>
      </w:r>
      <w:r w:rsidR="006D0F45" w:rsidRPr="00834149">
        <w:rPr>
          <w:rFonts w:cs="Times New Roman"/>
          <w:color w:val="000000"/>
        </w:rPr>
        <w:t xml:space="preserve">and an </w:t>
      </w:r>
      <w:r w:rsidR="00E80B25" w:rsidRPr="00834149">
        <w:rPr>
          <w:rFonts w:cs="Times New Roman"/>
          <w:color w:val="000000"/>
        </w:rPr>
        <w:t>increas</w:t>
      </w:r>
      <w:r w:rsidR="00B14B7F" w:rsidRPr="00834149">
        <w:rPr>
          <w:rFonts w:cs="Times New Roman"/>
          <w:color w:val="000000"/>
        </w:rPr>
        <w:t>ed</w:t>
      </w:r>
      <w:r w:rsidR="00E80B25" w:rsidRPr="00834149">
        <w:rPr>
          <w:rFonts w:cs="Times New Roman"/>
          <w:color w:val="000000"/>
        </w:rPr>
        <w:t xml:space="preserve"> ability to pay for public services to improve well-being</w:t>
      </w:r>
      <w:r w:rsidR="00A14923" w:rsidRPr="00834149">
        <w:rPr>
          <w:rFonts w:cs="Times New Roman"/>
          <w:color w:val="000000"/>
        </w:rPr>
        <w:t xml:space="preserve"> for a growing population</w:t>
      </w:r>
      <w:r w:rsidR="00E80B25" w:rsidRPr="00834149">
        <w:rPr>
          <w:rFonts w:cs="Times New Roman"/>
          <w:color w:val="000000"/>
        </w:rPr>
        <w:t>.</w:t>
      </w:r>
      <w:r w:rsidR="006D0F45" w:rsidRPr="00834149">
        <w:rPr>
          <w:rFonts w:cs="Times New Roman"/>
          <w:color w:val="000000"/>
        </w:rPr>
        <w:t xml:space="preserve"> </w:t>
      </w:r>
      <w:r w:rsidR="00ED21FA" w:rsidRPr="00834149">
        <w:rPr>
          <w:rFonts w:cs="Times New Roman"/>
          <w:color w:val="000000"/>
        </w:rPr>
        <w:t xml:space="preserve"> </w:t>
      </w:r>
    </w:p>
    <w:p w14:paraId="1C2F1DA3" w14:textId="77777777" w:rsidR="00570DD5" w:rsidRPr="00834149" w:rsidRDefault="00570DD5" w:rsidP="00834149">
      <w:pPr>
        <w:pStyle w:val="ListParagraph"/>
        <w:ind w:left="0"/>
        <w:contextualSpacing w:val="0"/>
        <w:jc w:val="both"/>
        <w:rPr>
          <w:rFonts w:cs="Times New Roman"/>
        </w:rPr>
      </w:pPr>
    </w:p>
    <w:p w14:paraId="16D0BA38" w14:textId="646005CF" w:rsidR="001A032C" w:rsidRPr="00834149" w:rsidRDefault="001A032C" w:rsidP="00834149">
      <w:pPr>
        <w:pStyle w:val="ListParagraph"/>
        <w:numPr>
          <w:ilvl w:val="0"/>
          <w:numId w:val="2"/>
        </w:numPr>
        <w:ind w:left="0" w:firstLine="0"/>
        <w:contextualSpacing w:val="0"/>
        <w:jc w:val="both"/>
        <w:rPr>
          <w:rFonts w:cs="Times New Roman"/>
          <w:b/>
        </w:rPr>
      </w:pPr>
      <w:r w:rsidRPr="00834149">
        <w:rPr>
          <w:rFonts w:cs="Times New Roman"/>
          <w:b/>
          <w:bCs/>
        </w:rPr>
        <w:t xml:space="preserve">The CPF seizes on a window of opportunity created by an increased willingness </w:t>
      </w:r>
      <w:r w:rsidR="001F4050" w:rsidRPr="00834149">
        <w:rPr>
          <w:rFonts w:cs="Times New Roman"/>
          <w:b/>
          <w:bCs/>
        </w:rPr>
        <w:t xml:space="preserve">on the part of </w:t>
      </w:r>
      <w:r w:rsidRPr="00834149">
        <w:rPr>
          <w:rFonts w:cs="Times New Roman"/>
          <w:b/>
          <w:bCs/>
        </w:rPr>
        <w:t xml:space="preserve">the authorities to tackle key economic governance constraints in order to surmount the urgent </w:t>
      </w:r>
      <w:r w:rsidR="0052408E" w:rsidRPr="00834149">
        <w:rPr>
          <w:rFonts w:cs="Times New Roman"/>
          <w:b/>
          <w:bCs/>
        </w:rPr>
        <w:t xml:space="preserve">development </w:t>
      </w:r>
      <w:r w:rsidRPr="00834149">
        <w:rPr>
          <w:rFonts w:cs="Times New Roman"/>
          <w:b/>
          <w:bCs/>
        </w:rPr>
        <w:t>challenges facing the country</w:t>
      </w:r>
      <w:r w:rsidRPr="00834149">
        <w:rPr>
          <w:rFonts w:cs="Times New Roman"/>
          <w:bCs/>
        </w:rPr>
        <w:t xml:space="preserve">. These urgencies have been brought to the fore by </w:t>
      </w:r>
      <w:r w:rsidR="00592284" w:rsidRPr="00834149">
        <w:rPr>
          <w:rFonts w:cs="Times New Roman"/>
          <w:bCs/>
        </w:rPr>
        <w:t xml:space="preserve">significant </w:t>
      </w:r>
      <w:r w:rsidR="00B14B7F" w:rsidRPr="00834149">
        <w:rPr>
          <w:rFonts w:cs="Times New Roman"/>
          <w:bCs/>
        </w:rPr>
        <w:t>budgetary</w:t>
      </w:r>
      <w:r w:rsidRPr="00834149">
        <w:rPr>
          <w:rFonts w:cs="Times New Roman"/>
          <w:bCs/>
        </w:rPr>
        <w:t xml:space="preserve"> difficulties </w:t>
      </w:r>
      <w:r w:rsidR="00592284" w:rsidRPr="00834149">
        <w:rPr>
          <w:rFonts w:cs="Times New Roman"/>
          <w:bCs/>
        </w:rPr>
        <w:t>resulting from rapid accumulation of domestic debt</w:t>
      </w:r>
      <w:r w:rsidR="001F4050" w:rsidRPr="00834149">
        <w:rPr>
          <w:rFonts w:cs="Times New Roman"/>
          <w:bCs/>
        </w:rPr>
        <w:t>,</w:t>
      </w:r>
      <w:r w:rsidRPr="00834149">
        <w:rPr>
          <w:rFonts w:cs="Times New Roman"/>
          <w:bCs/>
        </w:rPr>
        <w:t xml:space="preserve"> </w:t>
      </w:r>
      <w:r w:rsidR="00BF2FB6" w:rsidRPr="00834149">
        <w:rPr>
          <w:rFonts w:cs="Times New Roman"/>
          <w:bCs/>
        </w:rPr>
        <w:t>fiscal constraints and</w:t>
      </w:r>
      <w:r w:rsidRPr="00834149">
        <w:rPr>
          <w:rFonts w:cs="Times New Roman"/>
          <w:bCs/>
        </w:rPr>
        <w:t xml:space="preserve"> </w:t>
      </w:r>
      <w:r w:rsidR="00592284" w:rsidRPr="00834149">
        <w:rPr>
          <w:rFonts w:cs="Times New Roman"/>
          <w:bCs/>
        </w:rPr>
        <w:t xml:space="preserve">delays in implementing </w:t>
      </w:r>
      <w:r w:rsidRPr="00834149">
        <w:rPr>
          <w:rFonts w:cs="Times New Roman"/>
          <w:bCs/>
        </w:rPr>
        <w:t>reforms needed to make the economy more productive</w:t>
      </w:r>
      <w:r w:rsidR="001F4050" w:rsidRPr="00834149">
        <w:rPr>
          <w:rFonts w:cs="Times New Roman"/>
          <w:bCs/>
        </w:rPr>
        <w:t>,</w:t>
      </w:r>
      <w:r w:rsidRPr="00834149">
        <w:rPr>
          <w:rFonts w:cs="Times New Roman"/>
          <w:bCs/>
        </w:rPr>
        <w:t xml:space="preserve"> </w:t>
      </w:r>
      <w:r w:rsidR="00BF2FB6" w:rsidRPr="00834149">
        <w:rPr>
          <w:rFonts w:cs="Times New Roman"/>
          <w:bCs/>
        </w:rPr>
        <w:t>as well as growing</w:t>
      </w:r>
      <w:r w:rsidRPr="00834149">
        <w:rPr>
          <w:rFonts w:cs="Times New Roman"/>
          <w:bCs/>
        </w:rPr>
        <w:t xml:space="preserve"> </w:t>
      </w:r>
      <w:r w:rsidR="00592284" w:rsidRPr="00834149">
        <w:rPr>
          <w:rFonts w:cs="Times New Roman"/>
          <w:bCs/>
        </w:rPr>
        <w:t>pressure</w:t>
      </w:r>
      <w:r w:rsidR="00BF2FB6" w:rsidRPr="00834149">
        <w:rPr>
          <w:rFonts w:cs="Times New Roman"/>
          <w:bCs/>
        </w:rPr>
        <w:t xml:space="preserve"> </w:t>
      </w:r>
      <w:r w:rsidR="00B14B7F" w:rsidRPr="00834149">
        <w:rPr>
          <w:rFonts w:cs="Times New Roman"/>
          <w:bCs/>
        </w:rPr>
        <w:t>from</w:t>
      </w:r>
      <w:r w:rsidR="004B387B" w:rsidRPr="00834149">
        <w:rPr>
          <w:rFonts w:cs="Times New Roman"/>
          <w:bCs/>
        </w:rPr>
        <w:t xml:space="preserve"> </w:t>
      </w:r>
      <w:r w:rsidRPr="00834149">
        <w:rPr>
          <w:rFonts w:cs="Times New Roman"/>
          <w:bCs/>
        </w:rPr>
        <w:t>citizen</w:t>
      </w:r>
      <w:r w:rsidR="00B14B7F" w:rsidRPr="00834149">
        <w:rPr>
          <w:rFonts w:cs="Times New Roman"/>
          <w:bCs/>
        </w:rPr>
        <w:t>s</w:t>
      </w:r>
      <w:r w:rsidRPr="00834149">
        <w:rPr>
          <w:rFonts w:cs="Times New Roman"/>
          <w:bCs/>
        </w:rPr>
        <w:t xml:space="preserve"> for improved </w:t>
      </w:r>
      <w:r w:rsidR="00B14B7F" w:rsidRPr="00834149">
        <w:rPr>
          <w:rFonts w:cs="Times New Roman"/>
          <w:bCs/>
        </w:rPr>
        <w:t xml:space="preserve">living standards, </w:t>
      </w:r>
      <w:r w:rsidRPr="00834149">
        <w:rPr>
          <w:rFonts w:cs="Times New Roman"/>
          <w:bCs/>
        </w:rPr>
        <w:t xml:space="preserve">services and opportunities. </w:t>
      </w:r>
    </w:p>
    <w:p w14:paraId="52CBB2CF" w14:textId="78B52D1D" w:rsidR="00570DD5" w:rsidRPr="00834149" w:rsidRDefault="00570DD5" w:rsidP="00834149">
      <w:pPr>
        <w:pStyle w:val="ListParagraph"/>
        <w:ind w:left="0"/>
        <w:contextualSpacing w:val="0"/>
        <w:jc w:val="both"/>
        <w:rPr>
          <w:rFonts w:cs="Times New Roman"/>
          <w:b/>
        </w:rPr>
      </w:pPr>
    </w:p>
    <w:p w14:paraId="76444078" w14:textId="2ECEFF80" w:rsidR="005B4247" w:rsidRPr="00834149" w:rsidRDefault="00B14B7F" w:rsidP="00834149">
      <w:pPr>
        <w:pStyle w:val="ListParagraph"/>
        <w:numPr>
          <w:ilvl w:val="0"/>
          <w:numId w:val="2"/>
        </w:numPr>
        <w:ind w:left="0" w:firstLine="0"/>
        <w:contextualSpacing w:val="0"/>
        <w:jc w:val="both"/>
        <w:rPr>
          <w:rFonts w:cs="Times New Roman"/>
          <w:b/>
        </w:rPr>
      </w:pPr>
      <w:r w:rsidRPr="00834149">
        <w:rPr>
          <w:rFonts w:cs="Times New Roman"/>
          <w:b/>
        </w:rPr>
        <w:t>T</w:t>
      </w:r>
      <w:r w:rsidR="00FA52A5" w:rsidRPr="00834149">
        <w:rPr>
          <w:rFonts w:cs="Times New Roman"/>
          <w:b/>
        </w:rPr>
        <w:t>he CPF re</w:t>
      </w:r>
      <w:r w:rsidR="00AB21EA" w:rsidRPr="00834149">
        <w:rPr>
          <w:rFonts w:cs="Times New Roman"/>
          <w:b/>
        </w:rPr>
        <w:t>new</w:t>
      </w:r>
      <w:r w:rsidR="003C467A" w:rsidRPr="00834149">
        <w:rPr>
          <w:rFonts w:cs="Times New Roman"/>
          <w:b/>
        </w:rPr>
        <w:t>s the</w:t>
      </w:r>
      <w:r w:rsidR="00AB21EA" w:rsidRPr="00834149">
        <w:rPr>
          <w:rFonts w:cs="Times New Roman"/>
          <w:b/>
        </w:rPr>
        <w:t xml:space="preserve"> </w:t>
      </w:r>
      <w:r w:rsidR="00FA52A5" w:rsidRPr="00834149">
        <w:rPr>
          <w:rFonts w:cs="Times New Roman"/>
          <w:b/>
        </w:rPr>
        <w:t>focus</w:t>
      </w:r>
      <w:r w:rsidR="00AB21EA" w:rsidRPr="00834149">
        <w:rPr>
          <w:rFonts w:cs="Times New Roman"/>
          <w:b/>
        </w:rPr>
        <w:t xml:space="preserve"> on</w:t>
      </w:r>
      <w:r w:rsidR="00FA52A5" w:rsidRPr="00834149">
        <w:rPr>
          <w:rFonts w:cs="Times New Roman"/>
          <w:b/>
        </w:rPr>
        <w:t xml:space="preserve"> </w:t>
      </w:r>
      <w:r w:rsidR="00E459AE" w:rsidRPr="00834149">
        <w:rPr>
          <w:rFonts w:cs="Times New Roman"/>
          <w:b/>
        </w:rPr>
        <w:t xml:space="preserve">strengthening </w:t>
      </w:r>
      <w:r w:rsidR="00AB21EA" w:rsidRPr="00834149">
        <w:rPr>
          <w:rFonts w:cs="Times New Roman"/>
          <w:b/>
        </w:rPr>
        <w:t>governance</w:t>
      </w:r>
      <w:r w:rsidR="001F4050" w:rsidRPr="00834149">
        <w:rPr>
          <w:rFonts w:cs="Times New Roman"/>
          <w:b/>
        </w:rPr>
        <w:t xml:space="preserve"> in Togo</w:t>
      </w:r>
      <w:r w:rsidR="006D0F45" w:rsidRPr="00834149">
        <w:rPr>
          <w:rFonts w:cs="Times New Roman"/>
          <w:b/>
        </w:rPr>
        <w:t xml:space="preserve">, </w:t>
      </w:r>
      <w:r w:rsidRPr="00834149">
        <w:rPr>
          <w:rFonts w:cs="Times New Roman"/>
          <w:b/>
        </w:rPr>
        <w:t>notably</w:t>
      </w:r>
      <w:r w:rsidR="006D0F45" w:rsidRPr="00834149">
        <w:rPr>
          <w:rFonts w:cs="Times New Roman"/>
          <w:b/>
        </w:rPr>
        <w:t xml:space="preserve"> accountability</w:t>
      </w:r>
      <w:r w:rsidR="00E459AE" w:rsidRPr="00834149">
        <w:rPr>
          <w:rFonts w:cs="Times New Roman"/>
          <w:b/>
        </w:rPr>
        <w:t xml:space="preserve">, institutional effectiveness </w:t>
      </w:r>
      <w:r w:rsidR="00AB21EA" w:rsidRPr="00834149">
        <w:rPr>
          <w:rFonts w:cs="Times New Roman"/>
          <w:b/>
        </w:rPr>
        <w:t>and citizen engagement</w:t>
      </w:r>
      <w:r w:rsidR="00AB21EA" w:rsidRPr="00834149">
        <w:rPr>
          <w:rFonts w:cs="Times New Roman"/>
        </w:rPr>
        <w:t xml:space="preserve">. </w:t>
      </w:r>
      <w:r w:rsidR="00D237CA" w:rsidRPr="00834149">
        <w:rPr>
          <w:rFonts w:cs="Times New Roman"/>
        </w:rPr>
        <w:t xml:space="preserve">At the same time, </w:t>
      </w:r>
      <w:r w:rsidR="00A14923" w:rsidRPr="00834149">
        <w:rPr>
          <w:rFonts w:cs="Times New Roman"/>
        </w:rPr>
        <w:t xml:space="preserve">given the government’s fiscal constraints, </w:t>
      </w:r>
      <w:r w:rsidR="00D237CA" w:rsidRPr="00834149">
        <w:rPr>
          <w:rFonts w:cs="Times New Roman"/>
        </w:rPr>
        <w:t>t</w:t>
      </w:r>
      <w:r w:rsidR="00AB21EA" w:rsidRPr="00834149">
        <w:rPr>
          <w:rFonts w:cs="Times New Roman"/>
        </w:rPr>
        <w:t>he CPF will support</w:t>
      </w:r>
      <w:r w:rsidR="000B1EFC" w:rsidRPr="00834149">
        <w:rPr>
          <w:rFonts w:cs="Times New Roman"/>
        </w:rPr>
        <w:t xml:space="preserve"> </w:t>
      </w:r>
      <w:r w:rsidR="00AC53CC" w:rsidRPr="00834149">
        <w:rPr>
          <w:rFonts w:cs="Times New Roman"/>
        </w:rPr>
        <w:t>improv</w:t>
      </w:r>
      <w:r w:rsidR="000B1EFC" w:rsidRPr="00834149">
        <w:rPr>
          <w:rFonts w:cs="Times New Roman"/>
        </w:rPr>
        <w:t xml:space="preserve">ements in </w:t>
      </w:r>
      <w:r w:rsidR="00D237CA" w:rsidRPr="00834149">
        <w:rPr>
          <w:rFonts w:cs="Times New Roman"/>
        </w:rPr>
        <w:t xml:space="preserve">the business environment and </w:t>
      </w:r>
      <w:r w:rsidR="00CF26E0" w:rsidRPr="00834149">
        <w:rPr>
          <w:rFonts w:cs="Times New Roman"/>
        </w:rPr>
        <w:t xml:space="preserve">private sector </w:t>
      </w:r>
      <w:r w:rsidR="00AC53CC" w:rsidRPr="00834149">
        <w:rPr>
          <w:rFonts w:cs="Times New Roman"/>
        </w:rPr>
        <w:t xml:space="preserve">performance to help generate </w:t>
      </w:r>
      <w:r w:rsidR="00CF26E0" w:rsidRPr="00834149">
        <w:rPr>
          <w:rFonts w:cs="Times New Roman"/>
        </w:rPr>
        <w:t xml:space="preserve">more and better jobs, </w:t>
      </w:r>
      <w:r w:rsidR="00C84D96" w:rsidRPr="00834149">
        <w:rPr>
          <w:rFonts w:cs="Times New Roman"/>
        </w:rPr>
        <w:t>including</w:t>
      </w:r>
      <w:r w:rsidR="00CF26E0" w:rsidRPr="00834149">
        <w:rPr>
          <w:rFonts w:cs="Times New Roman"/>
        </w:rPr>
        <w:t xml:space="preserve"> </w:t>
      </w:r>
      <w:r w:rsidR="00B62C26" w:rsidRPr="00834149">
        <w:rPr>
          <w:rFonts w:cs="Times New Roman"/>
        </w:rPr>
        <w:t>in</w:t>
      </w:r>
      <w:r w:rsidR="0052408E" w:rsidRPr="00834149">
        <w:rPr>
          <w:rFonts w:cs="Times New Roman"/>
        </w:rPr>
        <w:t>creasing</w:t>
      </w:r>
      <w:r w:rsidR="00CF26E0" w:rsidRPr="00834149">
        <w:rPr>
          <w:rFonts w:cs="Times New Roman"/>
        </w:rPr>
        <w:t xml:space="preserve"> agricultur</w:t>
      </w:r>
      <w:r w:rsidR="0052408E" w:rsidRPr="00834149">
        <w:rPr>
          <w:rFonts w:cs="Times New Roman"/>
        </w:rPr>
        <w:t>al</w:t>
      </w:r>
      <w:r w:rsidR="00CF26E0" w:rsidRPr="00834149">
        <w:rPr>
          <w:rFonts w:cs="Times New Roman"/>
        </w:rPr>
        <w:t xml:space="preserve"> </w:t>
      </w:r>
      <w:r w:rsidR="0052408E" w:rsidRPr="00834149">
        <w:rPr>
          <w:rFonts w:cs="Times New Roman"/>
        </w:rPr>
        <w:t xml:space="preserve">productivity </w:t>
      </w:r>
      <w:r w:rsidR="00CF26E0" w:rsidRPr="00834149">
        <w:rPr>
          <w:rFonts w:cs="Times New Roman"/>
        </w:rPr>
        <w:t xml:space="preserve">to </w:t>
      </w:r>
      <w:r w:rsidR="00B62C26" w:rsidRPr="00834149">
        <w:rPr>
          <w:rFonts w:cs="Times New Roman"/>
        </w:rPr>
        <w:t xml:space="preserve">improve </w:t>
      </w:r>
      <w:r w:rsidR="00CF26E0" w:rsidRPr="00834149">
        <w:rPr>
          <w:rFonts w:cs="Times New Roman"/>
        </w:rPr>
        <w:t>incomes</w:t>
      </w:r>
      <w:r w:rsidR="00BF2FB6" w:rsidRPr="00834149">
        <w:rPr>
          <w:rFonts w:cs="Times New Roman"/>
        </w:rPr>
        <w:t xml:space="preserve">, </w:t>
      </w:r>
      <w:r w:rsidR="001F4050" w:rsidRPr="00834149">
        <w:rPr>
          <w:rFonts w:cs="Times New Roman"/>
        </w:rPr>
        <w:t xml:space="preserve">especially </w:t>
      </w:r>
      <w:r w:rsidR="00AC53CC" w:rsidRPr="00834149">
        <w:rPr>
          <w:rFonts w:cs="Times New Roman"/>
        </w:rPr>
        <w:t>for the poorest</w:t>
      </w:r>
      <w:r w:rsidR="001F4050" w:rsidRPr="00834149">
        <w:rPr>
          <w:rFonts w:cs="Times New Roman"/>
        </w:rPr>
        <w:t xml:space="preserve"> segments of the population</w:t>
      </w:r>
      <w:r w:rsidR="00AC53CC" w:rsidRPr="00834149">
        <w:rPr>
          <w:rFonts w:cs="Times New Roman"/>
        </w:rPr>
        <w:t>;</w:t>
      </w:r>
      <w:r w:rsidR="00AB21EA" w:rsidRPr="00834149">
        <w:rPr>
          <w:rFonts w:cs="Times New Roman"/>
        </w:rPr>
        <w:t xml:space="preserve"> </w:t>
      </w:r>
      <w:r w:rsidR="001F4050" w:rsidRPr="00834149">
        <w:rPr>
          <w:rFonts w:cs="Times New Roman"/>
        </w:rPr>
        <w:t xml:space="preserve">efforts to </w:t>
      </w:r>
      <w:r w:rsidR="00EC4BC3" w:rsidRPr="00834149">
        <w:rPr>
          <w:rFonts w:cs="Times New Roman"/>
        </w:rPr>
        <w:t xml:space="preserve">empower communities </w:t>
      </w:r>
      <w:r w:rsidR="00C84D96" w:rsidRPr="00834149">
        <w:rPr>
          <w:rFonts w:cs="Times New Roman"/>
        </w:rPr>
        <w:t>and local government</w:t>
      </w:r>
      <w:r w:rsidR="001F4050" w:rsidRPr="00834149">
        <w:rPr>
          <w:rFonts w:cs="Times New Roman"/>
        </w:rPr>
        <w:t>s</w:t>
      </w:r>
      <w:r w:rsidR="00C84D96" w:rsidRPr="00834149">
        <w:rPr>
          <w:rFonts w:cs="Times New Roman"/>
        </w:rPr>
        <w:t xml:space="preserve"> </w:t>
      </w:r>
      <w:r w:rsidR="00EC4BC3" w:rsidRPr="00834149">
        <w:rPr>
          <w:rFonts w:cs="Times New Roman"/>
        </w:rPr>
        <w:t xml:space="preserve">to </w:t>
      </w:r>
      <w:r w:rsidR="00B62C26" w:rsidRPr="00834149">
        <w:rPr>
          <w:rFonts w:cs="Times New Roman"/>
        </w:rPr>
        <w:t>improv</w:t>
      </w:r>
      <w:r w:rsidR="00EC4BC3" w:rsidRPr="00834149">
        <w:rPr>
          <w:rFonts w:cs="Times New Roman"/>
        </w:rPr>
        <w:t>e</w:t>
      </w:r>
      <w:r w:rsidR="00B62C26" w:rsidRPr="00834149">
        <w:rPr>
          <w:rFonts w:cs="Times New Roman"/>
        </w:rPr>
        <w:t xml:space="preserve"> the delivery of basic social and infrastructure servi</w:t>
      </w:r>
      <w:r w:rsidR="008855E5" w:rsidRPr="00834149">
        <w:rPr>
          <w:rFonts w:cs="Times New Roman"/>
        </w:rPr>
        <w:t>ces in urban and rural areas</w:t>
      </w:r>
      <w:r w:rsidR="00C84D96" w:rsidRPr="00834149">
        <w:rPr>
          <w:rFonts w:cs="Times New Roman"/>
        </w:rPr>
        <w:t xml:space="preserve">; and </w:t>
      </w:r>
      <w:r w:rsidR="001F4050" w:rsidRPr="00834149">
        <w:rPr>
          <w:rFonts w:cs="Times New Roman"/>
        </w:rPr>
        <w:t>reductions in the</w:t>
      </w:r>
      <w:r w:rsidR="008855E5" w:rsidRPr="00834149">
        <w:rPr>
          <w:rFonts w:cs="Times New Roman"/>
        </w:rPr>
        <w:t xml:space="preserve"> risks to sustainable development arising from environmental degradation and climate change.</w:t>
      </w:r>
    </w:p>
    <w:p w14:paraId="562C9D8D" w14:textId="42C358CA" w:rsidR="00570DD5" w:rsidRPr="00834149" w:rsidRDefault="00570DD5" w:rsidP="00834149">
      <w:pPr>
        <w:pStyle w:val="ListParagraph"/>
        <w:ind w:left="0"/>
        <w:contextualSpacing w:val="0"/>
        <w:jc w:val="both"/>
        <w:rPr>
          <w:rFonts w:cs="Times New Roman"/>
          <w:b/>
        </w:rPr>
      </w:pPr>
    </w:p>
    <w:p w14:paraId="274086B0" w14:textId="20C2AABE" w:rsidR="000970E2" w:rsidRPr="00834149" w:rsidRDefault="000970E2" w:rsidP="00834149">
      <w:pPr>
        <w:pStyle w:val="ListParagraph"/>
        <w:numPr>
          <w:ilvl w:val="0"/>
          <w:numId w:val="2"/>
        </w:numPr>
        <w:ind w:left="0" w:firstLine="0"/>
        <w:contextualSpacing w:val="0"/>
        <w:jc w:val="both"/>
        <w:rPr>
          <w:rFonts w:cs="Times New Roman"/>
          <w:b/>
        </w:rPr>
      </w:pPr>
      <w:r w:rsidRPr="00834149">
        <w:rPr>
          <w:rFonts w:cs="Times New Roman"/>
          <w:b/>
        </w:rPr>
        <w:t xml:space="preserve">Given the substantial risks and challenges for government to sustain reforms in </w:t>
      </w:r>
      <w:r w:rsidR="00BF2FB6" w:rsidRPr="00834149">
        <w:rPr>
          <w:rFonts w:cs="Times New Roman"/>
          <w:b/>
        </w:rPr>
        <w:t>sectors with</w:t>
      </w:r>
      <w:r w:rsidRPr="00834149">
        <w:rPr>
          <w:rFonts w:cs="Times New Roman"/>
          <w:b/>
        </w:rPr>
        <w:t xml:space="preserve"> vested interest</w:t>
      </w:r>
      <w:r w:rsidR="00BF2FB6" w:rsidRPr="00834149">
        <w:rPr>
          <w:rFonts w:cs="Times New Roman"/>
          <w:b/>
        </w:rPr>
        <w:t>s</w:t>
      </w:r>
      <w:r w:rsidRPr="00834149">
        <w:rPr>
          <w:rFonts w:cs="Times New Roman"/>
          <w:b/>
        </w:rPr>
        <w:t>, the CPF proposes two engagement scenarios</w:t>
      </w:r>
      <w:r w:rsidRPr="00834149">
        <w:rPr>
          <w:rFonts w:cs="Times New Roman"/>
        </w:rPr>
        <w:t xml:space="preserve">. Under Engagement Scenario 1, IDA </w:t>
      </w:r>
      <w:r w:rsidR="00950A47" w:rsidRPr="00834149">
        <w:rPr>
          <w:rFonts w:cs="Times New Roman"/>
        </w:rPr>
        <w:t>financing</w:t>
      </w:r>
      <w:r w:rsidRPr="00834149">
        <w:rPr>
          <w:rFonts w:cs="Times New Roman"/>
        </w:rPr>
        <w:t xml:space="preserve"> would </w:t>
      </w:r>
      <w:r w:rsidR="00950A47" w:rsidRPr="00834149">
        <w:rPr>
          <w:rFonts w:cs="Times New Roman"/>
        </w:rPr>
        <w:t>support new investment operations and</w:t>
      </w:r>
      <w:r w:rsidRPr="00834149">
        <w:rPr>
          <w:rFonts w:cs="Times New Roman"/>
        </w:rPr>
        <w:t xml:space="preserve"> a programmatic DPO series (FY18 and FY19) which would be presented to the Board and implemented on the basis of two criteria: (i) an adequate macroeconomic framework, as monitored/evaluated by IMF and IDA; and (ii) satisfactory economic governance, as demonstrated by implementation of reforms supported by the FY18</w:t>
      </w:r>
      <w:r w:rsidR="00BF2FB6" w:rsidRPr="00834149">
        <w:rPr>
          <w:rFonts w:cs="Times New Roman"/>
        </w:rPr>
        <w:t>-</w:t>
      </w:r>
      <w:r w:rsidR="00570DD5">
        <w:rPr>
          <w:rFonts w:cs="Times New Roman"/>
        </w:rPr>
        <w:t>FY</w:t>
      </w:r>
      <w:r w:rsidRPr="00834149">
        <w:rPr>
          <w:rFonts w:cs="Times New Roman"/>
        </w:rPr>
        <w:t>19 DPO series.</w:t>
      </w:r>
      <w:r w:rsidR="009775BC" w:rsidRPr="00834149">
        <w:rPr>
          <w:rStyle w:val="FootnoteReference"/>
          <w:rFonts w:cs="Times New Roman"/>
        </w:rPr>
        <w:footnoteReference w:id="6"/>
      </w:r>
      <w:r w:rsidR="00BF2FB6" w:rsidRPr="00834149">
        <w:t xml:space="preserve"> </w:t>
      </w:r>
      <w:r w:rsidR="009775BC" w:rsidRPr="00834149">
        <w:rPr>
          <w:rFonts w:cs="Times New Roman"/>
        </w:rPr>
        <w:t xml:space="preserve">The proposed DPO series would provide the platform for policy reforms in key economic sectors to be adopted while, in parallel, IDA </w:t>
      </w:r>
      <w:r w:rsidR="00E44351">
        <w:rPr>
          <w:rFonts w:cs="Times New Roman"/>
        </w:rPr>
        <w:t>resources</w:t>
      </w:r>
      <w:r w:rsidR="009775BC" w:rsidRPr="00834149">
        <w:rPr>
          <w:rFonts w:cs="Times New Roman"/>
        </w:rPr>
        <w:t xml:space="preserve"> would </w:t>
      </w:r>
      <w:r w:rsidR="00950A47" w:rsidRPr="00834149">
        <w:rPr>
          <w:rFonts w:cs="Times New Roman"/>
        </w:rPr>
        <w:t xml:space="preserve">finance </w:t>
      </w:r>
      <w:r w:rsidR="009775BC" w:rsidRPr="00834149">
        <w:rPr>
          <w:rFonts w:cs="Times New Roman"/>
        </w:rPr>
        <w:t>investment</w:t>
      </w:r>
      <w:r w:rsidR="00950A47" w:rsidRPr="00834149">
        <w:rPr>
          <w:rFonts w:cs="Times New Roman"/>
        </w:rPr>
        <w:t>s</w:t>
      </w:r>
      <w:r w:rsidR="009775BC" w:rsidRPr="00834149">
        <w:rPr>
          <w:rFonts w:cs="Times New Roman"/>
        </w:rPr>
        <w:t xml:space="preserve"> and technical assistance.</w:t>
      </w:r>
    </w:p>
    <w:p w14:paraId="20EDDC1B" w14:textId="35CFD48C" w:rsidR="00570DD5" w:rsidRPr="00834149" w:rsidRDefault="00570DD5" w:rsidP="00834149">
      <w:pPr>
        <w:pStyle w:val="ListParagraph"/>
        <w:ind w:left="0"/>
        <w:contextualSpacing w:val="0"/>
        <w:jc w:val="both"/>
        <w:rPr>
          <w:rFonts w:cs="Times New Roman"/>
          <w:b/>
        </w:rPr>
      </w:pPr>
    </w:p>
    <w:p w14:paraId="2CDF49A9" w14:textId="556C2D87" w:rsidR="001D7169" w:rsidRPr="00834149" w:rsidRDefault="001D7169" w:rsidP="00834149">
      <w:pPr>
        <w:pStyle w:val="ListParagraph"/>
        <w:numPr>
          <w:ilvl w:val="0"/>
          <w:numId w:val="2"/>
        </w:numPr>
        <w:ind w:left="0" w:firstLine="0"/>
        <w:contextualSpacing w:val="0"/>
        <w:jc w:val="both"/>
        <w:rPr>
          <w:rFonts w:cs="Times New Roman"/>
          <w:b/>
        </w:rPr>
      </w:pPr>
      <w:r w:rsidRPr="00834149">
        <w:rPr>
          <w:rFonts w:cs="Times New Roman"/>
          <w:b/>
        </w:rPr>
        <w:t>Under Engagement Scenario 2, IDA</w:t>
      </w:r>
      <w:r w:rsidR="000765CA" w:rsidRPr="00834149">
        <w:rPr>
          <w:rFonts w:cs="Times New Roman"/>
          <w:b/>
        </w:rPr>
        <w:t>18</w:t>
      </w:r>
      <w:r w:rsidRPr="00834149">
        <w:rPr>
          <w:rFonts w:cs="Times New Roman"/>
          <w:b/>
        </w:rPr>
        <w:t xml:space="preserve"> resources would be allocated </w:t>
      </w:r>
      <w:r w:rsidR="00950A47" w:rsidRPr="00834149">
        <w:rPr>
          <w:rFonts w:cs="Times New Roman"/>
          <w:b/>
        </w:rPr>
        <w:t xml:space="preserve">only </w:t>
      </w:r>
      <w:r w:rsidRPr="00834149">
        <w:rPr>
          <w:rFonts w:cs="Times New Roman"/>
          <w:b/>
        </w:rPr>
        <w:t xml:space="preserve">across the indicative investment </w:t>
      </w:r>
      <w:r w:rsidR="00950A47" w:rsidRPr="00834149">
        <w:rPr>
          <w:rFonts w:cs="Times New Roman"/>
          <w:b/>
        </w:rPr>
        <w:t>financing</w:t>
      </w:r>
      <w:r w:rsidRPr="00834149">
        <w:rPr>
          <w:rFonts w:cs="Times New Roman"/>
          <w:b/>
        </w:rPr>
        <w:t xml:space="preserve"> program</w:t>
      </w:r>
      <w:r w:rsidR="003422C4" w:rsidRPr="00834149">
        <w:rPr>
          <w:rFonts w:cs="Times New Roman"/>
          <w:b/>
        </w:rPr>
        <w:t xml:space="preserve"> presented in Table 3</w:t>
      </w:r>
      <w:r w:rsidRPr="00834149">
        <w:rPr>
          <w:rFonts w:cs="Times New Roman"/>
        </w:rPr>
        <w:t>. In</w:t>
      </w:r>
      <w:r w:rsidRPr="00834149">
        <w:rPr>
          <w:rFonts w:cs="Times New Roman"/>
          <w:b/>
        </w:rPr>
        <w:t xml:space="preserve"> </w:t>
      </w:r>
      <w:r w:rsidRPr="00834149">
        <w:rPr>
          <w:rFonts w:cs="Times New Roman"/>
        </w:rPr>
        <w:t xml:space="preserve">the absence of progress with reforms or if the IDA DPO </w:t>
      </w:r>
      <w:r w:rsidR="00681E58" w:rsidRPr="00834149">
        <w:rPr>
          <w:rFonts w:cs="Times New Roman"/>
        </w:rPr>
        <w:t xml:space="preserve">series </w:t>
      </w:r>
      <w:r w:rsidRPr="00834149">
        <w:rPr>
          <w:rFonts w:cs="Times New Roman"/>
        </w:rPr>
        <w:t>does not materialize or is</w:t>
      </w:r>
      <w:r w:rsidR="00667919" w:rsidRPr="00834149">
        <w:rPr>
          <w:rFonts w:cs="Times New Roman"/>
        </w:rPr>
        <w:t xml:space="preserve"> interrupted</w:t>
      </w:r>
      <w:r w:rsidRPr="00834149">
        <w:rPr>
          <w:rFonts w:cs="Times New Roman"/>
        </w:rPr>
        <w:t xml:space="preserve">, IDA </w:t>
      </w:r>
      <w:r w:rsidR="00681E58" w:rsidRPr="00834149">
        <w:rPr>
          <w:rFonts w:cs="Times New Roman"/>
        </w:rPr>
        <w:t>would only support</w:t>
      </w:r>
      <w:r w:rsidR="00D12703">
        <w:rPr>
          <w:rFonts w:cs="Times New Roman"/>
        </w:rPr>
        <w:t xml:space="preserve"> Investment Project Financing (</w:t>
      </w:r>
      <w:r w:rsidRPr="00834149">
        <w:rPr>
          <w:rFonts w:cs="Times New Roman"/>
        </w:rPr>
        <w:t>IPF</w:t>
      </w:r>
      <w:r w:rsidR="00D12703">
        <w:rPr>
          <w:rFonts w:cs="Times New Roman"/>
        </w:rPr>
        <w:t>)</w:t>
      </w:r>
      <w:r w:rsidRPr="00834149">
        <w:rPr>
          <w:rFonts w:cs="Times New Roman"/>
        </w:rPr>
        <w:t xml:space="preserve"> (and potentially a </w:t>
      </w:r>
      <w:r w:rsidR="00570DD5">
        <w:rPr>
          <w:rFonts w:cs="Times New Roman"/>
        </w:rPr>
        <w:t>Program for results (</w:t>
      </w:r>
      <w:r w:rsidRPr="00834149">
        <w:rPr>
          <w:rFonts w:cs="Times New Roman"/>
        </w:rPr>
        <w:t>P</w:t>
      </w:r>
      <w:r w:rsidR="00570DD5">
        <w:rPr>
          <w:rFonts w:cs="Times New Roman"/>
        </w:rPr>
        <w:t>for</w:t>
      </w:r>
      <w:r w:rsidRPr="00834149">
        <w:rPr>
          <w:rFonts w:cs="Times New Roman"/>
        </w:rPr>
        <w:t>R</w:t>
      </w:r>
      <w:r w:rsidR="00570DD5">
        <w:rPr>
          <w:rFonts w:cs="Times New Roman"/>
        </w:rPr>
        <w:t>)</w:t>
      </w:r>
      <w:r w:rsidRPr="00834149">
        <w:rPr>
          <w:rFonts w:cs="Times New Roman"/>
        </w:rPr>
        <w:t xml:space="preserve">). </w:t>
      </w:r>
      <w:r w:rsidR="00667919" w:rsidRPr="00834149">
        <w:rPr>
          <w:rFonts w:cs="Times New Roman"/>
        </w:rPr>
        <w:t>Notwithstanding a doubling of IDA resources for Togo</w:t>
      </w:r>
      <w:r w:rsidR="00681E58" w:rsidRPr="00834149">
        <w:rPr>
          <w:rFonts w:cs="Times New Roman"/>
        </w:rPr>
        <w:t xml:space="preserve"> due to the increased poverty orientation of the performance-based allocation</w:t>
      </w:r>
      <w:r w:rsidR="00667919" w:rsidRPr="00834149">
        <w:rPr>
          <w:rFonts w:cs="Times New Roman"/>
        </w:rPr>
        <w:t xml:space="preserve"> </w:t>
      </w:r>
      <w:r w:rsidR="00681E58" w:rsidRPr="00834149">
        <w:rPr>
          <w:rFonts w:cs="Times New Roman"/>
        </w:rPr>
        <w:t xml:space="preserve">for fragile states </w:t>
      </w:r>
      <w:r w:rsidR="00667919" w:rsidRPr="00834149">
        <w:rPr>
          <w:rFonts w:cs="Times New Roman"/>
        </w:rPr>
        <w:t xml:space="preserve">under IDA18, </w:t>
      </w:r>
      <w:r w:rsidRPr="00834149">
        <w:rPr>
          <w:rFonts w:cs="Times New Roman"/>
        </w:rPr>
        <w:t xml:space="preserve">the CPF </w:t>
      </w:r>
      <w:r w:rsidR="00667919" w:rsidRPr="00834149">
        <w:rPr>
          <w:rFonts w:cs="Times New Roman"/>
        </w:rPr>
        <w:t xml:space="preserve">seeks to be selective in </w:t>
      </w:r>
      <w:r w:rsidRPr="00834149">
        <w:rPr>
          <w:rFonts w:cs="Times New Roman"/>
        </w:rPr>
        <w:t>propos</w:t>
      </w:r>
      <w:r w:rsidR="00667919" w:rsidRPr="00834149">
        <w:rPr>
          <w:rFonts w:cs="Times New Roman"/>
        </w:rPr>
        <w:t>ing</w:t>
      </w:r>
      <w:r w:rsidRPr="00834149">
        <w:rPr>
          <w:rFonts w:cs="Times New Roman"/>
        </w:rPr>
        <w:t xml:space="preserve"> </w:t>
      </w:r>
      <w:r w:rsidR="00667919" w:rsidRPr="00834149">
        <w:rPr>
          <w:rFonts w:cs="Times New Roman"/>
        </w:rPr>
        <w:t xml:space="preserve">only a few new </w:t>
      </w:r>
      <w:r w:rsidRPr="00834149">
        <w:rPr>
          <w:rFonts w:cs="Times New Roman"/>
        </w:rPr>
        <w:t>financing operations</w:t>
      </w:r>
      <w:r w:rsidR="000765CA" w:rsidRPr="00834149">
        <w:rPr>
          <w:rFonts w:cs="Times New Roman"/>
        </w:rPr>
        <w:t xml:space="preserve"> on the basis of </w:t>
      </w:r>
      <w:r w:rsidR="00224D8E" w:rsidRPr="00834149">
        <w:rPr>
          <w:rFonts w:cs="Times New Roman"/>
        </w:rPr>
        <w:t xml:space="preserve">the </w:t>
      </w:r>
      <w:r w:rsidR="000765CA" w:rsidRPr="00834149">
        <w:rPr>
          <w:rFonts w:cs="Times New Roman"/>
        </w:rPr>
        <w:t>criteria discussed below</w:t>
      </w:r>
      <w:r w:rsidR="00681E58" w:rsidRPr="00834149">
        <w:rPr>
          <w:rFonts w:cs="Times New Roman"/>
        </w:rPr>
        <w:t>. The CPF also</w:t>
      </w:r>
      <w:r w:rsidR="00224D8E" w:rsidRPr="00834149">
        <w:rPr>
          <w:rFonts w:cs="Times New Roman"/>
        </w:rPr>
        <w:t xml:space="preserve"> promotes opportunities for</w:t>
      </w:r>
      <w:r w:rsidR="000765CA" w:rsidRPr="00834149">
        <w:rPr>
          <w:rFonts w:cs="Times New Roman"/>
        </w:rPr>
        <w:t xml:space="preserve"> IFC and MIGA to</w:t>
      </w:r>
      <w:r w:rsidR="00667919" w:rsidRPr="00834149">
        <w:rPr>
          <w:rFonts w:cs="Times New Roman"/>
        </w:rPr>
        <w:t xml:space="preserve"> </w:t>
      </w:r>
      <w:r w:rsidR="00681E58" w:rsidRPr="00834149">
        <w:rPr>
          <w:rFonts w:cs="Times New Roman"/>
        </w:rPr>
        <w:t xml:space="preserve">de-risk investment opportunities to </w:t>
      </w:r>
      <w:r w:rsidR="000765CA" w:rsidRPr="00834149">
        <w:rPr>
          <w:rFonts w:cs="Times New Roman"/>
        </w:rPr>
        <w:t>attract</w:t>
      </w:r>
      <w:r w:rsidR="00667919" w:rsidRPr="00834149">
        <w:rPr>
          <w:rFonts w:cs="Times New Roman"/>
        </w:rPr>
        <w:t xml:space="preserve"> </w:t>
      </w:r>
      <w:r w:rsidR="00BF2FB6" w:rsidRPr="00834149">
        <w:rPr>
          <w:rFonts w:cs="Times New Roman"/>
        </w:rPr>
        <w:t xml:space="preserve">more </w:t>
      </w:r>
      <w:r w:rsidRPr="00834149">
        <w:rPr>
          <w:rFonts w:cs="Times New Roman"/>
        </w:rPr>
        <w:t xml:space="preserve">private </w:t>
      </w:r>
      <w:r w:rsidR="000765CA" w:rsidRPr="00834149">
        <w:rPr>
          <w:rFonts w:cs="Times New Roman"/>
        </w:rPr>
        <w:t>investments</w:t>
      </w:r>
      <w:r w:rsidR="00667919" w:rsidRPr="00834149">
        <w:rPr>
          <w:rFonts w:cs="Times New Roman"/>
        </w:rPr>
        <w:t>.</w:t>
      </w:r>
    </w:p>
    <w:p w14:paraId="2C200B74" w14:textId="381BE129" w:rsidR="00570DD5" w:rsidRPr="00834149" w:rsidRDefault="00570DD5" w:rsidP="00834149">
      <w:pPr>
        <w:pStyle w:val="ListParagraph"/>
        <w:ind w:left="0"/>
        <w:contextualSpacing w:val="0"/>
        <w:jc w:val="both"/>
        <w:rPr>
          <w:rFonts w:cs="Times New Roman"/>
          <w:b/>
        </w:rPr>
      </w:pPr>
    </w:p>
    <w:p w14:paraId="3A2A4401" w14:textId="321B8569" w:rsidR="007A786A" w:rsidRPr="00834149" w:rsidRDefault="001A054D" w:rsidP="00834149">
      <w:pPr>
        <w:pStyle w:val="ListParagraph"/>
        <w:numPr>
          <w:ilvl w:val="0"/>
          <w:numId w:val="2"/>
        </w:numPr>
        <w:ind w:left="0" w:firstLine="0"/>
        <w:contextualSpacing w:val="0"/>
        <w:jc w:val="both"/>
        <w:rPr>
          <w:rFonts w:cs="Times New Roman"/>
          <w:b/>
        </w:rPr>
      </w:pPr>
      <w:r w:rsidRPr="00834149">
        <w:rPr>
          <w:rFonts w:cs="Times New Roman"/>
          <w:b/>
        </w:rPr>
        <w:t>The CPF use</w:t>
      </w:r>
      <w:r w:rsidR="00BF2FB6" w:rsidRPr="00834149">
        <w:rPr>
          <w:rFonts w:cs="Times New Roman"/>
          <w:b/>
        </w:rPr>
        <w:t>s</w:t>
      </w:r>
      <w:r w:rsidRPr="00834149">
        <w:rPr>
          <w:rFonts w:cs="Times New Roman"/>
          <w:b/>
        </w:rPr>
        <w:t xml:space="preserve"> </w:t>
      </w:r>
      <w:r w:rsidR="00621A93" w:rsidRPr="00834149">
        <w:rPr>
          <w:rFonts w:cs="Times New Roman"/>
          <w:b/>
        </w:rPr>
        <w:t>several</w:t>
      </w:r>
      <w:r w:rsidRPr="00834149">
        <w:rPr>
          <w:rFonts w:cs="Times New Roman"/>
          <w:b/>
        </w:rPr>
        <w:t xml:space="preserve"> criteria to </w:t>
      </w:r>
      <w:r w:rsidR="00AB21EA" w:rsidRPr="00834149">
        <w:rPr>
          <w:rFonts w:cs="Times New Roman"/>
          <w:b/>
        </w:rPr>
        <w:t xml:space="preserve">select </w:t>
      </w:r>
      <w:r w:rsidRPr="00834149">
        <w:rPr>
          <w:rFonts w:cs="Times New Roman"/>
          <w:b/>
        </w:rPr>
        <w:t xml:space="preserve">priority areas of support for the </w:t>
      </w:r>
      <w:r w:rsidR="0066637D" w:rsidRPr="00834149">
        <w:rPr>
          <w:rFonts w:cs="Times New Roman"/>
          <w:b/>
        </w:rPr>
        <w:t>WBG</w:t>
      </w:r>
      <w:r w:rsidR="008855E5" w:rsidRPr="00834149">
        <w:rPr>
          <w:rFonts w:cs="Times New Roman"/>
          <w:b/>
        </w:rPr>
        <w:t xml:space="preserve"> </w:t>
      </w:r>
      <w:r w:rsidR="00621A93" w:rsidRPr="00834149">
        <w:rPr>
          <w:rFonts w:cs="Times New Roman"/>
          <w:b/>
        </w:rPr>
        <w:t>program</w:t>
      </w:r>
      <w:r w:rsidR="001F4050" w:rsidRPr="00834149">
        <w:rPr>
          <w:rFonts w:cs="Times New Roman"/>
        </w:rPr>
        <w:t xml:space="preserve">. </w:t>
      </w:r>
      <w:r w:rsidR="00DA4BA0" w:rsidRPr="00834149">
        <w:rPr>
          <w:rFonts w:cs="Times New Roman"/>
        </w:rPr>
        <w:t xml:space="preserve">CPF </w:t>
      </w:r>
      <w:r w:rsidRPr="00834149">
        <w:rPr>
          <w:rFonts w:cs="Times New Roman"/>
        </w:rPr>
        <w:t>prioriti</w:t>
      </w:r>
      <w:r w:rsidR="00AB21EA" w:rsidRPr="00834149">
        <w:rPr>
          <w:rFonts w:cs="Times New Roman"/>
        </w:rPr>
        <w:t xml:space="preserve">es </w:t>
      </w:r>
      <w:r w:rsidR="00621A93" w:rsidRPr="00834149">
        <w:rPr>
          <w:rFonts w:cs="Times New Roman"/>
        </w:rPr>
        <w:t>are</w:t>
      </w:r>
      <w:r w:rsidR="00AB21EA" w:rsidRPr="00834149">
        <w:rPr>
          <w:rFonts w:cs="Times New Roman"/>
        </w:rPr>
        <w:t xml:space="preserve"> guided by</w:t>
      </w:r>
      <w:r w:rsidRPr="00834149">
        <w:rPr>
          <w:rFonts w:cs="Times New Roman"/>
        </w:rPr>
        <w:t xml:space="preserve"> activities that: </w:t>
      </w:r>
      <w:r w:rsidR="0066637D" w:rsidRPr="00834149">
        <w:rPr>
          <w:rFonts w:cs="Times New Roman"/>
        </w:rPr>
        <w:t xml:space="preserve">(i) </w:t>
      </w:r>
      <w:r w:rsidR="00592284" w:rsidRPr="00834149">
        <w:rPr>
          <w:rFonts w:cs="Times New Roman"/>
        </w:rPr>
        <w:t xml:space="preserve">engage in areas identified as priorities by the SCD to </w:t>
      </w:r>
      <w:r w:rsidR="00621A93" w:rsidRPr="00834149">
        <w:rPr>
          <w:rFonts w:cs="Times New Roman"/>
        </w:rPr>
        <w:t xml:space="preserve">help Togo </w:t>
      </w:r>
      <w:r w:rsidR="00621A93" w:rsidRPr="00834149">
        <w:rPr>
          <w:rFonts w:cs="Times New Roman"/>
        </w:rPr>
        <w:lastRenderedPageBreak/>
        <w:t>accelerate</w:t>
      </w:r>
      <w:r w:rsidR="00592284" w:rsidRPr="00834149">
        <w:rPr>
          <w:rFonts w:cs="Times New Roman"/>
        </w:rPr>
        <w:t xml:space="preserve"> progress toward the twin goals of poverty reduction and shared prosperity;</w:t>
      </w:r>
      <w:r w:rsidR="00621A93" w:rsidRPr="00834149">
        <w:rPr>
          <w:rFonts w:cs="Times New Roman"/>
        </w:rPr>
        <w:t xml:space="preserve"> (ii) deepen engagement in sectors where the WBG has had the greatest impact in improving living standards and delivering results under the two previous ISNs;</w:t>
      </w:r>
      <w:r w:rsidR="00592284" w:rsidRPr="00834149">
        <w:rPr>
          <w:rFonts w:cs="Times New Roman"/>
        </w:rPr>
        <w:t xml:space="preserve"> </w:t>
      </w:r>
      <w:r w:rsidR="00621A93" w:rsidRPr="00834149">
        <w:rPr>
          <w:rFonts w:cs="Times New Roman"/>
        </w:rPr>
        <w:t xml:space="preserve">(iii) </w:t>
      </w:r>
      <w:r w:rsidR="009D67B6">
        <w:rPr>
          <w:rFonts w:cs="Times New Roman"/>
        </w:rPr>
        <w:t>align with</w:t>
      </w:r>
      <w:r w:rsidR="00EA30F1" w:rsidRPr="00834149">
        <w:rPr>
          <w:rFonts w:cs="Times New Roman"/>
        </w:rPr>
        <w:t xml:space="preserve"> IDA 18 thematic priorities</w:t>
      </w:r>
      <w:r w:rsidR="00621A93" w:rsidRPr="00834149">
        <w:rPr>
          <w:rFonts w:cs="Times New Roman"/>
        </w:rPr>
        <w:t xml:space="preserve">; and (iv) support commitments made by the </w:t>
      </w:r>
      <w:r w:rsidR="009E23CA" w:rsidRPr="00834149">
        <w:rPr>
          <w:rFonts w:cs="Times New Roman"/>
        </w:rPr>
        <w:t xml:space="preserve">World </w:t>
      </w:r>
      <w:r w:rsidR="00621A93" w:rsidRPr="00834149">
        <w:rPr>
          <w:rFonts w:cs="Times New Roman"/>
        </w:rPr>
        <w:t>Bank to help Togo respond to urgent national priorities (such as coastal erosion)</w:t>
      </w:r>
      <w:r w:rsidR="00F37777" w:rsidRPr="00834149">
        <w:rPr>
          <w:rFonts w:cs="Times New Roman"/>
        </w:rPr>
        <w:t>.</w:t>
      </w:r>
      <w:r w:rsidR="00BF2FB6" w:rsidRPr="00834149">
        <w:rPr>
          <w:rFonts w:cs="Times New Roman"/>
        </w:rPr>
        <w:t xml:space="preserve"> Figure 4 presents the CPF Focus Areas and objectives and the intersections with the SCD and government’s</w:t>
      </w:r>
      <w:r w:rsidR="002B2405" w:rsidRPr="00834149">
        <w:rPr>
          <w:rFonts w:cs="Times New Roman"/>
        </w:rPr>
        <w:t xml:space="preserve"> PND</w:t>
      </w:r>
      <w:r w:rsidR="00BF2FB6" w:rsidRPr="00834149">
        <w:rPr>
          <w:rFonts w:cs="Times New Roman"/>
        </w:rPr>
        <w:t>.</w:t>
      </w:r>
    </w:p>
    <w:p w14:paraId="62D35DA7" w14:textId="5EB059D5" w:rsidR="00570DD5" w:rsidRPr="00834149" w:rsidRDefault="00570DD5" w:rsidP="00834149">
      <w:pPr>
        <w:pStyle w:val="ListParagraph"/>
        <w:ind w:left="0"/>
        <w:contextualSpacing w:val="0"/>
        <w:jc w:val="both"/>
        <w:rPr>
          <w:rFonts w:cs="Times New Roman"/>
          <w:b/>
        </w:rPr>
      </w:pPr>
    </w:p>
    <w:p w14:paraId="270BE64E" w14:textId="64D9E02A" w:rsidR="00BF2FB6" w:rsidRPr="00834149" w:rsidRDefault="00BF2FB6" w:rsidP="00834149">
      <w:pPr>
        <w:pStyle w:val="ListParagraph"/>
        <w:numPr>
          <w:ilvl w:val="0"/>
          <w:numId w:val="2"/>
        </w:numPr>
        <w:ind w:left="0" w:firstLine="0"/>
        <w:contextualSpacing w:val="0"/>
        <w:jc w:val="both"/>
        <w:rPr>
          <w:rFonts w:cs="Times New Roman"/>
          <w:b/>
        </w:rPr>
      </w:pPr>
      <w:r w:rsidRPr="00834149">
        <w:rPr>
          <w:rFonts w:cs="Times New Roman"/>
          <w:b/>
          <w:bCs/>
        </w:rPr>
        <w:t xml:space="preserve">The CPF will engage </w:t>
      </w:r>
      <w:r w:rsidRPr="00834149">
        <w:rPr>
          <w:rFonts w:cs="Times New Roman"/>
          <w:b/>
        </w:rPr>
        <w:t>in areas identified as priorities by the SCD to help Togo accelerate progress toward the twin goals of poverty reduction and shared prosperity</w:t>
      </w:r>
      <w:r w:rsidRPr="00834149">
        <w:rPr>
          <w:rFonts w:cs="Times New Roman"/>
        </w:rPr>
        <w:t>. This includes a renewed approach to promoting private sector performance by removing governance bottlenecks (fiscal, regulatory and institutional) that distort economic activity, reduce productivity and hinder job creation; strengthening economic infrastructure and trade services to improve competitiveness, and improving access to and quality of health services.</w:t>
      </w:r>
    </w:p>
    <w:p w14:paraId="1430FB89" w14:textId="5B005FFD" w:rsidR="00570DD5" w:rsidRPr="00834149" w:rsidRDefault="00570DD5" w:rsidP="00834149">
      <w:pPr>
        <w:pStyle w:val="ListParagraph"/>
        <w:ind w:left="0"/>
        <w:contextualSpacing w:val="0"/>
        <w:jc w:val="both"/>
        <w:rPr>
          <w:rFonts w:cs="Times New Roman"/>
          <w:b/>
        </w:rPr>
      </w:pPr>
    </w:p>
    <w:p w14:paraId="5B7E38B5" w14:textId="522AEA66" w:rsidR="00F45E3F" w:rsidRPr="00834149" w:rsidRDefault="004161C4" w:rsidP="00834149">
      <w:pPr>
        <w:pStyle w:val="ListParagraph"/>
        <w:numPr>
          <w:ilvl w:val="0"/>
          <w:numId w:val="2"/>
        </w:numPr>
        <w:ind w:left="0" w:firstLine="0"/>
        <w:contextualSpacing w:val="0"/>
        <w:jc w:val="both"/>
        <w:rPr>
          <w:rFonts w:cs="Times New Roman"/>
          <w:b/>
        </w:rPr>
      </w:pPr>
      <w:r w:rsidRPr="00834149">
        <w:rPr>
          <w:rFonts w:cs="Times New Roman"/>
          <w:b/>
        </w:rPr>
        <w:t xml:space="preserve">The CPF </w:t>
      </w:r>
      <w:r w:rsidR="000B1EFC" w:rsidRPr="00834149">
        <w:rPr>
          <w:rFonts w:cs="Times New Roman"/>
          <w:b/>
        </w:rPr>
        <w:t>will deepen the WBG</w:t>
      </w:r>
      <w:r w:rsidR="00D87B1A" w:rsidRPr="00834149">
        <w:rPr>
          <w:rFonts w:cs="Times New Roman"/>
          <w:b/>
        </w:rPr>
        <w:t>’s</w:t>
      </w:r>
      <w:r w:rsidR="000B1EFC" w:rsidRPr="00834149">
        <w:rPr>
          <w:rFonts w:cs="Times New Roman"/>
          <w:b/>
        </w:rPr>
        <w:t xml:space="preserve"> engagement in </w:t>
      </w:r>
      <w:r w:rsidR="00616D50" w:rsidRPr="00834149">
        <w:rPr>
          <w:rFonts w:cs="Times New Roman"/>
          <w:b/>
        </w:rPr>
        <w:t>programs</w:t>
      </w:r>
      <w:r w:rsidR="000B1EFC" w:rsidRPr="00834149">
        <w:rPr>
          <w:rFonts w:cs="Times New Roman"/>
          <w:b/>
        </w:rPr>
        <w:t xml:space="preserve"> where </w:t>
      </w:r>
      <w:r w:rsidR="00D237CA" w:rsidRPr="00834149">
        <w:rPr>
          <w:rFonts w:cs="Times New Roman"/>
          <w:b/>
        </w:rPr>
        <w:t>past interventions have had</w:t>
      </w:r>
      <w:r w:rsidR="000B1EFC" w:rsidRPr="00834149">
        <w:rPr>
          <w:rFonts w:cs="Times New Roman"/>
          <w:b/>
        </w:rPr>
        <w:t xml:space="preserve"> the greatest impact</w:t>
      </w:r>
      <w:r w:rsidR="00616D50" w:rsidRPr="00834149">
        <w:rPr>
          <w:rFonts w:cs="Times New Roman"/>
        </w:rPr>
        <w:t>.</w:t>
      </w:r>
      <w:r w:rsidR="00616D50" w:rsidRPr="00834149">
        <w:rPr>
          <w:rFonts w:cs="Times New Roman"/>
          <w:b/>
        </w:rPr>
        <w:t xml:space="preserve"> </w:t>
      </w:r>
      <w:r w:rsidR="00616D50" w:rsidRPr="00834149">
        <w:rPr>
          <w:rFonts w:cs="Times New Roman"/>
        </w:rPr>
        <w:t>The CPF will scale up existing support for CDD approaches and social protection programs</w:t>
      </w:r>
      <w:r w:rsidR="00D87B1A" w:rsidRPr="00834149">
        <w:rPr>
          <w:rFonts w:cs="Times New Roman"/>
        </w:rPr>
        <w:t>,</w:t>
      </w:r>
      <w:r w:rsidR="00695AA5" w:rsidRPr="00834149">
        <w:rPr>
          <w:rFonts w:cs="Times New Roman"/>
        </w:rPr>
        <w:t xml:space="preserve"> which </w:t>
      </w:r>
      <w:r w:rsidR="00AB21EA" w:rsidRPr="00834149">
        <w:rPr>
          <w:rFonts w:cs="Times New Roman"/>
        </w:rPr>
        <w:t xml:space="preserve">have </w:t>
      </w:r>
      <w:r w:rsidR="00695AA5" w:rsidRPr="00834149">
        <w:rPr>
          <w:rFonts w:cs="Times New Roman"/>
        </w:rPr>
        <w:t>demonstrated that empowering local communities and decentralizing decision</w:t>
      </w:r>
      <w:r w:rsidR="00D87B1A" w:rsidRPr="00834149">
        <w:rPr>
          <w:rFonts w:cs="Times New Roman"/>
        </w:rPr>
        <w:t xml:space="preserve"> </w:t>
      </w:r>
      <w:r w:rsidR="00695AA5" w:rsidRPr="00834149">
        <w:rPr>
          <w:rFonts w:cs="Times New Roman"/>
        </w:rPr>
        <w:t>making with sustained support ha</w:t>
      </w:r>
      <w:r w:rsidR="00AB21EA" w:rsidRPr="00834149">
        <w:rPr>
          <w:rFonts w:cs="Times New Roman"/>
        </w:rPr>
        <w:t>s</w:t>
      </w:r>
      <w:r w:rsidR="00695AA5" w:rsidRPr="00834149">
        <w:rPr>
          <w:rFonts w:cs="Times New Roman"/>
        </w:rPr>
        <w:t xml:space="preserve"> a rapid impact on poverty</w:t>
      </w:r>
      <w:r w:rsidR="00BF2FB6" w:rsidRPr="00834149">
        <w:rPr>
          <w:rFonts w:cs="Times New Roman"/>
        </w:rPr>
        <w:t xml:space="preserve"> in Togo</w:t>
      </w:r>
      <w:r w:rsidR="00695AA5" w:rsidRPr="00834149">
        <w:rPr>
          <w:rFonts w:cs="Times New Roman"/>
        </w:rPr>
        <w:t xml:space="preserve">. The </w:t>
      </w:r>
      <w:r w:rsidR="009E23CA" w:rsidRPr="00834149">
        <w:rPr>
          <w:rFonts w:cs="Times New Roman"/>
        </w:rPr>
        <w:t xml:space="preserve">World </w:t>
      </w:r>
      <w:r w:rsidR="00695AA5" w:rsidRPr="00834149">
        <w:rPr>
          <w:rFonts w:cs="Times New Roman"/>
        </w:rPr>
        <w:t xml:space="preserve">Bank will also extend its support for delivering </w:t>
      </w:r>
      <w:r w:rsidR="00616D50" w:rsidRPr="00834149">
        <w:rPr>
          <w:rFonts w:cs="Times New Roman"/>
        </w:rPr>
        <w:t>basic infrastructure services</w:t>
      </w:r>
      <w:r w:rsidR="00695AA5" w:rsidRPr="00834149">
        <w:rPr>
          <w:rFonts w:cs="Times New Roman"/>
        </w:rPr>
        <w:t xml:space="preserve"> in secondary cities</w:t>
      </w:r>
      <w:r w:rsidR="00616D50" w:rsidRPr="00834149">
        <w:rPr>
          <w:rFonts w:cs="Times New Roman"/>
        </w:rPr>
        <w:t>, with an increased focus on strengthening governance</w:t>
      </w:r>
      <w:r w:rsidR="00695AA5" w:rsidRPr="00834149">
        <w:rPr>
          <w:rFonts w:cs="Times New Roman"/>
        </w:rPr>
        <w:t xml:space="preserve"> and</w:t>
      </w:r>
      <w:r w:rsidR="00616D50" w:rsidRPr="00834149">
        <w:rPr>
          <w:rFonts w:cs="Times New Roman"/>
        </w:rPr>
        <w:t xml:space="preserve"> institutional capacity</w:t>
      </w:r>
      <w:r w:rsidR="00695AA5" w:rsidRPr="00834149">
        <w:rPr>
          <w:rFonts w:cs="Times New Roman"/>
        </w:rPr>
        <w:t xml:space="preserve"> at the central and regional (municipal) level. </w:t>
      </w:r>
      <w:r w:rsidR="00616D50" w:rsidRPr="00834149">
        <w:rPr>
          <w:rFonts w:cs="Times New Roman"/>
        </w:rPr>
        <w:t xml:space="preserve">IDA </w:t>
      </w:r>
      <w:r w:rsidR="00BF2FB6" w:rsidRPr="00834149">
        <w:rPr>
          <w:rFonts w:cs="Times New Roman"/>
        </w:rPr>
        <w:t>has been</w:t>
      </w:r>
      <w:r w:rsidR="00616D50" w:rsidRPr="00834149">
        <w:rPr>
          <w:rFonts w:cs="Times New Roman"/>
        </w:rPr>
        <w:t xml:space="preserve"> the largest </w:t>
      </w:r>
      <w:r w:rsidR="00695AA5" w:rsidRPr="00834149">
        <w:rPr>
          <w:rFonts w:cs="Times New Roman"/>
        </w:rPr>
        <w:t xml:space="preserve">development </w:t>
      </w:r>
      <w:r w:rsidR="00616D50" w:rsidRPr="00834149">
        <w:rPr>
          <w:rFonts w:cs="Times New Roman"/>
        </w:rPr>
        <w:t xml:space="preserve">financier </w:t>
      </w:r>
      <w:r w:rsidR="00695AA5" w:rsidRPr="00834149">
        <w:rPr>
          <w:rFonts w:cs="Times New Roman"/>
        </w:rPr>
        <w:t>of</w:t>
      </w:r>
      <w:r w:rsidR="00616D50" w:rsidRPr="00834149">
        <w:rPr>
          <w:rFonts w:cs="Times New Roman"/>
        </w:rPr>
        <w:t xml:space="preserve"> these programs and has a comparative advantage based on </w:t>
      </w:r>
      <w:r w:rsidR="00695AA5" w:rsidRPr="00834149">
        <w:rPr>
          <w:rFonts w:cs="Times New Roman"/>
        </w:rPr>
        <w:t>the</w:t>
      </w:r>
      <w:r w:rsidR="00616D50" w:rsidRPr="00834149">
        <w:rPr>
          <w:rFonts w:cs="Times New Roman"/>
        </w:rPr>
        <w:t xml:space="preserve"> experience </w:t>
      </w:r>
      <w:r w:rsidR="00D87B1A" w:rsidRPr="00834149">
        <w:rPr>
          <w:rFonts w:cs="Times New Roman"/>
        </w:rPr>
        <w:t xml:space="preserve">it has </w:t>
      </w:r>
      <w:r w:rsidR="00695AA5" w:rsidRPr="00834149">
        <w:rPr>
          <w:rFonts w:cs="Times New Roman"/>
        </w:rPr>
        <w:t xml:space="preserve">accumulated </w:t>
      </w:r>
      <w:r w:rsidR="00616D50" w:rsidRPr="00834149">
        <w:rPr>
          <w:rFonts w:cs="Times New Roman"/>
        </w:rPr>
        <w:t xml:space="preserve">in Togo and globally. </w:t>
      </w:r>
      <w:r w:rsidR="002175F3" w:rsidRPr="00834149">
        <w:rPr>
          <w:rFonts w:cs="Times New Roman"/>
        </w:rPr>
        <w:t xml:space="preserve">These approaches are </w:t>
      </w:r>
      <w:r w:rsidR="00BF2FB6" w:rsidRPr="00834149">
        <w:rPr>
          <w:rFonts w:cs="Times New Roman"/>
        </w:rPr>
        <w:t xml:space="preserve">also </w:t>
      </w:r>
      <w:r w:rsidR="002175F3" w:rsidRPr="00834149">
        <w:rPr>
          <w:rFonts w:cs="Times New Roman"/>
        </w:rPr>
        <w:t>consistent with the recommendations of the 2015 risk and resilience assessment for Togo.</w:t>
      </w:r>
    </w:p>
    <w:p w14:paraId="536F2139" w14:textId="540C686B" w:rsidR="00570DD5" w:rsidRPr="00834149" w:rsidRDefault="00570DD5" w:rsidP="00834149">
      <w:pPr>
        <w:pStyle w:val="ListParagraph"/>
        <w:ind w:left="0"/>
        <w:contextualSpacing w:val="0"/>
        <w:jc w:val="both"/>
        <w:rPr>
          <w:rFonts w:cs="Times New Roman"/>
          <w:b/>
        </w:rPr>
      </w:pPr>
    </w:p>
    <w:p w14:paraId="226CA860" w14:textId="447CB7EE" w:rsidR="00695AA5" w:rsidRPr="00834149" w:rsidRDefault="00EC45AF" w:rsidP="00834149">
      <w:pPr>
        <w:pStyle w:val="ListParagraph"/>
        <w:numPr>
          <w:ilvl w:val="0"/>
          <w:numId w:val="2"/>
        </w:numPr>
        <w:ind w:left="0" w:firstLine="0"/>
        <w:contextualSpacing w:val="0"/>
        <w:jc w:val="both"/>
        <w:rPr>
          <w:rFonts w:cs="Times New Roman"/>
          <w:b/>
        </w:rPr>
      </w:pPr>
      <w:r w:rsidRPr="00834149">
        <w:rPr>
          <w:rFonts w:cs="Times New Roman"/>
          <w:b/>
        </w:rPr>
        <w:t xml:space="preserve">The CPF </w:t>
      </w:r>
      <w:r w:rsidR="006F1F77" w:rsidRPr="00834149">
        <w:rPr>
          <w:rFonts w:cs="Times New Roman"/>
          <w:b/>
        </w:rPr>
        <w:t>prioritizes</w:t>
      </w:r>
      <w:r w:rsidRPr="00834149">
        <w:rPr>
          <w:rFonts w:cs="Times New Roman"/>
          <w:b/>
        </w:rPr>
        <w:t xml:space="preserve"> the IDA18 </w:t>
      </w:r>
      <w:r w:rsidR="006F1F77" w:rsidRPr="00834149">
        <w:rPr>
          <w:rFonts w:cs="Times New Roman"/>
          <w:b/>
        </w:rPr>
        <w:t xml:space="preserve">special </w:t>
      </w:r>
      <w:r w:rsidRPr="00834149">
        <w:rPr>
          <w:rFonts w:cs="Times New Roman"/>
          <w:b/>
        </w:rPr>
        <w:t>them</w:t>
      </w:r>
      <w:r w:rsidR="006F1F77" w:rsidRPr="00834149">
        <w:rPr>
          <w:rFonts w:cs="Times New Roman"/>
          <w:b/>
        </w:rPr>
        <w:t>es</w:t>
      </w:r>
      <w:r w:rsidRPr="00834149">
        <w:rPr>
          <w:rFonts w:cs="Times New Roman"/>
          <w:b/>
        </w:rPr>
        <w:t xml:space="preserve"> of climate change; gender and development; fragility, conflict and violence; jobs and economic transformation; and governance and institutions</w:t>
      </w:r>
      <w:r w:rsidR="00177F0B" w:rsidRPr="00834149">
        <w:rPr>
          <w:rFonts w:cs="Times New Roman"/>
          <w:b/>
        </w:rPr>
        <w:t xml:space="preserve">. </w:t>
      </w:r>
      <w:r w:rsidRPr="00834149">
        <w:rPr>
          <w:rFonts w:cs="Times New Roman"/>
        </w:rPr>
        <w:t xml:space="preserve">The CPF has prioritized adaptation to climate change due to the significant cost of coastal erosion </w:t>
      </w:r>
      <w:r w:rsidR="009775BC" w:rsidRPr="00834149">
        <w:rPr>
          <w:rFonts w:cs="Times New Roman"/>
        </w:rPr>
        <w:t xml:space="preserve">and </w:t>
      </w:r>
      <w:r w:rsidRPr="00834149">
        <w:rPr>
          <w:rFonts w:cs="Times New Roman"/>
        </w:rPr>
        <w:t>natural disasters (drought and flooding) to the Togolese economy and the risk</w:t>
      </w:r>
      <w:r w:rsidR="00526DF7" w:rsidRPr="00834149">
        <w:rPr>
          <w:rFonts w:cs="Times New Roman"/>
        </w:rPr>
        <w:t>s</w:t>
      </w:r>
      <w:r w:rsidRPr="00834149">
        <w:rPr>
          <w:rFonts w:cs="Times New Roman"/>
        </w:rPr>
        <w:t xml:space="preserve"> </w:t>
      </w:r>
      <w:r w:rsidR="00526DF7" w:rsidRPr="00834149">
        <w:rPr>
          <w:rFonts w:cs="Times New Roman"/>
        </w:rPr>
        <w:t>the</w:t>
      </w:r>
      <w:r w:rsidR="009775BC" w:rsidRPr="00834149">
        <w:rPr>
          <w:rFonts w:cs="Times New Roman"/>
        </w:rPr>
        <w:t>y</w:t>
      </w:r>
      <w:r w:rsidRPr="00834149">
        <w:rPr>
          <w:rFonts w:cs="Times New Roman"/>
        </w:rPr>
        <w:t xml:space="preserve"> represent</w:t>
      </w:r>
      <w:r w:rsidR="00526DF7" w:rsidRPr="00834149">
        <w:rPr>
          <w:rFonts w:cs="Times New Roman"/>
        </w:rPr>
        <w:t xml:space="preserve"> </w:t>
      </w:r>
      <w:r w:rsidRPr="00834149">
        <w:rPr>
          <w:rFonts w:cs="Times New Roman"/>
        </w:rPr>
        <w:t xml:space="preserve">to sustainable development </w:t>
      </w:r>
      <w:r w:rsidR="00526DF7" w:rsidRPr="00834149">
        <w:rPr>
          <w:rFonts w:cs="Times New Roman"/>
        </w:rPr>
        <w:t xml:space="preserve">(see Focus Area 3). </w:t>
      </w:r>
      <w:r w:rsidR="009F175E" w:rsidRPr="00834149">
        <w:rPr>
          <w:rFonts w:cs="Times New Roman"/>
        </w:rPr>
        <w:t xml:space="preserve">In doing so, IDA </w:t>
      </w:r>
      <w:r w:rsidR="006F1F77" w:rsidRPr="00834149">
        <w:rPr>
          <w:rFonts w:cs="Times New Roman"/>
        </w:rPr>
        <w:t xml:space="preserve">also </w:t>
      </w:r>
      <w:r w:rsidR="009F175E" w:rsidRPr="00834149">
        <w:rPr>
          <w:rFonts w:cs="Times New Roman"/>
        </w:rPr>
        <w:t>delivers on the</w:t>
      </w:r>
      <w:r w:rsidR="006F1F77" w:rsidRPr="00834149">
        <w:rPr>
          <w:rFonts w:cs="Times New Roman"/>
        </w:rPr>
        <w:t xml:space="preserve"> commitment</w:t>
      </w:r>
      <w:r w:rsidR="009F175E" w:rsidRPr="00834149">
        <w:rPr>
          <w:rFonts w:cs="Times New Roman"/>
        </w:rPr>
        <w:t>s of</w:t>
      </w:r>
      <w:r w:rsidR="006F1F77" w:rsidRPr="00834149">
        <w:rPr>
          <w:rFonts w:cs="Times New Roman"/>
        </w:rPr>
        <w:t xml:space="preserve"> the 2016 Africa Climate Business Plan</w:t>
      </w:r>
      <w:r w:rsidR="009F175E" w:rsidRPr="00834149">
        <w:rPr>
          <w:rFonts w:cs="Times New Roman"/>
        </w:rPr>
        <w:t xml:space="preserve"> and the UN Climate Change Conference (COP 21)</w:t>
      </w:r>
      <w:r w:rsidR="006F1F77" w:rsidRPr="00834149">
        <w:rPr>
          <w:rFonts w:cs="Times New Roman"/>
        </w:rPr>
        <w:t xml:space="preserve">. The CPF integrates the IDA policy commitment to close gender gaps in education, maternal and reproductive health and economic activity (See Focus Area 2). </w:t>
      </w:r>
      <w:r w:rsidR="00177F0B" w:rsidRPr="00834149">
        <w:rPr>
          <w:rFonts w:cs="Times New Roman"/>
        </w:rPr>
        <w:t xml:space="preserve">The CPF integrates the recommendations of the 2015 risk and resilience assessment for Togo. Under IDA18, the country will benefit from the increased poverty orientation of the performance based allocation, with a doubling of IDA resources for fragile states. </w:t>
      </w:r>
      <w:r w:rsidR="009775BC" w:rsidRPr="00834149">
        <w:rPr>
          <w:rFonts w:cs="Times New Roman"/>
        </w:rPr>
        <w:t>T</w:t>
      </w:r>
      <w:r w:rsidR="00177F0B" w:rsidRPr="00834149">
        <w:rPr>
          <w:rFonts w:cs="Times New Roman"/>
        </w:rPr>
        <w:t xml:space="preserve">he CPF </w:t>
      </w:r>
      <w:r w:rsidR="00162C18" w:rsidRPr="00834149">
        <w:rPr>
          <w:rFonts w:cs="Times New Roman"/>
        </w:rPr>
        <w:t>integrates</w:t>
      </w:r>
      <w:r w:rsidR="00177F0B" w:rsidRPr="00834149">
        <w:rPr>
          <w:rFonts w:cs="Times New Roman"/>
        </w:rPr>
        <w:t xml:space="preserve"> </w:t>
      </w:r>
      <w:r w:rsidR="009775BC" w:rsidRPr="00834149">
        <w:rPr>
          <w:rFonts w:cs="Times New Roman"/>
        </w:rPr>
        <w:t xml:space="preserve">the theme of jobs and economic transformation </w:t>
      </w:r>
      <w:r w:rsidR="00162C18" w:rsidRPr="00834149">
        <w:rPr>
          <w:rFonts w:cs="Times New Roman"/>
        </w:rPr>
        <w:t>in Focus Area 1</w:t>
      </w:r>
      <w:r w:rsidR="00177F0B" w:rsidRPr="00834149">
        <w:rPr>
          <w:rFonts w:cs="Times New Roman"/>
        </w:rPr>
        <w:t xml:space="preserve">, including analytical work proposed on sources of growth and competitiveness, reforms to promote economic productivity, and investments to create jobs for women and youth. The CPF also makes use of the enhanced </w:t>
      </w:r>
      <w:r w:rsidR="009775BC" w:rsidRPr="00834149">
        <w:rPr>
          <w:rFonts w:cs="Times New Roman"/>
        </w:rPr>
        <w:t xml:space="preserve">IDA18 </w:t>
      </w:r>
      <w:r w:rsidR="00177F0B" w:rsidRPr="00834149">
        <w:rPr>
          <w:rFonts w:cs="Times New Roman"/>
        </w:rPr>
        <w:t xml:space="preserve">instruments to improve risk-sharing in projects and crowd-in private capital through the Private Sector Window. </w:t>
      </w:r>
      <w:r w:rsidR="0096176C" w:rsidRPr="00834149">
        <w:rPr>
          <w:rFonts w:cs="Times New Roman"/>
        </w:rPr>
        <w:t>The CPF also supports the IDA18 commitments on governance and institutions</w:t>
      </w:r>
      <w:r w:rsidR="00162C18" w:rsidRPr="00834149">
        <w:rPr>
          <w:rFonts w:cs="Times New Roman"/>
        </w:rPr>
        <w:t xml:space="preserve"> (cross-cutting theme)</w:t>
      </w:r>
      <w:r w:rsidR="0096176C" w:rsidRPr="00834149">
        <w:rPr>
          <w:rFonts w:cs="Times New Roman"/>
        </w:rPr>
        <w:t>, including domestic resource mobilization, public expenditure and financial management and procurement, governance of SOEs, improved service delivery, institutional capacity to respond to pandemics, citizen engagement and open, transparent, and inclusive governance.</w:t>
      </w:r>
    </w:p>
    <w:p w14:paraId="63A1A44A" w14:textId="77777777" w:rsidR="00570DD5" w:rsidRPr="00834149" w:rsidRDefault="00570DD5" w:rsidP="00834149">
      <w:pPr>
        <w:pStyle w:val="ListParagraph"/>
        <w:ind w:left="0"/>
        <w:contextualSpacing w:val="0"/>
        <w:jc w:val="both"/>
        <w:rPr>
          <w:rFonts w:cs="Times New Roman"/>
          <w:b/>
        </w:rPr>
      </w:pPr>
    </w:p>
    <w:p w14:paraId="0E37CFBD" w14:textId="7FA8F3AF" w:rsidR="00616D50" w:rsidRPr="00834149" w:rsidRDefault="00695AA5" w:rsidP="00834149">
      <w:pPr>
        <w:pStyle w:val="ListParagraph"/>
        <w:numPr>
          <w:ilvl w:val="0"/>
          <w:numId w:val="2"/>
        </w:numPr>
        <w:ind w:left="0" w:firstLine="0"/>
        <w:contextualSpacing w:val="0"/>
        <w:jc w:val="both"/>
        <w:rPr>
          <w:rFonts w:cs="Times New Roman"/>
          <w:b/>
        </w:rPr>
      </w:pPr>
      <w:r w:rsidRPr="00834149">
        <w:rPr>
          <w:rFonts w:cs="Times New Roman"/>
          <w:b/>
        </w:rPr>
        <w:t>The</w:t>
      </w:r>
      <w:r w:rsidRPr="00834149">
        <w:rPr>
          <w:rFonts w:cs="Times New Roman"/>
        </w:rPr>
        <w:t xml:space="preserve"> </w:t>
      </w:r>
      <w:r w:rsidRPr="00834149">
        <w:rPr>
          <w:rFonts w:cs="Times New Roman"/>
          <w:b/>
        </w:rPr>
        <w:t xml:space="preserve">CPF will minimize </w:t>
      </w:r>
      <w:r w:rsidR="00E0299C" w:rsidRPr="00834149">
        <w:rPr>
          <w:rFonts w:cs="Times New Roman"/>
          <w:b/>
        </w:rPr>
        <w:t xml:space="preserve">IDA </w:t>
      </w:r>
      <w:r w:rsidRPr="00834149">
        <w:rPr>
          <w:rFonts w:cs="Times New Roman"/>
          <w:b/>
        </w:rPr>
        <w:t xml:space="preserve">engagement in sectors </w:t>
      </w:r>
      <w:r w:rsidR="00E0299C" w:rsidRPr="00834149">
        <w:rPr>
          <w:rFonts w:cs="Times New Roman"/>
          <w:b/>
        </w:rPr>
        <w:t>that the SCD does not identify as a priority for poverty reduction and where other development partners have a comparative advantage</w:t>
      </w:r>
      <w:r w:rsidRPr="00834149">
        <w:rPr>
          <w:rFonts w:cs="Times New Roman"/>
        </w:rPr>
        <w:t>.</w:t>
      </w:r>
      <w:r w:rsidR="00C05357" w:rsidRPr="00834149">
        <w:rPr>
          <w:rFonts w:cs="Times New Roman"/>
        </w:rPr>
        <w:t xml:space="preserve"> </w:t>
      </w:r>
      <w:r w:rsidR="00E0299C" w:rsidRPr="00834149">
        <w:rPr>
          <w:rFonts w:cs="Times New Roman"/>
        </w:rPr>
        <w:t>T</w:t>
      </w:r>
      <w:r w:rsidR="00C05357" w:rsidRPr="00834149">
        <w:rPr>
          <w:rFonts w:cs="Times New Roman"/>
        </w:rPr>
        <w:t>he S</w:t>
      </w:r>
      <w:r w:rsidR="00F93038" w:rsidRPr="00834149">
        <w:rPr>
          <w:rFonts w:cs="Times New Roman"/>
        </w:rPr>
        <w:t>CD concludes</w:t>
      </w:r>
      <w:r w:rsidR="00A134DE" w:rsidRPr="00834149">
        <w:rPr>
          <w:rFonts w:cs="Times New Roman"/>
        </w:rPr>
        <w:t xml:space="preserve"> that </w:t>
      </w:r>
      <w:r w:rsidR="00C05357" w:rsidRPr="00834149">
        <w:rPr>
          <w:rFonts w:cs="Times New Roman"/>
        </w:rPr>
        <w:t xml:space="preserve">access to finance </w:t>
      </w:r>
      <w:r w:rsidR="00A134DE" w:rsidRPr="00834149">
        <w:rPr>
          <w:rFonts w:cs="Times New Roman"/>
        </w:rPr>
        <w:t xml:space="preserve">is not </w:t>
      </w:r>
      <w:r w:rsidR="00C05357" w:rsidRPr="00834149">
        <w:rPr>
          <w:rFonts w:cs="Times New Roman"/>
        </w:rPr>
        <w:t xml:space="preserve">a </w:t>
      </w:r>
      <w:r w:rsidR="00C26870" w:rsidRPr="00834149">
        <w:rPr>
          <w:rFonts w:cs="Times New Roman"/>
        </w:rPr>
        <w:t xml:space="preserve">significant </w:t>
      </w:r>
      <w:r w:rsidR="00C05357" w:rsidRPr="00834149">
        <w:rPr>
          <w:rFonts w:cs="Times New Roman"/>
        </w:rPr>
        <w:t>constraint to poverty reduction</w:t>
      </w:r>
      <w:r w:rsidR="00E0299C" w:rsidRPr="00834149">
        <w:rPr>
          <w:rFonts w:cs="Times New Roman"/>
        </w:rPr>
        <w:t xml:space="preserve"> in Togo</w:t>
      </w:r>
      <w:r w:rsidR="00954FEC" w:rsidRPr="00834149">
        <w:rPr>
          <w:rFonts w:cs="Times New Roman"/>
        </w:rPr>
        <w:t>, despite systemic weaknesses in the sector</w:t>
      </w:r>
      <w:r w:rsidR="00C05357" w:rsidRPr="00834149">
        <w:rPr>
          <w:rFonts w:cs="Times New Roman"/>
        </w:rPr>
        <w:t>.</w:t>
      </w:r>
      <w:r w:rsidR="00616D50" w:rsidRPr="00834149">
        <w:rPr>
          <w:rFonts w:cs="Times New Roman"/>
        </w:rPr>
        <w:t xml:space="preserve"> </w:t>
      </w:r>
      <w:r w:rsidR="00826B08" w:rsidRPr="00834149">
        <w:rPr>
          <w:rFonts w:cs="Times New Roman"/>
        </w:rPr>
        <w:t>However, r</w:t>
      </w:r>
      <w:r w:rsidR="00C05357" w:rsidRPr="00834149">
        <w:rPr>
          <w:rFonts w:cs="Times New Roman"/>
        </w:rPr>
        <w:t>ecognizing the important role that th</w:t>
      </w:r>
      <w:r w:rsidR="00C26870" w:rsidRPr="00834149">
        <w:rPr>
          <w:rFonts w:cs="Times New Roman"/>
        </w:rPr>
        <w:t>e</w:t>
      </w:r>
      <w:r w:rsidR="00C05357" w:rsidRPr="00834149">
        <w:rPr>
          <w:rFonts w:cs="Times New Roman"/>
        </w:rPr>
        <w:t xml:space="preserve"> </w:t>
      </w:r>
      <w:r w:rsidR="009775BC" w:rsidRPr="00834149">
        <w:rPr>
          <w:rFonts w:cs="Times New Roman"/>
        </w:rPr>
        <w:t xml:space="preserve">financial </w:t>
      </w:r>
      <w:r w:rsidR="00C05357" w:rsidRPr="00834149">
        <w:rPr>
          <w:rFonts w:cs="Times New Roman"/>
        </w:rPr>
        <w:t>sector plays in spurring private sector activity</w:t>
      </w:r>
      <w:r w:rsidR="009775BC" w:rsidRPr="00834149">
        <w:rPr>
          <w:rFonts w:cs="Times New Roman"/>
        </w:rPr>
        <w:t xml:space="preserve"> and the </w:t>
      </w:r>
      <w:r w:rsidR="009E23CA" w:rsidRPr="00834149">
        <w:rPr>
          <w:rFonts w:cs="Times New Roman"/>
        </w:rPr>
        <w:t xml:space="preserve">World </w:t>
      </w:r>
      <w:r w:rsidR="009775BC" w:rsidRPr="00834149">
        <w:rPr>
          <w:rFonts w:cs="Times New Roman"/>
        </w:rPr>
        <w:t xml:space="preserve">Bank’s comparative advantage in supporting financial </w:t>
      </w:r>
      <w:r w:rsidR="009775BC" w:rsidRPr="00834149">
        <w:rPr>
          <w:rFonts w:cs="Times New Roman"/>
        </w:rPr>
        <w:lastRenderedPageBreak/>
        <w:t>sector issues</w:t>
      </w:r>
      <w:r w:rsidR="00C05357" w:rsidRPr="00834149">
        <w:rPr>
          <w:rFonts w:cs="Times New Roman"/>
        </w:rPr>
        <w:t xml:space="preserve">, </w:t>
      </w:r>
      <w:r w:rsidR="009775BC" w:rsidRPr="00834149">
        <w:rPr>
          <w:rFonts w:cs="Times New Roman"/>
        </w:rPr>
        <w:t xml:space="preserve">the CPF </w:t>
      </w:r>
      <w:r w:rsidR="000C6CF9" w:rsidRPr="00834149">
        <w:rPr>
          <w:rFonts w:cs="Times New Roman"/>
        </w:rPr>
        <w:t>will</w:t>
      </w:r>
      <w:r w:rsidR="009775BC" w:rsidRPr="00834149">
        <w:rPr>
          <w:rFonts w:cs="Times New Roman"/>
        </w:rPr>
        <w:t xml:space="preserve"> include </w:t>
      </w:r>
      <w:r w:rsidR="000C6CF9" w:rsidRPr="00834149">
        <w:rPr>
          <w:rFonts w:cs="Times New Roman"/>
        </w:rPr>
        <w:t>a</w:t>
      </w:r>
      <w:r w:rsidR="00E0299C" w:rsidRPr="00834149">
        <w:rPr>
          <w:rFonts w:cs="Times New Roman"/>
        </w:rPr>
        <w:t xml:space="preserve"> financial sector assessment and </w:t>
      </w:r>
      <w:r w:rsidR="00163665" w:rsidRPr="00834149">
        <w:rPr>
          <w:rFonts w:cs="Times New Roman"/>
        </w:rPr>
        <w:t xml:space="preserve">technical assistance </w:t>
      </w:r>
      <w:r w:rsidR="00E0299C" w:rsidRPr="00834149">
        <w:rPr>
          <w:rFonts w:cs="Times New Roman"/>
        </w:rPr>
        <w:t>for restructuring state-owned banks</w:t>
      </w:r>
      <w:r w:rsidR="00601BB9" w:rsidRPr="00834149">
        <w:rPr>
          <w:rFonts w:cs="Times New Roman"/>
        </w:rPr>
        <w:t>, at</w:t>
      </w:r>
      <w:r w:rsidR="00F93038" w:rsidRPr="00834149">
        <w:rPr>
          <w:rFonts w:cs="Times New Roman"/>
        </w:rPr>
        <w:t xml:space="preserve"> government</w:t>
      </w:r>
      <w:r w:rsidR="00601BB9" w:rsidRPr="00834149">
        <w:rPr>
          <w:rFonts w:cs="Times New Roman"/>
        </w:rPr>
        <w:t>’s</w:t>
      </w:r>
      <w:r w:rsidR="00F93038" w:rsidRPr="00834149">
        <w:rPr>
          <w:rFonts w:cs="Times New Roman"/>
        </w:rPr>
        <w:t xml:space="preserve"> request</w:t>
      </w:r>
      <w:r w:rsidR="00E0299C" w:rsidRPr="00834149">
        <w:rPr>
          <w:rFonts w:cs="Times New Roman"/>
        </w:rPr>
        <w:t xml:space="preserve">. </w:t>
      </w:r>
      <w:r w:rsidR="00616D50" w:rsidRPr="00834149">
        <w:rPr>
          <w:rFonts w:cs="Times New Roman"/>
        </w:rPr>
        <w:t xml:space="preserve">IFC will continue to </w:t>
      </w:r>
      <w:r w:rsidR="00C05357" w:rsidRPr="00834149">
        <w:rPr>
          <w:rFonts w:cs="Times New Roman"/>
        </w:rPr>
        <w:t xml:space="preserve">promote access to finance through its financing products in the local banking sector. </w:t>
      </w:r>
      <w:r w:rsidR="00163665" w:rsidRPr="00834149">
        <w:rPr>
          <w:rFonts w:cs="Times New Roman"/>
        </w:rPr>
        <w:t>T</w:t>
      </w:r>
      <w:r w:rsidR="00C05357" w:rsidRPr="00834149">
        <w:rPr>
          <w:rFonts w:cs="Times New Roman"/>
        </w:rPr>
        <w:t xml:space="preserve">he CPF does not foresee </w:t>
      </w:r>
      <w:r w:rsidR="009D67B6">
        <w:rPr>
          <w:rFonts w:cs="Times New Roman"/>
        </w:rPr>
        <w:t xml:space="preserve">significant </w:t>
      </w:r>
      <w:r w:rsidR="00616D50" w:rsidRPr="00834149">
        <w:rPr>
          <w:rFonts w:cs="Times New Roman"/>
        </w:rPr>
        <w:t>IDA</w:t>
      </w:r>
      <w:r w:rsidR="00C05357" w:rsidRPr="00834149">
        <w:rPr>
          <w:rFonts w:cs="Times New Roman"/>
        </w:rPr>
        <w:t xml:space="preserve"> </w:t>
      </w:r>
      <w:r w:rsidR="009D67B6">
        <w:rPr>
          <w:rFonts w:cs="Times New Roman"/>
        </w:rPr>
        <w:t>financing</w:t>
      </w:r>
      <w:r w:rsidR="004F240C" w:rsidRPr="00834149">
        <w:rPr>
          <w:rFonts w:cs="Times New Roman"/>
        </w:rPr>
        <w:t xml:space="preserve"> in </w:t>
      </w:r>
      <w:r w:rsidR="00616D50" w:rsidRPr="00834149">
        <w:rPr>
          <w:rFonts w:cs="Times New Roman"/>
        </w:rPr>
        <w:t xml:space="preserve">water and sanitation </w:t>
      </w:r>
      <w:r w:rsidR="00A134DE" w:rsidRPr="00834149">
        <w:rPr>
          <w:rFonts w:cs="Times New Roman"/>
        </w:rPr>
        <w:t>services</w:t>
      </w:r>
      <w:r w:rsidR="00E0299C" w:rsidRPr="00834149">
        <w:rPr>
          <w:rFonts w:cs="Times New Roman"/>
        </w:rPr>
        <w:t xml:space="preserve"> outside of </w:t>
      </w:r>
      <w:r w:rsidR="004F240C" w:rsidRPr="00834149">
        <w:rPr>
          <w:rFonts w:cs="Times New Roman"/>
        </w:rPr>
        <w:t xml:space="preserve">community-level interventions and limited </w:t>
      </w:r>
      <w:r w:rsidR="00E0299C" w:rsidRPr="00834149">
        <w:rPr>
          <w:rFonts w:cs="Times New Roman"/>
        </w:rPr>
        <w:t xml:space="preserve">investments </w:t>
      </w:r>
      <w:r w:rsidR="004F240C" w:rsidRPr="00834149">
        <w:rPr>
          <w:rFonts w:cs="Times New Roman"/>
        </w:rPr>
        <w:t>under proposed new</w:t>
      </w:r>
      <w:r w:rsidR="00E0299C" w:rsidRPr="00834149">
        <w:rPr>
          <w:rFonts w:cs="Times New Roman"/>
        </w:rPr>
        <w:t xml:space="preserve"> operation</w:t>
      </w:r>
      <w:r w:rsidR="004F240C" w:rsidRPr="00834149">
        <w:rPr>
          <w:rFonts w:cs="Times New Roman"/>
        </w:rPr>
        <w:t>s</w:t>
      </w:r>
      <w:r w:rsidR="00A134DE" w:rsidRPr="00834149">
        <w:rPr>
          <w:rFonts w:cs="Times New Roman"/>
        </w:rPr>
        <w:t xml:space="preserve">. The </w:t>
      </w:r>
      <w:r w:rsidR="000C6CF9" w:rsidRPr="00834149">
        <w:rPr>
          <w:rFonts w:cs="Times New Roman"/>
        </w:rPr>
        <w:t>French Agency for Development (</w:t>
      </w:r>
      <w:r w:rsidR="00A134DE" w:rsidRPr="00834149">
        <w:rPr>
          <w:rFonts w:cs="Times New Roman"/>
        </w:rPr>
        <w:t>AFD</w:t>
      </w:r>
      <w:r w:rsidR="000C6CF9" w:rsidRPr="00834149">
        <w:rPr>
          <w:rFonts w:cs="Times New Roman"/>
        </w:rPr>
        <w:t>)</w:t>
      </w:r>
      <w:r w:rsidR="00A134DE" w:rsidRPr="00834149">
        <w:rPr>
          <w:rFonts w:cs="Times New Roman"/>
        </w:rPr>
        <w:t xml:space="preserve"> </w:t>
      </w:r>
      <w:r w:rsidR="00E0299C" w:rsidRPr="00834149">
        <w:rPr>
          <w:rFonts w:cs="Times New Roman"/>
        </w:rPr>
        <w:t>and EU are</w:t>
      </w:r>
      <w:r w:rsidR="00A134DE" w:rsidRPr="00834149">
        <w:rPr>
          <w:rFonts w:cs="Times New Roman"/>
        </w:rPr>
        <w:t xml:space="preserve"> supporting reforms and investments in the sector, and the </w:t>
      </w:r>
      <w:r w:rsidR="00C01059">
        <w:rPr>
          <w:rFonts w:cs="Times New Roman"/>
        </w:rPr>
        <w:t xml:space="preserve">World </w:t>
      </w:r>
      <w:r w:rsidR="00A134DE" w:rsidRPr="00834149">
        <w:rPr>
          <w:rFonts w:cs="Times New Roman"/>
        </w:rPr>
        <w:t xml:space="preserve">Bank </w:t>
      </w:r>
      <w:r w:rsidR="003E1E82" w:rsidRPr="00834149">
        <w:rPr>
          <w:rFonts w:cs="Times New Roman"/>
        </w:rPr>
        <w:t>has a modest</w:t>
      </w:r>
      <w:r w:rsidR="00A134DE" w:rsidRPr="00834149">
        <w:rPr>
          <w:rFonts w:cs="Times New Roman"/>
        </w:rPr>
        <w:t xml:space="preserve"> engage</w:t>
      </w:r>
      <w:r w:rsidR="003E1E82" w:rsidRPr="00834149">
        <w:rPr>
          <w:rFonts w:cs="Times New Roman"/>
        </w:rPr>
        <w:t>ment</w:t>
      </w:r>
      <w:r w:rsidR="00A134DE" w:rsidRPr="00834149">
        <w:rPr>
          <w:rFonts w:cs="Times New Roman"/>
        </w:rPr>
        <w:t xml:space="preserve"> through the Water Support Partnership. The CPF also does not plan </w:t>
      </w:r>
      <w:r w:rsidR="00163665" w:rsidRPr="00834149">
        <w:rPr>
          <w:rFonts w:cs="Times New Roman"/>
        </w:rPr>
        <w:t>IDA</w:t>
      </w:r>
      <w:r w:rsidR="00A134DE" w:rsidRPr="00834149">
        <w:rPr>
          <w:rFonts w:cs="Times New Roman"/>
        </w:rPr>
        <w:t xml:space="preserve"> financing</w:t>
      </w:r>
      <w:r w:rsidR="00616D50" w:rsidRPr="00834149">
        <w:rPr>
          <w:rFonts w:cs="Times New Roman"/>
        </w:rPr>
        <w:t xml:space="preserve"> </w:t>
      </w:r>
      <w:r w:rsidR="00C26870" w:rsidRPr="00834149">
        <w:rPr>
          <w:rFonts w:cs="Times New Roman"/>
        </w:rPr>
        <w:t xml:space="preserve">for large </w:t>
      </w:r>
      <w:r w:rsidR="00AE2D57" w:rsidRPr="00834149">
        <w:rPr>
          <w:rFonts w:cs="Times New Roman"/>
        </w:rPr>
        <w:t xml:space="preserve">irrigation or </w:t>
      </w:r>
      <w:r w:rsidR="00616D50" w:rsidRPr="00834149">
        <w:rPr>
          <w:rFonts w:cs="Times New Roman"/>
        </w:rPr>
        <w:t>transport infrastructure</w:t>
      </w:r>
      <w:r w:rsidRPr="00834149">
        <w:rPr>
          <w:rFonts w:cs="Times New Roman"/>
        </w:rPr>
        <w:t>.</w:t>
      </w:r>
    </w:p>
    <w:p w14:paraId="38F85B42" w14:textId="77777777" w:rsidR="00570DD5" w:rsidRPr="00834149" w:rsidRDefault="00570DD5" w:rsidP="00834149">
      <w:pPr>
        <w:pStyle w:val="ListParagraph"/>
        <w:ind w:left="0"/>
        <w:contextualSpacing w:val="0"/>
        <w:jc w:val="both"/>
        <w:rPr>
          <w:rFonts w:cs="Times New Roman"/>
          <w:b/>
        </w:rPr>
      </w:pPr>
    </w:p>
    <w:p w14:paraId="7408A949" w14:textId="3EA725E9" w:rsidR="008D6EFA" w:rsidRPr="00834149" w:rsidRDefault="008D6EFA" w:rsidP="00834149">
      <w:pPr>
        <w:pStyle w:val="ListParagraph"/>
        <w:numPr>
          <w:ilvl w:val="0"/>
          <w:numId w:val="2"/>
        </w:numPr>
        <w:ind w:left="0" w:firstLine="0"/>
        <w:contextualSpacing w:val="0"/>
        <w:jc w:val="both"/>
        <w:rPr>
          <w:rFonts w:cs="Times New Roman"/>
          <w:b/>
        </w:rPr>
      </w:pPr>
      <w:r w:rsidRPr="00834149">
        <w:rPr>
          <w:rFonts w:cs="Times New Roman"/>
          <w:b/>
          <w:bCs/>
        </w:rPr>
        <w:t>The new IFC 3.0 strategy will seek to create new and stronger markets</w:t>
      </w:r>
      <w:r w:rsidRPr="00834149">
        <w:rPr>
          <w:rFonts w:cs="Times New Roman"/>
          <w:bCs/>
        </w:rPr>
        <w:t>.</w:t>
      </w:r>
      <w:r w:rsidRPr="00834149">
        <w:rPr>
          <w:rFonts w:cs="Times New Roman"/>
          <w:b/>
          <w:bCs/>
        </w:rPr>
        <w:t xml:space="preserve"> </w:t>
      </w:r>
      <w:r w:rsidRPr="00834149">
        <w:rPr>
          <w:rFonts w:cs="Times New Roman"/>
        </w:rPr>
        <w:t xml:space="preserve">IFC </w:t>
      </w:r>
      <w:r w:rsidR="000D75F9" w:rsidRPr="00834149">
        <w:rPr>
          <w:rFonts w:cs="Times New Roman"/>
        </w:rPr>
        <w:t xml:space="preserve">3.0 </w:t>
      </w:r>
      <w:r w:rsidRPr="00834149">
        <w:rPr>
          <w:rFonts w:cs="Times New Roman"/>
        </w:rPr>
        <w:t>target</w:t>
      </w:r>
      <w:r w:rsidR="000D75F9" w:rsidRPr="00834149">
        <w:rPr>
          <w:rFonts w:cs="Times New Roman"/>
        </w:rPr>
        <w:t>s</w:t>
      </w:r>
      <w:r w:rsidRPr="00834149">
        <w:rPr>
          <w:rFonts w:cs="Times New Roman"/>
        </w:rPr>
        <w:t xml:space="preserve"> sector-specific</w:t>
      </w:r>
      <w:r w:rsidRPr="00834149">
        <w:t xml:space="preserve"> development strategies, leverage</w:t>
      </w:r>
      <w:r w:rsidR="000D75F9" w:rsidRPr="00834149">
        <w:t>s</w:t>
      </w:r>
      <w:r w:rsidRPr="00834149">
        <w:t xml:space="preserve"> partnerships with the World Bank, IMF and other partners to drive reform</w:t>
      </w:r>
      <w:r w:rsidR="000D75F9" w:rsidRPr="00834149">
        <w:t>s</w:t>
      </w:r>
      <w:r w:rsidR="00033F4B" w:rsidRPr="00834149">
        <w:t>,</w:t>
      </w:r>
      <w:r w:rsidRPr="00834149">
        <w:t xml:space="preserve"> and </w:t>
      </w:r>
      <w:r w:rsidR="000D75F9" w:rsidRPr="00834149">
        <w:t>works to</w:t>
      </w:r>
      <w:r w:rsidRPr="00834149">
        <w:t xml:space="preserve"> create the right regulatory conditions for the private sector. IFC’s creating markets agenda will include partnering </w:t>
      </w:r>
      <w:r w:rsidR="009775BC" w:rsidRPr="00834149">
        <w:t>with IDA to</w:t>
      </w:r>
      <w:r w:rsidRPr="00834149">
        <w:t xml:space="preserve"> implement the cascade approach, which champion</w:t>
      </w:r>
      <w:r w:rsidR="009775BC" w:rsidRPr="00834149">
        <w:t>s</w:t>
      </w:r>
      <w:r w:rsidRPr="00834149">
        <w:t xml:space="preserve"> maximiz</w:t>
      </w:r>
      <w:r w:rsidR="009775BC" w:rsidRPr="00834149">
        <w:t>ing</w:t>
      </w:r>
      <w:r w:rsidRPr="00834149">
        <w:t xml:space="preserve"> the crowding-in of private capital and minimize the public debt burden on clients. IFC will seek to scale up advisory services at the firm and market levels to build capacity</w:t>
      </w:r>
      <w:r w:rsidR="009775BC" w:rsidRPr="00834149">
        <w:t xml:space="preserve"> in Togo</w:t>
      </w:r>
      <w:r w:rsidRPr="00834149">
        <w:t xml:space="preserve">. It will also, where appropriate, aim to increase own-account investment </w:t>
      </w:r>
      <w:r w:rsidR="00033F4B" w:rsidRPr="00834149">
        <w:t xml:space="preserve">and </w:t>
      </w:r>
      <w:r w:rsidRPr="00834149">
        <w:t xml:space="preserve">mobilization, co-lending, blended financing and de-risking instruments such as those proposed </w:t>
      </w:r>
      <w:r w:rsidR="009775BC" w:rsidRPr="00834149">
        <w:t xml:space="preserve">by </w:t>
      </w:r>
      <w:r w:rsidRPr="00834149">
        <w:t>t</w:t>
      </w:r>
      <w:r w:rsidR="008F3F2A" w:rsidRPr="00834149">
        <w:t>he IDA18 Private Sector Window.</w:t>
      </w:r>
      <w:r w:rsidRPr="00834149">
        <w:t xml:space="preserve"> IFC’s objective is to enhance its investment and advisory work to support trade and public-private partnerships </w:t>
      </w:r>
      <w:r w:rsidR="004C2269" w:rsidRPr="00834149">
        <w:t xml:space="preserve">(PPPs) </w:t>
      </w:r>
      <w:r w:rsidRPr="00834149">
        <w:t xml:space="preserve">and promote private investments in infrastructure, agribusiness, manufacturing, services, </w:t>
      </w:r>
      <w:r w:rsidR="00424537" w:rsidRPr="00834149">
        <w:t xml:space="preserve">the </w:t>
      </w:r>
      <w:r w:rsidRPr="00834149">
        <w:t>financial sector and SME development. IFC expects to work with MIGA which will explore opportunities to engage in Togo during the CPF period.</w:t>
      </w:r>
    </w:p>
    <w:p w14:paraId="2D663D0E" w14:textId="77777777" w:rsidR="00570DD5" w:rsidRPr="00834149" w:rsidRDefault="00570DD5" w:rsidP="00834149">
      <w:pPr>
        <w:pStyle w:val="ListParagraph"/>
        <w:ind w:left="0"/>
        <w:contextualSpacing w:val="0"/>
        <w:jc w:val="both"/>
        <w:rPr>
          <w:rFonts w:cs="Times New Roman"/>
          <w:b/>
        </w:rPr>
      </w:pPr>
    </w:p>
    <w:p w14:paraId="39E5DD0D" w14:textId="34DDE2EB" w:rsidR="005A305A" w:rsidRPr="00834149" w:rsidRDefault="009775BC" w:rsidP="00834149">
      <w:pPr>
        <w:pStyle w:val="ListParagraph"/>
        <w:numPr>
          <w:ilvl w:val="0"/>
          <w:numId w:val="2"/>
        </w:numPr>
        <w:ind w:left="0" w:firstLine="0"/>
        <w:contextualSpacing w:val="0"/>
        <w:jc w:val="both"/>
        <w:rPr>
          <w:rFonts w:cs="Times New Roman"/>
          <w:b/>
          <w:bCs/>
        </w:rPr>
      </w:pPr>
      <w:r w:rsidRPr="00834149">
        <w:rPr>
          <w:rFonts w:cs="Times New Roman"/>
          <w:b/>
        </w:rPr>
        <w:t xml:space="preserve">The CPF proposes joint collaborations between practice groups to </w:t>
      </w:r>
      <w:r w:rsidR="009A1C66" w:rsidRPr="00834149">
        <w:rPr>
          <w:rFonts w:cs="Times New Roman"/>
          <w:b/>
        </w:rPr>
        <w:t>increase IDA’s effectiveness</w:t>
      </w:r>
      <w:r w:rsidR="00C350FA" w:rsidRPr="00834149">
        <w:rPr>
          <w:rFonts w:cs="Times New Roman"/>
        </w:rPr>
        <w:t>.</w:t>
      </w:r>
      <w:r w:rsidR="00C913D3" w:rsidRPr="00834149">
        <w:rPr>
          <w:rFonts w:cs="Times New Roman"/>
        </w:rPr>
        <w:t xml:space="preserve"> </w:t>
      </w:r>
      <w:r w:rsidR="0066637D" w:rsidRPr="00834149">
        <w:rPr>
          <w:rFonts w:cs="Times New Roman"/>
        </w:rPr>
        <w:t>Possible</w:t>
      </w:r>
      <w:r w:rsidR="00FC7919" w:rsidRPr="00834149">
        <w:rPr>
          <w:rFonts w:cs="Times New Roman"/>
        </w:rPr>
        <w:t xml:space="preserve"> synergies </w:t>
      </w:r>
      <w:r w:rsidR="0066637D" w:rsidRPr="00834149">
        <w:rPr>
          <w:rFonts w:cs="Times New Roman"/>
        </w:rPr>
        <w:t xml:space="preserve">would </w:t>
      </w:r>
      <w:r w:rsidR="00FC7919" w:rsidRPr="00834149">
        <w:rPr>
          <w:rFonts w:cs="Times New Roman"/>
        </w:rPr>
        <w:t xml:space="preserve">include </w:t>
      </w:r>
      <w:r w:rsidR="00C913D3" w:rsidRPr="00834149">
        <w:rPr>
          <w:rFonts w:cs="Times New Roman"/>
        </w:rPr>
        <w:t>combin</w:t>
      </w:r>
      <w:r w:rsidR="00FC7919" w:rsidRPr="00834149">
        <w:rPr>
          <w:rFonts w:cs="Times New Roman"/>
        </w:rPr>
        <w:t>ing</w:t>
      </w:r>
      <w:r w:rsidR="00C913D3" w:rsidRPr="00834149">
        <w:rPr>
          <w:rFonts w:cs="Times New Roman"/>
        </w:rPr>
        <w:t xml:space="preserve"> the </w:t>
      </w:r>
      <w:r w:rsidR="00B16D76" w:rsidRPr="00834149">
        <w:rPr>
          <w:rFonts w:cs="Times New Roman"/>
        </w:rPr>
        <w:t>institution</w:t>
      </w:r>
      <w:r w:rsidR="00C913D3" w:rsidRPr="00834149">
        <w:rPr>
          <w:rFonts w:cs="Times New Roman"/>
        </w:rPr>
        <w:t xml:space="preserve">’s knowledge and </w:t>
      </w:r>
      <w:r w:rsidR="00B16D76" w:rsidRPr="00834149">
        <w:rPr>
          <w:rFonts w:cs="Times New Roman"/>
        </w:rPr>
        <w:t xml:space="preserve">expertise </w:t>
      </w:r>
      <w:r w:rsidR="00C913D3" w:rsidRPr="00834149">
        <w:rPr>
          <w:rFonts w:cs="Times New Roman"/>
        </w:rPr>
        <w:t>in trade and commerce, agriculture</w:t>
      </w:r>
      <w:r w:rsidR="0066637D" w:rsidRPr="00834149">
        <w:rPr>
          <w:rFonts w:cs="Times New Roman"/>
        </w:rPr>
        <w:t>,</w:t>
      </w:r>
      <w:r w:rsidR="00C913D3" w:rsidRPr="00834149">
        <w:rPr>
          <w:rFonts w:cs="Times New Roman"/>
        </w:rPr>
        <w:t xml:space="preserve"> and education</w:t>
      </w:r>
      <w:r w:rsidR="00B16D76" w:rsidRPr="00834149">
        <w:rPr>
          <w:rFonts w:cs="Times New Roman"/>
        </w:rPr>
        <w:t xml:space="preserve"> </w:t>
      </w:r>
      <w:r w:rsidR="00FC7919" w:rsidRPr="00834149">
        <w:rPr>
          <w:rFonts w:cs="Times New Roman"/>
        </w:rPr>
        <w:t>to promote competitiveness and build skills</w:t>
      </w:r>
      <w:r w:rsidR="00C913D3" w:rsidRPr="00834149">
        <w:rPr>
          <w:rFonts w:cs="Times New Roman"/>
        </w:rPr>
        <w:t xml:space="preserve">; </w:t>
      </w:r>
      <w:r w:rsidR="0066637D" w:rsidRPr="00834149">
        <w:rPr>
          <w:rFonts w:cs="Times New Roman"/>
        </w:rPr>
        <w:t xml:space="preserve">bringing together the WBG’s expertise in governance and urban and rural resilience to </w:t>
      </w:r>
      <w:r w:rsidR="00C913D3" w:rsidRPr="00834149">
        <w:rPr>
          <w:rFonts w:cs="Times New Roman"/>
        </w:rPr>
        <w:t xml:space="preserve">support </w:t>
      </w:r>
      <w:r w:rsidR="00206631" w:rsidRPr="00834149">
        <w:rPr>
          <w:rFonts w:cs="Times New Roman"/>
        </w:rPr>
        <w:t xml:space="preserve">improved </w:t>
      </w:r>
      <w:r w:rsidR="00B01349" w:rsidRPr="00834149">
        <w:rPr>
          <w:rFonts w:cs="Times New Roman"/>
        </w:rPr>
        <w:t xml:space="preserve">basic </w:t>
      </w:r>
      <w:r w:rsidR="00C913D3" w:rsidRPr="00834149">
        <w:rPr>
          <w:rFonts w:cs="Times New Roman"/>
        </w:rPr>
        <w:t xml:space="preserve">infrastructure </w:t>
      </w:r>
      <w:r w:rsidR="00206631" w:rsidRPr="00834149">
        <w:rPr>
          <w:rFonts w:cs="Times New Roman"/>
        </w:rPr>
        <w:t>services</w:t>
      </w:r>
      <w:r w:rsidR="006307F8" w:rsidRPr="00834149">
        <w:rPr>
          <w:rFonts w:cs="Times New Roman"/>
        </w:rPr>
        <w:t xml:space="preserve"> at the regional level;</w:t>
      </w:r>
      <w:r w:rsidR="00C913D3" w:rsidRPr="00834149">
        <w:rPr>
          <w:rFonts w:cs="Times New Roman"/>
        </w:rPr>
        <w:t xml:space="preserve"> and </w:t>
      </w:r>
      <w:r w:rsidR="00513F96" w:rsidRPr="00834149">
        <w:rPr>
          <w:rFonts w:cs="Times New Roman"/>
        </w:rPr>
        <w:t xml:space="preserve">linking </w:t>
      </w:r>
      <w:r w:rsidR="00C913D3" w:rsidRPr="00834149">
        <w:rPr>
          <w:rFonts w:cs="Times New Roman"/>
        </w:rPr>
        <w:t xml:space="preserve">health and social protection </w:t>
      </w:r>
      <w:r w:rsidR="00B01349" w:rsidRPr="00834149">
        <w:rPr>
          <w:rFonts w:cs="Times New Roman"/>
        </w:rPr>
        <w:t xml:space="preserve">expertise </w:t>
      </w:r>
      <w:r w:rsidR="00513F96" w:rsidRPr="00834149">
        <w:rPr>
          <w:rFonts w:cs="Times New Roman"/>
        </w:rPr>
        <w:t>to</w:t>
      </w:r>
      <w:r w:rsidR="00B01349" w:rsidRPr="00834149">
        <w:rPr>
          <w:rFonts w:cs="Times New Roman"/>
        </w:rPr>
        <w:t xml:space="preserve"> help Togo establish a</w:t>
      </w:r>
      <w:r w:rsidR="00194AFD" w:rsidRPr="00834149">
        <w:rPr>
          <w:rFonts w:cs="Times New Roman"/>
        </w:rPr>
        <w:t xml:space="preserve"> targeting mechanism for social</w:t>
      </w:r>
      <w:r w:rsidR="00206631" w:rsidRPr="00834149">
        <w:rPr>
          <w:rFonts w:cs="Times New Roman"/>
        </w:rPr>
        <w:t xml:space="preserve"> safety nets</w:t>
      </w:r>
      <w:r w:rsidR="00C913D3" w:rsidRPr="00834149">
        <w:rPr>
          <w:rFonts w:cs="Times New Roman"/>
        </w:rPr>
        <w:t>.</w:t>
      </w:r>
    </w:p>
    <w:p w14:paraId="702B1440" w14:textId="77777777" w:rsidR="0088720D" w:rsidRDefault="0088720D">
      <w:pPr>
        <w:rPr>
          <w:rFonts w:ascii="Times New Roman" w:hAnsi="Times New Roman" w:cs="Times New Roman"/>
          <w:b/>
          <w:bCs/>
          <w:sz w:val="20"/>
          <w:szCs w:val="20"/>
        </w:rPr>
      </w:pPr>
      <w:r>
        <w:rPr>
          <w:rFonts w:ascii="Times New Roman" w:hAnsi="Times New Roman" w:cs="Times New Roman"/>
          <w:caps/>
          <w:sz w:val="20"/>
          <w:szCs w:val="20"/>
        </w:rPr>
        <w:br w:type="page"/>
      </w:r>
    </w:p>
    <w:p w14:paraId="17D46B69" w14:textId="0F9972B1" w:rsidR="00B41136" w:rsidRPr="00834149" w:rsidRDefault="005A305A" w:rsidP="007114D1">
      <w:pPr>
        <w:pStyle w:val="Caption"/>
        <w:keepNext/>
        <w:jc w:val="center"/>
        <w:rPr>
          <w:rFonts w:cs="Times New Roman"/>
          <w:caps w:val="0"/>
          <w:sz w:val="22"/>
          <w:szCs w:val="22"/>
        </w:rPr>
      </w:pPr>
      <w:bookmarkStart w:id="25" w:name="_Toc480207653"/>
      <w:r w:rsidRPr="00834149">
        <w:rPr>
          <w:rFonts w:cs="Times New Roman"/>
          <w:caps w:val="0"/>
          <w:sz w:val="22"/>
          <w:szCs w:val="22"/>
        </w:rPr>
        <w:lastRenderedPageBreak/>
        <w:t xml:space="preserve">Figure </w:t>
      </w:r>
      <w:r w:rsidR="007114D1" w:rsidRPr="00834149">
        <w:rPr>
          <w:rFonts w:cs="Times New Roman"/>
          <w:sz w:val="22"/>
          <w:szCs w:val="22"/>
        </w:rPr>
        <w:fldChar w:fldCharType="begin"/>
      </w:r>
      <w:r w:rsidR="007114D1" w:rsidRPr="00834149">
        <w:rPr>
          <w:rFonts w:cs="Times New Roman"/>
          <w:sz w:val="22"/>
          <w:szCs w:val="22"/>
        </w:rPr>
        <w:instrText xml:space="preserve"> SEQ Figure \* ARABIC </w:instrText>
      </w:r>
      <w:r w:rsidR="007114D1" w:rsidRPr="00834149">
        <w:rPr>
          <w:rFonts w:cs="Times New Roman"/>
          <w:sz w:val="22"/>
          <w:szCs w:val="22"/>
        </w:rPr>
        <w:fldChar w:fldCharType="separate"/>
      </w:r>
      <w:r w:rsidR="000D6ABB">
        <w:rPr>
          <w:rFonts w:cs="Times New Roman"/>
          <w:noProof/>
          <w:sz w:val="22"/>
          <w:szCs w:val="22"/>
        </w:rPr>
        <w:t>4</w:t>
      </w:r>
      <w:r w:rsidR="007114D1" w:rsidRPr="00834149">
        <w:rPr>
          <w:rFonts w:cs="Times New Roman"/>
          <w:sz w:val="22"/>
          <w:szCs w:val="22"/>
        </w:rPr>
        <w:fldChar w:fldCharType="end"/>
      </w:r>
      <w:r w:rsidRPr="00834149">
        <w:rPr>
          <w:rFonts w:cs="Times New Roman"/>
          <w:caps w:val="0"/>
          <w:sz w:val="22"/>
          <w:szCs w:val="22"/>
        </w:rPr>
        <w:t>:</w:t>
      </w:r>
      <w:r w:rsidR="003C72B9" w:rsidRPr="00834149">
        <w:rPr>
          <w:rFonts w:cs="Times New Roman"/>
          <w:caps w:val="0"/>
          <w:sz w:val="22"/>
          <w:szCs w:val="22"/>
        </w:rPr>
        <w:t xml:space="preserve"> SCD Priorities</w:t>
      </w:r>
      <w:r w:rsidR="001B727A" w:rsidRPr="00834149">
        <w:rPr>
          <w:rFonts w:cs="Times New Roman"/>
          <w:caps w:val="0"/>
          <w:sz w:val="22"/>
          <w:szCs w:val="22"/>
        </w:rPr>
        <w:t>,</w:t>
      </w:r>
      <w:r w:rsidR="003C72B9" w:rsidRPr="00834149">
        <w:rPr>
          <w:rFonts w:cs="Times New Roman"/>
          <w:caps w:val="0"/>
          <w:sz w:val="22"/>
          <w:szCs w:val="22"/>
        </w:rPr>
        <w:t xml:space="preserve"> </w:t>
      </w:r>
      <w:r w:rsidRPr="00834149">
        <w:rPr>
          <w:rFonts w:cs="Times New Roman"/>
          <w:caps w:val="0"/>
          <w:sz w:val="22"/>
          <w:szCs w:val="22"/>
        </w:rPr>
        <w:t>CPF Focus Areas and Objectives</w:t>
      </w:r>
      <w:r w:rsidR="001B727A" w:rsidRPr="00834149">
        <w:rPr>
          <w:rFonts w:cs="Times New Roman"/>
          <w:caps w:val="0"/>
          <w:sz w:val="22"/>
          <w:szCs w:val="22"/>
        </w:rPr>
        <w:t xml:space="preserve"> and Togo PND Pillars</w:t>
      </w:r>
      <w:bookmarkEnd w:id="25"/>
    </w:p>
    <w:tbl>
      <w:tblPr>
        <w:tblStyle w:val="TableGrid"/>
        <w:tblW w:w="0" w:type="auto"/>
        <w:tblInd w:w="-522" w:type="dxa"/>
        <w:tblLook w:val="04A0" w:firstRow="1" w:lastRow="0" w:firstColumn="1" w:lastColumn="0" w:noHBand="0" w:noVBand="1"/>
      </w:tblPr>
      <w:tblGrid>
        <w:gridCol w:w="3646"/>
        <w:gridCol w:w="3117"/>
        <w:gridCol w:w="3109"/>
      </w:tblGrid>
      <w:tr w:rsidR="0067166D" w:rsidRPr="003D216B" w14:paraId="7B3D4E90" w14:textId="77777777" w:rsidTr="00B41136">
        <w:tc>
          <w:tcPr>
            <w:tcW w:w="3714" w:type="dxa"/>
            <w:tcBorders>
              <w:top w:val="single" w:sz="4" w:space="0" w:color="auto"/>
              <w:left w:val="single" w:sz="4" w:space="0" w:color="auto"/>
              <w:bottom w:val="single" w:sz="4" w:space="0" w:color="auto"/>
              <w:right w:val="single" w:sz="4" w:space="0" w:color="auto"/>
            </w:tcBorders>
            <w:shd w:val="clear" w:color="auto" w:fill="DFD8CF" w:themeFill="accent6" w:themeFillTint="66"/>
            <w:hideMark/>
          </w:tcPr>
          <w:p w14:paraId="4B295B22" w14:textId="77777777" w:rsidR="00B41136" w:rsidRPr="00834149" w:rsidRDefault="00B41136" w:rsidP="003D216B">
            <w:pPr>
              <w:jc w:val="center"/>
              <w:rPr>
                <w:rFonts w:cs="Times New Roman"/>
                <w:b/>
              </w:rPr>
            </w:pPr>
            <w:r w:rsidRPr="00834149">
              <w:rPr>
                <w:rFonts w:cs="Times New Roman"/>
                <w:b/>
              </w:rPr>
              <w:t>Selected SCD Constraints</w:t>
            </w:r>
          </w:p>
        </w:tc>
        <w:tc>
          <w:tcPr>
            <w:tcW w:w="3192" w:type="dxa"/>
            <w:tcBorders>
              <w:top w:val="single" w:sz="4" w:space="0" w:color="auto"/>
              <w:left w:val="single" w:sz="4" w:space="0" w:color="auto"/>
              <w:bottom w:val="single" w:sz="4" w:space="0" w:color="auto"/>
              <w:right w:val="single" w:sz="4" w:space="0" w:color="auto"/>
            </w:tcBorders>
            <w:shd w:val="clear" w:color="auto" w:fill="DFD8CF" w:themeFill="accent6" w:themeFillTint="66"/>
            <w:hideMark/>
          </w:tcPr>
          <w:p w14:paraId="0C9A05D7" w14:textId="29FE221B" w:rsidR="00B41136" w:rsidRPr="00834149" w:rsidRDefault="00B41136" w:rsidP="003D216B">
            <w:pPr>
              <w:jc w:val="center"/>
              <w:rPr>
                <w:rFonts w:cs="Times New Roman"/>
                <w:b/>
              </w:rPr>
            </w:pPr>
            <w:r w:rsidRPr="00834149">
              <w:rPr>
                <w:rFonts w:cs="Times New Roman"/>
                <w:b/>
              </w:rPr>
              <w:t xml:space="preserve">SCD </w:t>
            </w:r>
            <w:r w:rsidR="003866A1" w:rsidRPr="00834149">
              <w:rPr>
                <w:rFonts w:cs="Times New Roman"/>
                <w:b/>
              </w:rPr>
              <w:t>Priorities</w:t>
            </w:r>
          </w:p>
        </w:tc>
        <w:tc>
          <w:tcPr>
            <w:tcW w:w="3192" w:type="dxa"/>
            <w:tcBorders>
              <w:top w:val="single" w:sz="4" w:space="0" w:color="auto"/>
              <w:left w:val="single" w:sz="4" w:space="0" w:color="auto"/>
              <w:bottom w:val="single" w:sz="4" w:space="0" w:color="auto"/>
              <w:right w:val="single" w:sz="4" w:space="0" w:color="auto"/>
            </w:tcBorders>
            <w:shd w:val="clear" w:color="auto" w:fill="DFD8CF" w:themeFill="accent6" w:themeFillTint="66"/>
            <w:hideMark/>
          </w:tcPr>
          <w:p w14:paraId="0BDEBE75" w14:textId="77777777" w:rsidR="00B41136" w:rsidRPr="00834149" w:rsidRDefault="00B41136" w:rsidP="003D216B">
            <w:pPr>
              <w:rPr>
                <w:rFonts w:cs="Times New Roman"/>
                <w:b/>
              </w:rPr>
            </w:pPr>
            <w:r w:rsidRPr="00834149">
              <w:rPr>
                <w:rFonts w:cs="Times New Roman"/>
                <w:b/>
              </w:rPr>
              <w:t>CPF Objectives</w:t>
            </w:r>
          </w:p>
        </w:tc>
      </w:tr>
      <w:tr w:rsidR="00B41136" w:rsidRPr="003D216B" w14:paraId="521E27BB" w14:textId="77777777" w:rsidTr="00B41136">
        <w:tc>
          <w:tcPr>
            <w:tcW w:w="10098" w:type="dxa"/>
            <w:gridSpan w:val="3"/>
            <w:tcBorders>
              <w:top w:val="single" w:sz="4" w:space="0" w:color="auto"/>
              <w:left w:val="single" w:sz="4" w:space="0" w:color="auto"/>
              <w:bottom w:val="single" w:sz="4" w:space="0" w:color="auto"/>
              <w:right w:val="single" w:sz="4" w:space="0" w:color="auto"/>
            </w:tcBorders>
            <w:shd w:val="clear" w:color="auto" w:fill="EBF2F1" w:themeFill="accent2" w:themeFillTint="33"/>
            <w:hideMark/>
          </w:tcPr>
          <w:p w14:paraId="128986F0" w14:textId="2B789BB3" w:rsidR="00B41136" w:rsidRPr="00834149" w:rsidRDefault="00B41136" w:rsidP="003D216B">
            <w:pPr>
              <w:jc w:val="center"/>
              <w:rPr>
                <w:rFonts w:cs="Times New Roman"/>
                <w:b/>
              </w:rPr>
            </w:pPr>
            <w:r w:rsidRPr="00834149">
              <w:rPr>
                <w:rFonts w:cs="Times New Roman"/>
                <w:b/>
              </w:rPr>
              <w:t xml:space="preserve">CPF </w:t>
            </w:r>
            <w:r w:rsidR="003866A1" w:rsidRPr="00834149">
              <w:rPr>
                <w:rFonts w:cs="Times New Roman"/>
                <w:b/>
              </w:rPr>
              <w:t xml:space="preserve">Foundational and </w:t>
            </w:r>
            <w:r w:rsidRPr="00834149">
              <w:rPr>
                <w:rFonts w:cs="Times New Roman"/>
                <w:b/>
              </w:rPr>
              <w:t>Cross Cutting Theme: Governance</w:t>
            </w:r>
          </w:p>
          <w:p w14:paraId="79FBF620" w14:textId="5389707B" w:rsidR="001B727A" w:rsidRPr="00834149" w:rsidRDefault="001B727A" w:rsidP="003D216B">
            <w:pPr>
              <w:jc w:val="center"/>
              <w:rPr>
                <w:rFonts w:cs="Times New Roman"/>
              </w:rPr>
            </w:pPr>
            <w:r w:rsidRPr="00834149">
              <w:rPr>
                <w:rFonts w:cs="Times New Roman"/>
              </w:rPr>
              <w:t>Togo PND Pillar 5: Strengthen Governance and Consolidate Peace</w:t>
            </w:r>
          </w:p>
        </w:tc>
      </w:tr>
      <w:tr w:rsidR="0067166D" w:rsidRPr="003D216B" w14:paraId="30069C88" w14:textId="77777777" w:rsidTr="00B41136">
        <w:tc>
          <w:tcPr>
            <w:tcW w:w="3714" w:type="dxa"/>
            <w:tcBorders>
              <w:top w:val="single" w:sz="4" w:space="0" w:color="auto"/>
              <w:left w:val="single" w:sz="4" w:space="0" w:color="auto"/>
              <w:bottom w:val="single" w:sz="4" w:space="0" w:color="auto"/>
              <w:right w:val="single" w:sz="4" w:space="0" w:color="auto"/>
            </w:tcBorders>
            <w:hideMark/>
          </w:tcPr>
          <w:p w14:paraId="5DE03342" w14:textId="1FA496AF" w:rsidR="00B41136" w:rsidRPr="00834149" w:rsidRDefault="00B41136" w:rsidP="00834149">
            <w:pPr>
              <w:pStyle w:val="ListParagraph"/>
              <w:numPr>
                <w:ilvl w:val="0"/>
                <w:numId w:val="12"/>
              </w:numPr>
              <w:ind w:left="229" w:hanging="180"/>
              <w:rPr>
                <w:rFonts w:cs="Times New Roman"/>
              </w:rPr>
            </w:pPr>
            <w:r w:rsidRPr="00834149">
              <w:rPr>
                <w:rFonts w:cs="Times New Roman"/>
                <w:b/>
              </w:rPr>
              <w:t>Poor governance</w:t>
            </w:r>
            <w:r w:rsidRPr="00834149">
              <w:rPr>
                <w:rFonts w:cs="Times New Roman"/>
              </w:rPr>
              <w:t xml:space="preserve"> (weak government effectiveness, control of corruption and accountability)</w:t>
            </w:r>
          </w:p>
        </w:tc>
        <w:tc>
          <w:tcPr>
            <w:tcW w:w="3192" w:type="dxa"/>
            <w:tcBorders>
              <w:top w:val="single" w:sz="4" w:space="0" w:color="auto"/>
              <w:left w:val="single" w:sz="4" w:space="0" w:color="auto"/>
              <w:bottom w:val="single" w:sz="4" w:space="0" w:color="auto"/>
              <w:right w:val="single" w:sz="4" w:space="0" w:color="auto"/>
            </w:tcBorders>
            <w:hideMark/>
          </w:tcPr>
          <w:p w14:paraId="7D1B50F3" w14:textId="1B27F8A3" w:rsidR="00B41136" w:rsidRPr="00834149" w:rsidRDefault="000210E8" w:rsidP="00834149">
            <w:pPr>
              <w:rPr>
                <w:rFonts w:cs="Times New Roman"/>
              </w:rPr>
            </w:pPr>
            <w:r w:rsidRPr="00834149">
              <w:rPr>
                <w:rFonts w:cs="Times New Roman"/>
              </w:rPr>
              <w:t>I</w:t>
            </w:r>
            <w:r w:rsidR="00B41136" w:rsidRPr="00834149">
              <w:rPr>
                <w:rFonts w:cs="Times New Roman"/>
              </w:rPr>
              <w:t>mproved value for money in public expenditures</w:t>
            </w:r>
          </w:p>
        </w:tc>
        <w:tc>
          <w:tcPr>
            <w:tcW w:w="3192" w:type="dxa"/>
            <w:tcBorders>
              <w:top w:val="single" w:sz="4" w:space="0" w:color="auto"/>
              <w:left w:val="single" w:sz="4" w:space="0" w:color="auto"/>
              <w:bottom w:val="single" w:sz="4" w:space="0" w:color="auto"/>
              <w:right w:val="single" w:sz="4" w:space="0" w:color="auto"/>
            </w:tcBorders>
            <w:hideMark/>
          </w:tcPr>
          <w:p w14:paraId="6789E442" w14:textId="677A3AB6" w:rsidR="00B41136" w:rsidRPr="00834149" w:rsidRDefault="00B41136" w:rsidP="00834149">
            <w:pPr>
              <w:rPr>
                <w:rFonts w:cs="Times New Roman"/>
              </w:rPr>
            </w:pPr>
            <w:r w:rsidRPr="00834149">
              <w:rPr>
                <w:rFonts w:cs="Times New Roman"/>
              </w:rPr>
              <w:t>Strengthen institutions and citizen engagement</w:t>
            </w:r>
            <w:r w:rsidR="00033F4B" w:rsidRPr="00834149">
              <w:rPr>
                <w:rFonts w:cs="Times New Roman"/>
              </w:rPr>
              <w:t xml:space="preserve"> across the CPF program</w:t>
            </w:r>
          </w:p>
        </w:tc>
      </w:tr>
      <w:tr w:rsidR="00B41136" w:rsidRPr="003D216B" w14:paraId="5DE87D56" w14:textId="77777777" w:rsidTr="007D53EE">
        <w:trPr>
          <w:trHeight w:val="854"/>
        </w:trPr>
        <w:tc>
          <w:tcPr>
            <w:tcW w:w="10098" w:type="dxa"/>
            <w:gridSpan w:val="3"/>
            <w:tcBorders>
              <w:top w:val="single" w:sz="4" w:space="0" w:color="auto"/>
              <w:left w:val="single" w:sz="4" w:space="0" w:color="auto"/>
              <w:bottom w:val="single" w:sz="4" w:space="0" w:color="auto"/>
              <w:right w:val="single" w:sz="4" w:space="0" w:color="auto"/>
            </w:tcBorders>
            <w:shd w:val="clear" w:color="auto" w:fill="EBF2F1" w:themeFill="accent2" w:themeFillTint="33"/>
            <w:hideMark/>
          </w:tcPr>
          <w:p w14:paraId="41F048D6" w14:textId="168F5463" w:rsidR="001B727A" w:rsidRPr="00834149" w:rsidRDefault="00B41136" w:rsidP="003D216B">
            <w:pPr>
              <w:jc w:val="center"/>
              <w:rPr>
                <w:rFonts w:cs="Times New Roman"/>
                <w:b/>
              </w:rPr>
            </w:pPr>
            <w:r w:rsidRPr="00834149">
              <w:rPr>
                <w:rFonts w:cs="Times New Roman"/>
                <w:b/>
              </w:rPr>
              <w:t xml:space="preserve">CPF Focus Area 1: </w:t>
            </w:r>
            <w:r w:rsidR="003D216B">
              <w:rPr>
                <w:rFonts w:cs="Times New Roman"/>
                <w:b/>
              </w:rPr>
              <w:t>Private Sector Performance</w:t>
            </w:r>
            <w:r w:rsidR="00854D97" w:rsidRPr="00834149">
              <w:rPr>
                <w:rFonts w:cs="Times New Roman"/>
                <w:b/>
              </w:rPr>
              <w:t xml:space="preserve"> and Job Creation</w:t>
            </w:r>
          </w:p>
          <w:p w14:paraId="1554BBD8" w14:textId="3AA9E8A0" w:rsidR="001B727A" w:rsidRPr="00834149" w:rsidRDefault="001B727A" w:rsidP="003D216B">
            <w:pPr>
              <w:jc w:val="center"/>
              <w:rPr>
                <w:rFonts w:cs="Times New Roman"/>
              </w:rPr>
            </w:pPr>
            <w:r w:rsidRPr="00834149">
              <w:rPr>
                <w:rFonts w:cs="Times New Roman"/>
              </w:rPr>
              <w:t xml:space="preserve">Togo PND Pillar 2: </w:t>
            </w:r>
            <w:r w:rsidR="00B816AB" w:rsidRPr="00834149">
              <w:rPr>
                <w:rFonts w:cs="Times New Roman"/>
              </w:rPr>
              <w:t>Boost the productivity and competitiveness of growth sectors</w:t>
            </w:r>
          </w:p>
          <w:p w14:paraId="08AFDE1C" w14:textId="69A8D108" w:rsidR="001B727A" w:rsidRPr="00834149" w:rsidRDefault="00C84D96" w:rsidP="003D216B">
            <w:pPr>
              <w:jc w:val="center"/>
              <w:rPr>
                <w:rFonts w:cs="Times New Roman"/>
                <w:b/>
              </w:rPr>
            </w:pPr>
            <w:r w:rsidRPr="00834149">
              <w:rPr>
                <w:rFonts w:cs="Times New Roman"/>
              </w:rPr>
              <w:t xml:space="preserve">Togo </w:t>
            </w:r>
            <w:r w:rsidR="001B727A" w:rsidRPr="00834149">
              <w:rPr>
                <w:rFonts w:cs="Times New Roman"/>
              </w:rPr>
              <w:t xml:space="preserve">PND Pillar 3: </w:t>
            </w:r>
            <w:r w:rsidR="00B816AB" w:rsidRPr="00834149">
              <w:rPr>
                <w:rFonts w:cs="Times New Roman"/>
              </w:rPr>
              <w:t>Strengthen infrastructure to support growth</w:t>
            </w:r>
          </w:p>
        </w:tc>
      </w:tr>
      <w:tr w:rsidR="0067166D" w:rsidRPr="003D216B" w14:paraId="72D3BBBF" w14:textId="77777777" w:rsidTr="007D53EE">
        <w:trPr>
          <w:trHeight w:val="2843"/>
        </w:trPr>
        <w:tc>
          <w:tcPr>
            <w:tcW w:w="3714" w:type="dxa"/>
            <w:tcBorders>
              <w:top w:val="single" w:sz="4" w:space="0" w:color="auto"/>
              <w:left w:val="single" w:sz="4" w:space="0" w:color="auto"/>
              <w:bottom w:val="single" w:sz="4" w:space="0" w:color="auto"/>
              <w:right w:val="single" w:sz="4" w:space="0" w:color="auto"/>
            </w:tcBorders>
            <w:hideMark/>
          </w:tcPr>
          <w:p w14:paraId="3B1D29AE" w14:textId="48EE71EB" w:rsidR="00B41136" w:rsidRPr="00834149" w:rsidRDefault="00B41136" w:rsidP="00834149">
            <w:pPr>
              <w:pStyle w:val="ListParagraph"/>
              <w:numPr>
                <w:ilvl w:val="0"/>
                <w:numId w:val="13"/>
              </w:numPr>
              <w:ind w:left="229" w:hanging="221"/>
              <w:rPr>
                <w:rFonts w:cs="Times New Roman"/>
                <w:b/>
              </w:rPr>
            </w:pPr>
            <w:r w:rsidRPr="00834149">
              <w:rPr>
                <w:rFonts w:cs="Times New Roman"/>
                <w:b/>
              </w:rPr>
              <w:t>Barriers to entry and binding distortions to private activities (agricultural and non-agricultural)</w:t>
            </w:r>
          </w:p>
          <w:p w14:paraId="68D4BF17" w14:textId="79E24DAA" w:rsidR="00B41136" w:rsidRPr="00834149" w:rsidRDefault="00B41136" w:rsidP="00834149">
            <w:pPr>
              <w:pStyle w:val="ListParagraph"/>
              <w:numPr>
                <w:ilvl w:val="0"/>
                <w:numId w:val="13"/>
              </w:numPr>
              <w:ind w:left="229" w:hanging="221"/>
              <w:rPr>
                <w:rFonts w:cs="Times New Roman"/>
                <w:b/>
              </w:rPr>
            </w:pPr>
            <w:r w:rsidRPr="00834149">
              <w:rPr>
                <w:rFonts w:cs="Times New Roman"/>
                <w:b/>
              </w:rPr>
              <w:t>High and distortionary taxes</w:t>
            </w:r>
          </w:p>
          <w:p w14:paraId="44B3CF1D" w14:textId="23A87A30" w:rsidR="00B41136" w:rsidRPr="00834149" w:rsidRDefault="00B41136" w:rsidP="00834149">
            <w:pPr>
              <w:pStyle w:val="ListParagraph"/>
              <w:numPr>
                <w:ilvl w:val="0"/>
                <w:numId w:val="13"/>
              </w:numPr>
              <w:ind w:left="229" w:hanging="221"/>
              <w:rPr>
                <w:rFonts w:cs="Times New Roman"/>
              </w:rPr>
            </w:pPr>
            <w:r w:rsidRPr="00834149">
              <w:rPr>
                <w:rFonts w:cs="Times New Roman"/>
              </w:rPr>
              <w:t xml:space="preserve">High cost of electricity for productive uses </w:t>
            </w:r>
          </w:p>
          <w:p w14:paraId="411D6BBE" w14:textId="5C89AC81" w:rsidR="00B41136" w:rsidRPr="00834149" w:rsidRDefault="00B41136" w:rsidP="00834149">
            <w:pPr>
              <w:pStyle w:val="ListParagraph"/>
              <w:numPr>
                <w:ilvl w:val="0"/>
                <w:numId w:val="13"/>
              </w:numPr>
              <w:ind w:left="229" w:hanging="221"/>
              <w:rPr>
                <w:rFonts w:cs="Times New Roman"/>
              </w:rPr>
            </w:pPr>
            <w:r w:rsidRPr="00834149">
              <w:rPr>
                <w:rFonts w:cs="Times New Roman"/>
              </w:rPr>
              <w:t xml:space="preserve">Unreliable internet and costly telecommunications </w:t>
            </w:r>
          </w:p>
          <w:p w14:paraId="296F64FF" w14:textId="77777777" w:rsidR="00B41136" w:rsidRPr="00834149" w:rsidRDefault="00B41136" w:rsidP="00834149">
            <w:pPr>
              <w:pStyle w:val="ListParagraph"/>
              <w:numPr>
                <w:ilvl w:val="0"/>
                <w:numId w:val="13"/>
              </w:numPr>
              <w:ind w:left="229" w:hanging="221"/>
              <w:rPr>
                <w:rFonts w:cs="Times New Roman"/>
              </w:rPr>
            </w:pPr>
            <w:r w:rsidRPr="00834149">
              <w:rPr>
                <w:rFonts w:cs="Times New Roman"/>
              </w:rPr>
              <w:t>Lack of local infrastructure</w:t>
            </w:r>
          </w:p>
          <w:p w14:paraId="20BB3A8E" w14:textId="1C4ACECD" w:rsidR="003D060F" w:rsidRPr="00834149" w:rsidRDefault="003D060F" w:rsidP="00834149">
            <w:pPr>
              <w:pStyle w:val="ListParagraph"/>
              <w:numPr>
                <w:ilvl w:val="0"/>
                <w:numId w:val="13"/>
              </w:numPr>
              <w:ind w:left="229" w:hanging="221"/>
              <w:rPr>
                <w:rFonts w:cs="Times New Roman"/>
              </w:rPr>
            </w:pPr>
            <w:r w:rsidRPr="00834149">
              <w:rPr>
                <w:rFonts w:cs="Times New Roman"/>
              </w:rPr>
              <w:t xml:space="preserve">Weak Fiscal Governance </w:t>
            </w:r>
          </w:p>
        </w:tc>
        <w:tc>
          <w:tcPr>
            <w:tcW w:w="3192" w:type="dxa"/>
            <w:tcBorders>
              <w:top w:val="single" w:sz="4" w:space="0" w:color="auto"/>
              <w:left w:val="single" w:sz="4" w:space="0" w:color="auto"/>
              <w:bottom w:val="single" w:sz="4" w:space="0" w:color="auto"/>
              <w:right w:val="single" w:sz="4" w:space="0" w:color="auto"/>
            </w:tcBorders>
            <w:hideMark/>
          </w:tcPr>
          <w:p w14:paraId="63732844" w14:textId="331155FD" w:rsidR="000210E8" w:rsidRPr="00834149" w:rsidRDefault="00CC3BCC" w:rsidP="00834149">
            <w:pPr>
              <w:rPr>
                <w:rFonts w:cs="Times New Roman"/>
              </w:rPr>
            </w:pPr>
            <w:r w:rsidRPr="00834149">
              <w:rPr>
                <w:rFonts w:cs="Times New Roman"/>
              </w:rPr>
              <w:t>1. Reduced fiscal risks</w:t>
            </w:r>
          </w:p>
          <w:p w14:paraId="49C22DF4" w14:textId="53DCB66F" w:rsidR="00B41136" w:rsidRPr="00834149" w:rsidRDefault="00B41136" w:rsidP="00834149">
            <w:pPr>
              <w:rPr>
                <w:rFonts w:cs="Times New Roman"/>
              </w:rPr>
            </w:pPr>
            <w:r w:rsidRPr="00834149">
              <w:rPr>
                <w:rFonts w:cs="Times New Roman"/>
              </w:rPr>
              <w:t>2. Growth in increasingly formal and productive off-farm businesses for more remunerative employment</w:t>
            </w:r>
          </w:p>
          <w:p w14:paraId="3969D7B6" w14:textId="77777777" w:rsidR="00B41136" w:rsidRPr="00834149" w:rsidRDefault="00B41136" w:rsidP="00834149">
            <w:pPr>
              <w:rPr>
                <w:rFonts w:cs="Times New Roman"/>
              </w:rPr>
            </w:pPr>
            <w:r w:rsidRPr="00834149">
              <w:rPr>
                <w:rFonts w:cs="Times New Roman"/>
              </w:rPr>
              <w:t>3. Transformation of agriculture toward more productive, higher-value, and sustainable smallholder and commercial production</w:t>
            </w:r>
          </w:p>
        </w:tc>
        <w:tc>
          <w:tcPr>
            <w:tcW w:w="3192" w:type="dxa"/>
            <w:tcBorders>
              <w:top w:val="single" w:sz="4" w:space="0" w:color="auto"/>
              <w:left w:val="single" w:sz="4" w:space="0" w:color="auto"/>
              <w:bottom w:val="single" w:sz="4" w:space="0" w:color="auto"/>
              <w:right w:val="single" w:sz="4" w:space="0" w:color="auto"/>
            </w:tcBorders>
            <w:hideMark/>
          </w:tcPr>
          <w:p w14:paraId="79098FEC" w14:textId="44241638" w:rsidR="003D060F" w:rsidRPr="00834149" w:rsidRDefault="003D060F" w:rsidP="00834149">
            <w:pPr>
              <w:rPr>
                <w:rFonts w:cs="Times New Roman"/>
              </w:rPr>
            </w:pPr>
            <w:r w:rsidRPr="00834149">
              <w:rPr>
                <w:rFonts w:cs="Times New Roman"/>
              </w:rPr>
              <w:t xml:space="preserve">1. Strengthen </w:t>
            </w:r>
            <w:r w:rsidR="00FD4018" w:rsidRPr="00834149">
              <w:rPr>
                <w:rFonts w:cs="Times New Roman"/>
              </w:rPr>
              <w:t>fiscal policy and debt management</w:t>
            </w:r>
          </w:p>
          <w:p w14:paraId="2C853470" w14:textId="13A50B6C" w:rsidR="00B41136" w:rsidRPr="00834149" w:rsidRDefault="003D060F" w:rsidP="00834149">
            <w:pPr>
              <w:rPr>
                <w:rFonts w:cs="Times New Roman"/>
              </w:rPr>
            </w:pPr>
            <w:r w:rsidRPr="00834149">
              <w:rPr>
                <w:rFonts w:cs="Times New Roman"/>
              </w:rPr>
              <w:t>2</w:t>
            </w:r>
            <w:r w:rsidR="00B41136" w:rsidRPr="00834149">
              <w:rPr>
                <w:rFonts w:cs="Times New Roman"/>
              </w:rPr>
              <w:t xml:space="preserve">. </w:t>
            </w:r>
            <w:r w:rsidR="003D216B">
              <w:rPr>
                <w:rFonts w:cs="Times New Roman"/>
              </w:rPr>
              <w:t>Improve</w:t>
            </w:r>
            <w:r w:rsidR="003D216B" w:rsidRPr="00834149">
              <w:rPr>
                <w:rFonts w:cs="Times New Roman"/>
              </w:rPr>
              <w:t xml:space="preserve"> </w:t>
            </w:r>
            <w:r w:rsidR="00FD4018" w:rsidRPr="00834149">
              <w:rPr>
                <w:rFonts w:cs="Times New Roman"/>
              </w:rPr>
              <w:t>business environment and employment opportunities</w:t>
            </w:r>
          </w:p>
          <w:p w14:paraId="0D3985EE" w14:textId="42B20D48" w:rsidR="00B41136" w:rsidRPr="00834149" w:rsidRDefault="003D060F" w:rsidP="00834149">
            <w:pPr>
              <w:rPr>
                <w:rFonts w:cs="Times New Roman"/>
              </w:rPr>
            </w:pPr>
            <w:r w:rsidRPr="00834149">
              <w:rPr>
                <w:rFonts w:cs="Times New Roman"/>
              </w:rPr>
              <w:t>3</w:t>
            </w:r>
            <w:r w:rsidR="00FD4018" w:rsidRPr="00834149">
              <w:rPr>
                <w:rFonts w:cs="Times New Roman"/>
              </w:rPr>
              <w:t>. Strengthen energy, ICT and logistics services</w:t>
            </w:r>
          </w:p>
        </w:tc>
      </w:tr>
      <w:tr w:rsidR="00B41136" w:rsidRPr="003D216B" w14:paraId="2448D2B1" w14:textId="77777777" w:rsidTr="00B41136">
        <w:tc>
          <w:tcPr>
            <w:tcW w:w="10098" w:type="dxa"/>
            <w:gridSpan w:val="3"/>
            <w:tcBorders>
              <w:top w:val="single" w:sz="4" w:space="0" w:color="auto"/>
              <w:left w:val="single" w:sz="4" w:space="0" w:color="auto"/>
              <w:bottom w:val="single" w:sz="4" w:space="0" w:color="auto"/>
              <w:right w:val="single" w:sz="4" w:space="0" w:color="auto"/>
            </w:tcBorders>
            <w:shd w:val="clear" w:color="auto" w:fill="EBF2F1" w:themeFill="accent2" w:themeFillTint="33"/>
            <w:hideMark/>
          </w:tcPr>
          <w:p w14:paraId="063D6849" w14:textId="383A5C8D" w:rsidR="00B41136" w:rsidRPr="00834149" w:rsidRDefault="00B41136" w:rsidP="003D216B">
            <w:pPr>
              <w:jc w:val="center"/>
              <w:rPr>
                <w:rFonts w:cs="Times New Roman"/>
                <w:b/>
              </w:rPr>
            </w:pPr>
            <w:r w:rsidRPr="00834149">
              <w:rPr>
                <w:rFonts w:cs="Times New Roman"/>
                <w:b/>
              </w:rPr>
              <w:t xml:space="preserve">CPF Focus Area 2: </w:t>
            </w:r>
            <w:r w:rsidR="003D216B">
              <w:rPr>
                <w:rFonts w:cs="Times New Roman"/>
                <w:b/>
              </w:rPr>
              <w:t xml:space="preserve">Inclusive </w:t>
            </w:r>
            <w:r w:rsidR="000005E0" w:rsidRPr="00834149">
              <w:rPr>
                <w:rFonts w:cs="Times New Roman"/>
                <w:b/>
              </w:rPr>
              <w:t>Public Service Delivery</w:t>
            </w:r>
          </w:p>
          <w:p w14:paraId="7D7AEFFE" w14:textId="77777777" w:rsidR="001B727A" w:rsidRPr="00834149" w:rsidRDefault="001B727A" w:rsidP="003D216B">
            <w:pPr>
              <w:ind w:left="-41"/>
              <w:jc w:val="center"/>
              <w:rPr>
                <w:rFonts w:cs="Times New Roman"/>
              </w:rPr>
            </w:pPr>
            <w:r w:rsidRPr="00834149">
              <w:rPr>
                <w:rFonts w:cs="Times New Roman"/>
              </w:rPr>
              <w:t xml:space="preserve">Togo PND Pillar 1: </w:t>
            </w:r>
            <w:r w:rsidR="00B816AB" w:rsidRPr="00834149">
              <w:rPr>
                <w:rFonts w:cs="Times New Roman"/>
              </w:rPr>
              <w:t>Improve living conditions by providing universal access to</w:t>
            </w:r>
          </w:p>
          <w:p w14:paraId="3FD688BF" w14:textId="24642AAF" w:rsidR="001B727A" w:rsidRPr="00834149" w:rsidRDefault="00B816AB" w:rsidP="003D216B">
            <w:pPr>
              <w:jc w:val="center"/>
              <w:rPr>
                <w:rFonts w:cs="Times New Roman"/>
              </w:rPr>
            </w:pPr>
            <w:r w:rsidRPr="00834149">
              <w:rPr>
                <w:rFonts w:cs="Times New Roman"/>
              </w:rPr>
              <w:t>quality social services</w:t>
            </w:r>
          </w:p>
        </w:tc>
      </w:tr>
      <w:tr w:rsidR="0067166D" w:rsidRPr="003D216B" w14:paraId="6C285BD9" w14:textId="77777777" w:rsidTr="007D53EE">
        <w:trPr>
          <w:trHeight w:val="1961"/>
        </w:trPr>
        <w:tc>
          <w:tcPr>
            <w:tcW w:w="3714" w:type="dxa"/>
            <w:tcBorders>
              <w:top w:val="single" w:sz="4" w:space="0" w:color="auto"/>
              <w:left w:val="single" w:sz="4" w:space="0" w:color="auto"/>
              <w:bottom w:val="single" w:sz="4" w:space="0" w:color="auto"/>
              <w:right w:val="single" w:sz="4" w:space="0" w:color="auto"/>
            </w:tcBorders>
            <w:hideMark/>
          </w:tcPr>
          <w:p w14:paraId="5E8C14D4" w14:textId="062530C1" w:rsidR="00B41136" w:rsidRPr="00834149" w:rsidRDefault="00B41136" w:rsidP="00834149">
            <w:pPr>
              <w:pStyle w:val="ListParagraph"/>
              <w:numPr>
                <w:ilvl w:val="0"/>
                <w:numId w:val="14"/>
              </w:numPr>
              <w:ind w:left="229" w:hanging="180"/>
              <w:rPr>
                <w:rFonts w:cs="Times New Roman"/>
                <w:b/>
              </w:rPr>
            </w:pPr>
            <w:r w:rsidRPr="00834149">
              <w:rPr>
                <w:rFonts w:cs="Times New Roman"/>
                <w:b/>
              </w:rPr>
              <w:t>Low accessibility and quality of health- related services and disease prevention</w:t>
            </w:r>
          </w:p>
          <w:p w14:paraId="094DA51D" w14:textId="77777777" w:rsidR="00D732A5" w:rsidRPr="00834149" w:rsidRDefault="00D732A5" w:rsidP="00834149">
            <w:pPr>
              <w:pStyle w:val="ListParagraph"/>
              <w:numPr>
                <w:ilvl w:val="0"/>
                <w:numId w:val="14"/>
              </w:numPr>
              <w:ind w:left="229" w:hanging="180"/>
              <w:rPr>
                <w:rFonts w:cs="Times New Roman"/>
              </w:rPr>
            </w:pPr>
            <w:r w:rsidRPr="00834149">
              <w:rPr>
                <w:rFonts w:cs="Times New Roman"/>
              </w:rPr>
              <w:t>Gender discrimination</w:t>
            </w:r>
          </w:p>
          <w:p w14:paraId="54596FDC" w14:textId="77777777" w:rsidR="00D732A5" w:rsidRPr="00834149" w:rsidRDefault="00D732A5" w:rsidP="00834149">
            <w:pPr>
              <w:pStyle w:val="ListParagraph"/>
              <w:numPr>
                <w:ilvl w:val="0"/>
                <w:numId w:val="14"/>
              </w:numPr>
              <w:ind w:left="229" w:hanging="180"/>
              <w:rPr>
                <w:rFonts w:cs="Times New Roman"/>
              </w:rPr>
            </w:pPr>
            <w:r w:rsidRPr="00834149">
              <w:rPr>
                <w:rFonts w:cs="Times New Roman"/>
              </w:rPr>
              <w:t>Poor quality of education in poor and rural areas</w:t>
            </w:r>
          </w:p>
          <w:p w14:paraId="18C798D6" w14:textId="5BCC09D1" w:rsidR="00D732A5" w:rsidRPr="00834149" w:rsidRDefault="00D732A5" w:rsidP="00834149">
            <w:pPr>
              <w:pStyle w:val="ListParagraph"/>
              <w:numPr>
                <w:ilvl w:val="0"/>
                <w:numId w:val="14"/>
              </w:numPr>
              <w:ind w:left="229" w:hanging="180"/>
              <w:rPr>
                <w:rFonts w:cs="Times New Roman"/>
              </w:rPr>
            </w:pPr>
            <w:r w:rsidRPr="00834149">
              <w:rPr>
                <w:rFonts w:cs="Times New Roman"/>
              </w:rPr>
              <w:t>Poor urban water services</w:t>
            </w:r>
          </w:p>
        </w:tc>
        <w:tc>
          <w:tcPr>
            <w:tcW w:w="3192" w:type="dxa"/>
            <w:tcBorders>
              <w:top w:val="single" w:sz="4" w:space="0" w:color="auto"/>
              <w:left w:val="single" w:sz="4" w:space="0" w:color="auto"/>
              <w:bottom w:val="single" w:sz="4" w:space="0" w:color="auto"/>
              <w:right w:val="single" w:sz="4" w:space="0" w:color="auto"/>
            </w:tcBorders>
            <w:hideMark/>
          </w:tcPr>
          <w:p w14:paraId="3C3EF6A0" w14:textId="77777777" w:rsidR="00B41136" w:rsidRPr="00834149" w:rsidRDefault="00B41136" w:rsidP="00834149">
            <w:pPr>
              <w:rPr>
                <w:rFonts w:cs="Times New Roman"/>
              </w:rPr>
            </w:pPr>
            <w:r w:rsidRPr="00834149">
              <w:rPr>
                <w:rFonts w:cs="Times New Roman"/>
              </w:rPr>
              <w:t>4. Improved health status of the population, especially poor and vulnerable people</w:t>
            </w:r>
          </w:p>
        </w:tc>
        <w:tc>
          <w:tcPr>
            <w:tcW w:w="3192" w:type="dxa"/>
            <w:tcBorders>
              <w:top w:val="single" w:sz="4" w:space="0" w:color="auto"/>
              <w:left w:val="single" w:sz="4" w:space="0" w:color="auto"/>
              <w:bottom w:val="single" w:sz="4" w:space="0" w:color="auto"/>
              <w:right w:val="single" w:sz="4" w:space="0" w:color="auto"/>
            </w:tcBorders>
            <w:hideMark/>
          </w:tcPr>
          <w:p w14:paraId="550929CB" w14:textId="77777777" w:rsidR="0067166D" w:rsidRPr="00834149" w:rsidRDefault="00B41136" w:rsidP="00834149">
            <w:pPr>
              <w:rPr>
                <w:rFonts w:cs="Times New Roman"/>
              </w:rPr>
            </w:pPr>
            <w:r w:rsidRPr="00834149">
              <w:rPr>
                <w:rFonts w:cs="Times New Roman"/>
              </w:rPr>
              <w:t xml:space="preserve">1. Strengthen </w:t>
            </w:r>
            <w:r w:rsidR="0067166D" w:rsidRPr="00834149">
              <w:rPr>
                <w:rFonts w:cs="Times New Roman"/>
              </w:rPr>
              <w:t>health services</w:t>
            </w:r>
          </w:p>
          <w:p w14:paraId="56882A65" w14:textId="7F7FB241" w:rsidR="00B41136" w:rsidRPr="00834149" w:rsidRDefault="0067166D" w:rsidP="00834149">
            <w:pPr>
              <w:rPr>
                <w:rFonts w:cs="Times New Roman"/>
              </w:rPr>
            </w:pPr>
            <w:r w:rsidRPr="00834149">
              <w:rPr>
                <w:rFonts w:cs="Times New Roman"/>
              </w:rPr>
              <w:t xml:space="preserve">2. Strengthen </w:t>
            </w:r>
            <w:r w:rsidR="00A434BD" w:rsidRPr="00834149">
              <w:rPr>
                <w:rFonts w:cs="Times New Roman"/>
              </w:rPr>
              <w:t xml:space="preserve">basic </w:t>
            </w:r>
            <w:r w:rsidR="00B41136" w:rsidRPr="00834149">
              <w:rPr>
                <w:rFonts w:cs="Times New Roman"/>
              </w:rPr>
              <w:t>services</w:t>
            </w:r>
            <w:r w:rsidR="00A434BD" w:rsidRPr="00834149">
              <w:rPr>
                <w:rFonts w:cs="Times New Roman"/>
              </w:rPr>
              <w:t xml:space="preserve"> at the local level</w:t>
            </w:r>
          </w:p>
          <w:p w14:paraId="40CF4F77" w14:textId="333B0545" w:rsidR="00B41136" w:rsidRPr="00834149" w:rsidRDefault="00A434BD" w:rsidP="00834149">
            <w:pPr>
              <w:rPr>
                <w:rFonts w:cs="Times New Roman"/>
              </w:rPr>
            </w:pPr>
            <w:r w:rsidRPr="00834149">
              <w:rPr>
                <w:rFonts w:cs="Times New Roman"/>
              </w:rPr>
              <w:t>3</w:t>
            </w:r>
            <w:r w:rsidR="00B41136" w:rsidRPr="00834149">
              <w:rPr>
                <w:rFonts w:cs="Times New Roman"/>
              </w:rPr>
              <w:t xml:space="preserve">. Strengthen </w:t>
            </w:r>
            <w:r w:rsidR="003D216B">
              <w:rPr>
                <w:rFonts w:cs="Times New Roman"/>
              </w:rPr>
              <w:t xml:space="preserve">social </w:t>
            </w:r>
            <w:r w:rsidR="00B41136" w:rsidRPr="00834149">
              <w:rPr>
                <w:rFonts w:cs="Times New Roman"/>
              </w:rPr>
              <w:t>safety nets</w:t>
            </w:r>
            <w:r w:rsidR="003D216B">
              <w:rPr>
                <w:rFonts w:cs="Times New Roman"/>
              </w:rPr>
              <w:t xml:space="preserve"> for the most vulnerable</w:t>
            </w:r>
          </w:p>
        </w:tc>
      </w:tr>
      <w:tr w:rsidR="00B41136" w:rsidRPr="003D216B" w14:paraId="568A8228" w14:textId="77777777" w:rsidTr="00B41136">
        <w:tc>
          <w:tcPr>
            <w:tcW w:w="10098" w:type="dxa"/>
            <w:gridSpan w:val="3"/>
            <w:tcBorders>
              <w:top w:val="single" w:sz="4" w:space="0" w:color="auto"/>
              <w:left w:val="single" w:sz="4" w:space="0" w:color="auto"/>
              <w:bottom w:val="single" w:sz="4" w:space="0" w:color="auto"/>
              <w:right w:val="single" w:sz="4" w:space="0" w:color="auto"/>
            </w:tcBorders>
            <w:shd w:val="clear" w:color="auto" w:fill="EBF2F1" w:themeFill="accent2" w:themeFillTint="33"/>
            <w:hideMark/>
          </w:tcPr>
          <w:p w14:paraId="03798F95" w14:textId="5B954076" w:rsidR="00B41136" w:rsidRPr="00834149" w:rsidRDefault="00B41136" w:rsidP="003D216B">
            <w:pPr>
              <w:jc w:val="center"/>
              <w:rPr>
                <w:rFonts w:cs="Times New Roman"/>
                <w:b/>
              </w:rPr>
            </w:pPr>
            <w:r w:rsidRPr="00834149">
              <w:rPr>
                <w:rFonts w:cs="Times New Roman"/>
                <w:b/>
              </w:rPr>
              <w:t>CPF Focus Area 3: Environmental Sustainability and Resilience</w:t>
            </w:r>
          </w:p>
          <w:p w14:paraId="5C66E6A8" w14:textId="046E466F" w:rsidR="001B727A" w:rsidRPr="00834149" w:rsidRDefault="001B727A" w:rsidP="003D216B">
            <w:pPr>
              <w:jc w:val="center"/>
              <w:rPr>
                <w:rFonts w:cs="Times New Roman"/>
              </w:rPr>
            </w:pPr>
            <w:r w:rsidRPr="00834149">
              <w:rPr>
                <w:rFonts w:cs="Times New Roman"/>
              </w:rPr>
              <w:t xml:space="preserve">Togo PND Pillar 4: </w:t>
            </w:r>
            <w:r w:rsidR="00B816AB" w:rsidRPr="00834149">
              <w:rPr>
                <w:rFonts w:cs="Times New Roman"/>
              </w:rPr>
              <w:t>Promote sustainable management of the territory, the environment and</w:t>
            </w:r>
          </w:p>
          <w:p w14:paraId="635888F1" w14:textId="31C63379" w:rsidR="001B727A" w:rsidRPr="00834149" w:rsidRDefault="00B816AB" w:rsidP="003D216B">
            <w:pPr>
              <w:jc w:val="center"/>
              <w:rPr>
                <w:rFonts w:cs="Times New Roman"/>
                <w:b/>
              </w:rPr>
            </w:pPr>
            <w:r w:rsidRPr="00834149">
              <w:rPr>
                <w:rFonts w:cs="Times New Roman"/>
              </w:rPr>
              <w:t>living standards</w:t>
            </w:r>
          </w:p>
        </w:tc>
      </w:tr>
      <w:tr w:rsidR="0067166D" w:rsidRPr="003D216B" w14:paraId="0CD4F940" w14:textId="77777777" w:rsidTr="0030411E">
        <w:trPr>
          <w:trHeight w:val="1178"/>
        </w:trPr>
        <w:tc>
          <w:tcPr>
            <w:tcW w:w="3714" w:type="dxa"/>
            <w:tcBorders>
              <w:top w:val="single" w:sz="4" w:space="0" w:color="auto"/>
              <w:left w:val="single" w:sz="4" w:space="0" w:color="auto"/>
              <w:bottom w:val="single" w:sz="4" w:space="0" w:color="auto"/>
              <w:right w:val="single" w:sz="4" w:space="0" w:color="auto"/>
            </w:tcBorders>
            <w:hideMark/>
          </w:tcPr>
          <w:p w14:paraId="1AB014FF" w14:textId="70A94344" w:rsidR="00B41136" w:rsidRPr="00834149" w:rsidRDefault="00B41136" w:rsidP="00834149">
            <w:pPr>
              <w:pStyle w:val="ListParagraph"/>
              <w:numPr>
                <w:ilvl w:val="0"/>
                <w:numId w:val="14"/>
              </w:numPr>
              <w:ind w:left="229" w:hanging="180"/>
              <w:rPr>
                <w:rFonts w:cs="Times New Roman"/>
              </w:rPr>
            </w:pPr>
            <w:r w:rsidRPr="00834149">
              <w:rPr>
                <w:rFonts w:cs="Times New Roman"/>
              </w:rPr>
              <w:t>Environmental Degradation and Climate Change – risks to sustainability</w:t>
            </w:r>
          </w:p>
        </w:tc>
        <w:tc>
          <w:tcPr>
            <w:tcW w:w="3192" w:type="dxa"/>
            <w:tcBorders>
              <w:top w:val="single" w:sz="4" w:space="0" w:color="auto"/>
              <w:left w:val="single" w:sz="4" w:space="0" w:color="auto"/>
              <w:bottom w:val="single" w:sz="4" w:space="0" w:color="auto"/>
              <w:right w:val="single" w:sz="4" w:space="0" w:color="auto"/>
            </w:tcBorders>
            <w:hideMark/>
          </w:tcPr>
          <w:p w14:paraId="702233A8" w14:textId="79727204" w:rsidR="00B41136" w:rsidRPr="00834149" w:rsidRDefault="003866A1" w:rsidP="00834149">
            <w:pPr>
              <w:rPr>
                <w:rFonts w:cs="Times New Roman"/>
                <w:i/>
              </w:rPr>
            </w:pPr>
            <w:r w:rsidRPr="00834149">
              <w:rPr>
                <w:rFonts w:cs="Times New Roman"/>
                <w:i/>
              </w:rPr>
              <w:t>National</w:t>
            </w:r>
            <w:r w:rsidR="00B41136" w:rsidRPr="00834149">
              <w:rPr>
                <w:rFonts w:cs="Times New Roman"/>
                <w:i/>
              </w:rPr>
              <w:t xml:space="preserve"> priority</w:t>
            </w:r>
            <w:r w:rsidR="00474392" w:rsidRPr="00834149">
              <w:rPr>
                <w:rFonts w:cs="Times New Roman"/>
                <w:i/>
              </w:rPr>
              <w:t>,</w:t>
            </w:r>
            <w:r w:rsidR="005E5AC2" w:rsidRPr="00834149">
              <w:rPr>
                <w:rFonts w:cs="Times New Roman"/>
                <w:i/>
              </w:rPr>
              <w:t xml:space="preserve"> </w:t>
            </w:r>
            <w:r w:rsidR="006A6B5F" w:rsidRPr="00834149">
              <w:rPr>
                <w:rFonts w:cs="Times New Roman"/>
                <w:i/>
              </w:rPr>
              <w:t xml:space="preserve">World </w:t>
            </w:r>
            <w:r w:rsidR="005E5AC2" w:rsidRPr="00834149">
              <w:rPr>
                <w:rFonts w:cs="Times New Roman"/>
                <w:i/>
              </w:rPr>
              <w:t>Bank commitment – COP 21 and Africa Climate Business Plan</w:t>
            </w:r>
          </w:p>
        </w:tc>
        <w:tc>
          <w:tcPr>
            <w:tcW w:w="3192" w:type="dxa"/>
            <w:tcBorders>
              <w:top w:val="single" w:sz="4" w:space="0" w:color="auto"/>
              <w:left w:val="single" w:sz="4" w:space="0" w:color="auto"/>
              <w:bottom w:val="single" w:sz="4" w:space="0" w:color="auto"/>
              <w:right w:val="single" w:sz="4" w:space="0" w:color="auto"/>
            </w:tcBorders>
            <w:hideMark/>
          </w:tcPr>
          <w:p w14:paraId="6B2496A2" w14:textId="77777777" w:rsidR="00B41136" w:rsidRPr="00834149" w:rsidRDefault="00B41136" w:rsidP="00834149">
            <w:pPr>
              <w:rPr>
                <w:rFonts w:cs="Times New Roman"/>
              </w:rPr>
            </w:pPr>
            <w:r w:rsidRPr="00834149">
              <w:rPr>
                <w:rFonts w:cs="Times New Roman"/>
              </w:rPr>
              <w:t>1. Strengthen the management of productive natural resources</w:t>
            </w:r>
          </w:p>
          <w:p w14:paraId="75B3C68D" w14:textId="5E2607FD" w:rsidR="00B41136" w:rsidRPr="00834149" w:rsidRDefault="00B41136" w:rsidP="00834149">
            <w:pPr>
              <w:ind w:left="6"/>
              <w:rPr>
                <w:rFonts w:cs="Times New Roman"/>
              </w:rPr>
            </w:pPr>
            <w:r w:rsidRPr="00834149">
              <w:rPr>
                <w:rFonts w:cs="Times New Roman"/>
              </w:rPr>
              <w:t>2. Strengthen resilience and adaptation of climate change</w:t>
            </w:r>
          </w:p>
        </w:tc>
      </w:tr>
    </w:tbl>
    <w:p w14:paraId="247DC6D0" w14:textId="0C8DEB43" w:rsidR="005A305A" w:rsidRPr="00834149" w:rsidRDefault="00033F4B" w:rsidP="00834149">
      <w:pPr>
        <w:jc w:val="both"/>
        <w:rPr>
          <w:rFonts w:cs="Times New Roman"/>
        </w:rPr>
      </w:pPr>
      <w:r w:rsidRPr="00834149">
        <w:rPr>
          <w:rFonts w:cs="Times New Roman"/>
          <w:i/>
        </w:rPr>
        <w:t>Note</w:t>
      </w:r>
      <w:r w:rsidRPr="00834149">
        <w:rPr>
          <w:rFonts w:cs="Times New Roman"/>
        </w:rPr>
        <w:t xml:space="preserve">: </w:t>
      </w:r>
      <w:r w:rsidR="0025614E" w:rsidRPr="00834149">
        <w:rPr>
          <w:rFonts w:cs="Times New Roman"/>
        </w:rPr>
        <w:t>S</w:t>
      </w:r>
      <w:r w:rsidR="00742623" w:rsidRPr="00834149">
        <w:rPr>
          <w:rFonts w:cs="Times New Roman"/>
        </w:rPr>
        <w:t xml:space="preserve">CD binding </w:t>
      </w:r>
      <w:r w:rsidR="00D732A5" w:rsidRPr="00834149">
        <w:rPr>
          <w:rFonts w:cs="Times New Roman"/>
        </w:rPr>
        <w:t xml:space="preserve">constraints </w:t>
      </w:r>
      <w:r w:rsidR="001B727A" w:rsidRPr="00834149">
        <w:rPr>
          <w:rFonts w:cs="Times New Roman"/>
        </w:rPr>
        <w:t xml:space="preserve">to twin goals </w:t>
      </w:r>
      <w:r w:rsidR="00D732A5" w:rsidRPr="00834149">
        <w:rPr>
          <w:rFonts w:cs="Times New Roman"/>
        </w:rPr>
        <w:t xml:space="preserve">in </w:t>
      </w:r>
      <w:r w:rsidR="00D732A5" w:rsidRPr="00834149">
        <w:rPr>
          <w:rFonts w:cs="Times New Roman"/>
          <w:b/>
        </w:rPr>
        <w:t>bold</w:t>
      </w:r>
      <w:r w:rsidR="00D732A5" w:rsidRPr="00834149">
        <w:rPr>
          <w:rFonts w:cs="Times New Roman"/>
        </w:rPr>
        <w:t xml:space="preserve"> type</w:t>
      </w:r>
      <w:r w:rsidRPr="00834149">
        <w:rPr>
          <w:rFonts w:cs="Times New Roman"/>
        </w:rPr>
        <w:t>.</w:t>
      </w:r>
    </w:p>
    <w:p w14:paraId="165139F7" w14:textId="77777777" w:rsidR="0088720D" w:rsidRDefault="0088720D">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157CA2A9" w14:textId="3FB4CE0A" w:rsidR="00EC0578" w:rsidRPr="00834149" w:rsidRDefault="00EC0578" w:rsidP="00EC0578">
      <w:pPr>
        <w:pStyle w:val="Heading3"/>
        <w:jc w:val="both"/>
        <w:rPr>
          <w:rFonts w:asciiTheme="minorHAnsi" w:hAnsiTheme="minorHAnsi" w:cs="Times New Roman"/>
        </w:rPr>
      </w:pPr>
      <w:bookmarkStart w:id="26" w:name="_Toc480207639"/>
      <w:r w:rsidRPr="00834149">
        <w:rPr>
          <w:rFonts w:asciiTheme="minorHAnsi" w:hAnsiTheme="minorHAnsi" w:cs="Times New Roman"/>
        </w:rPr>
        <w:lastRenderedPageBreak/>
        <w:t>3.2.3 Objectives and Planned Support</w:t>
      </w:r>
      <w:bookmarkEnd w:id="26"/>
      <w:r w:rsidRPr="00834149">
        <w:rPr>
          <w:rFonts w:asciiTheme="minorHAnsi" w:hAnsiTheme="minorHAnsi" w:cs="Times New Roman"/>
        </w:rPr>
        <w:t xml:space="preserve"> </w:t>
      </w:r>
    </w:p>
    <w:p w14:paraId="6978F2B3" w14:textId="77777777" w:rsidR="00EC0578" w:rsidRPr="00834149" w:rsidRDefault="00EC0578" w:rsidP="00EC0578">
      <w:pPr>
        <w:jc w:val="both"/>
        <w:rPr>
          <w:rFonts w:cs="Times New Roman"/>
        </w:rPr>
      </w:pPr>
    </w:p>
    <w:p w14:paraId="00CF5F7C" w14:textId="306C66CA" w:rsidR="00751FE2" w:rsidRPr="0078430C" w:rsidRDefault="00EC0578" w:rsidP="00844141">
      <w:pPr>
        <w:pStyle w:val="ListParagraph"/>
        <w:numPr>
          <w:ilvl w:val="0"/>
          <w:numId w:val="2"/>
        </w:numPr>
        <w:spacing w:after="240"/>
        <w:ind w:left="0" w:firstLine="0"/>
        <w:contextualSpacing w:val="0"/>
        <w:jc w:val="both"/>
        <w:rPr>
          <w:b/>
          <w:bCs/>
          <w:smallCaps/>
        </w:rPr>
      </w:pPr>
      <w:r w:rsidRPr="00834149">
        <w:rPr>
          <w:rFonts w:cs="Times New Roman"/>
          <w:b/>
        </w:rPr>
        <w:t>The objectives of the CPF are structured around the anchoring and cross-cutting theme of governance and three focus areas</w:t>
      </w:r>
      <w:r w:rsidRPr="00834149">
        <w:rPr>
          <w:rFonts w:cs="Times New Roman"/>
        </w:rPr>
        <w:t xml:space="preserve">: (1) private sector performance and job creation; (2) </w:t>
      </w:r>
      <w:r w:rsidR="007D12D1" w:rsidRPr="00834149">
        <w:rPr>
          <w:rFonts w:cs="Times New Roman"/>
        </w:rPr>
        <w:t xml:space="preserve">inclusive </w:t>
      </w:r>
      <w:r w:rsidR="00854D97" w:rsidRPr="00834149">
        <w:rPr>
          <w:rFonts w:cs="Times New Roman"/>
        </w:rPr>
        <w:t>public service delivery</w:t>
      </w:r>
      <w:r w:rsidRPr="00834149">
        <w:rPr>
          <w:rFonts w:cs="Times New Roman"/>
        </w:rPr>
        <w:t xml:space="preserve">; and (3) environmental sustainability and resilience. </w:t>
      </w:r>
    </w:p>
    <w:p w14:paraId="69665C48" w14:textId="77777777" w:rsidR="00751FE2" w:rsidRPr="00834149" w:rsidRDefault="00751FE2" w:rsidP="00751FE2">
      <w:pPr>
        <w:jc w:val="both"/>
        <w:rPr>
          <w:rFonts w:cs="Times New Roman"/>
          <w:b/>
          <w:caps/>
        </w:rPr>
      </w:pPr>
      <w:r w:rsidRPr="00834149">
        <w:rPr>
          <w:rFonts w:cs="Times New Roman"/>
          <w:b/>
          <w:caps/>
        </w:rPr>
        <w:t>Governance Cross-Cutting Theme</w:t>
      </w:r>
    </w:p>
    <w:p w14:paraId="16EF2D38" w14:textId="77777777" w:rsidR="00751FE2" w:rsidRPr="00834149" w:rsidRDefault="00751FE2" w:rsidP="00751FE2">
      <w:pPr>
        <w:autoSpaceDE w:val="0"/>
        <w:autoSpaceDN w:val="0"/>
        <w:adjustRightInd w:val="0"/>
        <w:jc w:val="both"/>
        <w:rPr>
          <w:rFonts w:cs="Times New Roman"/>
          <w:b/>
          <w:bCs/>
        </w:rPr>
      </w:pPr>
    </w:p>
    <w:p w14:paraId="4A0C7B9A" w14:textId="5E14964E" w:rsidR="005A305A" w:rsidRPr="00834149" w:rsidRDefault="00B16E4E" w:rsidP="00CD63D9">
      <w:pPr>
        <w:pStyle w:val="ListParagraph"/>
        <w:numPr>
          <w:ilvl w:val="0"/>
          <w:numId w:val="2"/>
        </w:numPr>
        <w:autoSpaceDE w:val="0"/>
        <w:autoSpaceDN w:val="0"/>
        <w:adjustRightInd w:val="0"/>
        <w:ind w:left="0" w:firstLine="0"/>
        <w:jc w:val="both"/>
        <w:rPr>
          <w:rFonts w:cs="Times New Roman"/>
        </w:rPr>
      </w:pPr>
      <w:r w:rsidRPr="00834149">
        <w:rPr>
          <w:rFonts w:cs="Times New Roman"/>
          <w:b/>
        </w:rPr>
        <w:t>Recognizing th</w:t>
      </w:r>
      <w:r w:rsidR="00A36B78" w:rsidRPr="00834149">
        <w:rPr>
          <w:rFonts w:cs="Times New Roman"/>
          <w:b/>
        </w:rPr>
        <w:t>e</w:t>
      </w:r>
      <w:r w:rsidR="007D53EE">
        <w:rPr>
          <w:rFonts w:cs="Times New Roman"/>
          <w:b/>
        </w:rPr>
        <w:t xml:space="preserve"> accountability </w:t>
      </w:r>
      <w:r w:rsidR="00C22828" w:rsidRPr="00834149">
        <w:rPr>
          <w:rFonts w:cs="Times New Roman"/>
          <w:b/>
        </w:rPr>
        <w:t>challenges</w:t>
      </w:r>
      <w:r w:rsidR="00A36B78" w:rsidRPr="00834149">
        <w:rPr>
          <w:rFonts w:cs="Times New Roman"/>
          <w:b/>
        </w:rPr>
        <w:t xml:space="preserve"> identified by the SCD, and given the weak capacity issues in Togo, </w:t>
      </w:r>
      <w:r w:rsidRPr="00834149">
        <w:rPr>
          <w:rFonts w:cs="Times New Roman"/>
          <w:b/>
        </w:rPr>
        <w:t xml:space="preserve">this CPF </w:t>
      </w:r>
      <w:r w:rsidR="009A1C66" w:rsidRPr="00834149">
        <w:rPr>
          <w:rFonts w:cs="Times New Roman"/>
          <w:b/>
        </w:rPr>
        <w:t xml:space="preserve">program </w:t>
      </w:r>
      <w:r w:rsidR="00A36B78" w:rsidRPr="00834149">
        <w:rPr>
          <w:rFonts w:cs="Times New Roman"/>
          <w:b/>
        </w:rPr>
        <w:t>integrates</w:t>
      </w:r>
      <w:r w:rsidRPr="00834149">
        <w:rPr>
          <w:rFonts w:cs="Times New Roman"/>
          <w:b/>
        </w:rPr>
        <w:t xml:space="preserve"> </w:t>
      </w:r>
      <w:r w:rsidR="00A36B78" w:rsidRPr="00834149">
        <w:rPr>
          <w:rFonts w:cs="Times New Roman"/>
          <w:b/>
        </w:rPr>
        <w:t xml:space="preserve">institution-building and citizen engagement </w:t>
      </w:r>
      <w:r w:rsidR="00C22828" w:rsidRPr="00834149">
        <w:rPr>
          <w:rFonts w:cs="Times New Roman"/>
          <w:b/>
        </w:rPr>
        <w:t xml:space="preserve">activities </w:t>
      </w:r>
      <w:r w:rsidR="00A36B78" w:rsidRPr="00834149">
        <w:rPr>
          <w:rFonts w:cs="Times New Roman"/>
          <w:b/>
        </w:rPr>
        <w:t>across the three focus areas</w:t>
      </w:r>
      <w:r w:rsidRPr="00834149">
        <w:rPr>
          <w:rFonts w:cs="Times New Roman"/>
        </w:rPr>
        <w:t>.</w:t>
      </w:r>
      <w:r w:rsidR="00DE10EF" w:rsidRPr="00834149">
        <w:rPr>
          <w:rFonts w:cs="Times New Roman"/>
        </w:rPr>
        <w:t xml:space="preserve"> This includes</w:t>
      </w:r>
      <w:r w:rsidR="00A36B78" w:rsidRPr="00834149">
        <w:rPr>
          <w:rFonts w:cs="Times New Roman"/>
        </w:rPr>
        <w:t xml:space="preserve"> strengthening public and private institutions to address both supply and demand-driven governance, including private sector actors where the CPF seeks to strengthen the business environment; local and regional authorities where the CPF supports improved basic services, and citizen engagement in all three focus areas of the CPF. On the supply-side, the CPF will </w:t>
      </w:r>
      <w:r w:rsidR="004F240C" w:rsidRPr="00834149">
        <w:rPr>
          <w:rFonts w:cs="Times New Roman"/>
        </w:rPr>
        <w:t xml:space="preserve">include support to </w:t>
      </w:r>
      <w:r w:rsidR="00A36B78" w:rsidRPr="00834149">
        <w:rPr>
          <w:rFonts w:cs="Times New Roman"/>
        </w:rPr>
        <w:t>strengthen key government institutions and relevant private institutions involved in delivering results under each Focus Area. The CPF results matrix highlights in bold text the relevant in</w:t>
      </w:r>
      <w:r w:rsidR="008D5C90" w:rsidRPr="00834149">
        <w:rPr>
          <w:rFonts w:cs="Times New Roman"/>
        </w:rPr>
        <w:t>stitution-</w:t>
      </w:r>
      <w:r w:rsidR="00A36B78" w:rsidRPr="00834149">
        <w:rPr>
          <w:rFonts w:cs="Times New Roman"/>
        </w:rPr>
        <w:t>building and citizen engagement activities</w:t>
      </w:r>
      <w:r w:rsidR="008D5C90" w:rsidRPr="00834149">
        <w:rPr>
          <w:rFonts w:cs="Times New Roman"/>
        </w:rPr>
        <w:t xml:space="preserve"> contributing to proposed results indicators</w:t>
      </w:r>
      <w:r w:rsidR="00A36B78" w:rsidRPr="00834149">
        <w:rPr>
          <w:rFonts w:cs="Times New Roman"/>
        </w:rPr>
        <w:t xml:space="preserve">. </w:t>
      </w:r>
    </w:p>
    <w:p w14:paraId="52CBFB25" w14:textId="77777777" w:rsidR="004B2276" w:rsidRPr="00834149" w:rsidRDefault="004B2276" w:rsidP="00D16083">
      <w:pPr>
        <w:rPr>
          <w:rFonts w:cs="Times New Roman"/>
          <w:b/>
          <w:caps/>
        </w:rPr>
      </w:pPr>
    </w:p>
    <w:p w14:paraId="068738BF" w14:textId="3EF9FBA8" w:rsidR="002F00F2" w:rsidRPr="00834149" w:rsidRDefault="002F00F2" w:rsidP="00D16083">
      <w:pPr>
        <w:rPr>
          <w:rFonts w:cs="Times New Roman"/>
          <w:b/>
          <w:caps/>
        </w:rPr>
      </w:pPr>
      <w:r w:rsidRPr="00834149">
        <w:rPr>
          <w:rFonts w:cs="Times New Roman"/>
          <w:b/>
          <w:caps/>
        </w:rPr>
        <w:t>Focus Area 1: Private Sector Performance and Job Creation</w:t>
      </w:r>
    </w:p>
    <w:p w14:paraId="47E607FB" w14:textId="77777777" w:rsidR="00B16E4E" w:rsidRPr="0078430C" w:rsidRDefault="00B16E4E" w:rsidP="00CD63D9"/>
    <w:p w14:paraId="5ECCF715" w14:textId="1402267E" w:rsidR="00B16E4E" w:rsidRPr="00834149" w:rsidRDefault="009A1C66" w:rsidP="00CD63D9">
      <w:pPr>
        <w:pStyle w:val="ListParagraph"/>
        <w:numPr>
          <w:ilvl w:val="0"/>
          <w:numId w:val="2"/>
        </w:numPr>
        <w:ind w:left="0" w:firstLine="0"/>
        <w:jc w:val="both"/>
        <w:rPr>
          <w:rFonts w:cs="Times New Roman"/>
        </w:rPr>
      </w:pPr>
      <w:r w:rsidRPr="00834149">
        <w:rPr>
          <w:rFonts w:cs="Times New Roman"/>
        </w:rPr>
        <w:t xml:space="preserve">Under this focus area, the CPF seeks to help Togo stabilize the macroeconomic and </w:t>
      </w:r>
      <w:r w:rsidR="00AC2E68" w:rsidRPr="00834149">
        <w:rPr>
          <w:rFonts w:cs="Times New Roman"/>
          <w:lang w:val="en"/>
        </w:rPr>
        <w:t>fiscal framework as a prerequisite for continued growth</w:t>
      </w:r>
      <w:r w:rsidRPr="00834149">
        <w:rPr>
          <w:rFonts w:cs="Times New Roman"/>
          <w:lang w:val="en"/>
        </w:rPr>
        <w:t xml:space="preserve">; </w:t>
      </w:r>
      <w:r w:rsidR="00AC2E68" w:rsidRPr="00834149">
        <w:rPr>
          <w:rFonts w:cs="Times New Roman"/>
          <w:lang w:val="en"/>
        </w:rPr>
        <w:t xml:space="preserve">support </w:t>
      </w:r>
      <w:r w:rsidR="00F41E9C" w:rsidRPr="00834149">
        <w:rPr>
          <w:rFonts w:cs="Times New Roman"/>
          <w:lang w:val="en"/>
        </w:rPr>
        <w:t xml:space="preserve">fiscal and regulatory </w:t>
      </w:r>
      <w:r w:rsidR="00AC2E68" w:rsidRPr="00834149">
        <w:rPr>
          <w:rFonts w:cs="Times New Roman"/>
          <w:lang w:val="en"/>
        </w:rPr>
        <w:t xml:space="preserve">reforms and investments aimed at </w:t>
      </w:r>
      <w:r w:rsidR="00B16E4E" w:rsidRPr="00834149">
        <w:rPr>
          <w:rFonts w:cs="Times New Roman"/>
          <w:lang w:val="en"/>
        </w:rPr>
        <w:t>grow</w:t>
      </w:r>
      <w:r w:rsidR="00AC2E68" w:rsidRPr="00834149">
        <w:rPr>
          <w:rFonts w:cs="Times New Roman"/>
          <w:lang w:val="en"/>
        </w:rPr>
        <w:t>ing</w:t>
      </w:r>
      <w:r w:rsidR="00B16E4E" w:rsidRPr="00834149">
        <w:rPr>
          <w:rFonts w:cs="Times New Roman"/>
          <w:lang w:val="en"/>
        </w:rPr>
        <w:t xml:space="preserve"> the formal private sector and </w:t>
      </w:r>
      <w:r w:rsidRPr="00834149">
        <w:rPr>
          <w:rFonts w:cs="Times New Roman"/>
          <w:lang w:val="en"/>
        </w:rPr>
        <w:t xml:space="preserve">increasing </w:t>
      </w:r>
      <w:r w:rsidR="00B16E4E" w:rsidRPr="00834149">
        <w:rPr>
          <w:rFonts w:cs="Times New Roman"/>
          <w:lang w:val="en"/>
        </w:rPr>
        <w:t>agricultur</w:t>
      </w:r>
      <w:r w:rsidRPr="00834149">
        <w:rPr>
          <w:rFonts w:cs="Times New Roman"/>
          <w:lang w:val="en"/>
        </w:rPr>
        <w:t xml:space="preserve">al </w:t>
      </w:r>
      <w:r w:rsidR="00B16E4E" w:rsidRPr="00834149">
        <w:rPr>
          <w:rFonts w:cs="Times New Roman"/>
          <w:lang w:val="en"/>
        </w:rPr>
        <w:t>productivity, access to markets, and strong</w:t>
      </w:r>
      <w:r w:rsidR="00AC2E68" w:rsidRPr="00834149">
        <w:rPr>
          <w:rFonts w:cs="Times New Roman"/>
          <w:lang w:val="en"/>
        </w:rPr>
        <w:t>er</w:t>
      </w:r>
      <w:r w:rsidR="00B16E4E" w:rsidRPr="00834149">
        <w:rPr>
          <w:rFonts w:cs="Times New Roman"/>
          <w:lang w:val="en"/>
        </w:rPr>
        <w:t xml:space="preserve"> value chains</w:t>
      </w:r>
      <w:r w:rsidR="00F41E9C" w:rsidRPr="00834149">
        <w:rPr>
          <w:rFonts w:cs="Times New Roman"/>
          <w:lang w:val="en"/>
        </w:rPr>
        <w:t xml:space="preserve">; </w:t>
      </w:r>
      <w:r w:rsidR="00AC2E68" w:rsidRPr="00834149">
        <w:rPr>
          <w:rFonts w:cs="Times New Roman"/>
        </w:rPr>
        <w:t xml:space="preserve">improve the quality of </w:t>
      </w:r>
      <w:r w:rsidR="00CD63D9" w:rsidRPr="00834149">
        <w:rPr>
          <w:rFonts w:cs="Times New Roman"/>
        </w:rPr>
        <w:t>economic infrastructure</w:t>
      </w:r>
      <w:r w:rsidR="00AC2E68" w:rsidRPr="00834149">
        <w:rPr>
          <w:rFonts w:cs="Times New Roman"/>
        </w:rPr>
        <w:t xml:space="preserve"> services</w:t>
      </w:r>
      <w:r w:rsidR="00F41E9C" w:rsidRPr="00834149">
        <w:rPr>
          <w:rFonts w:cs="Times New Roman"/>
        </w:rPr>
        <w:t>, and</w:t>
      </w:r>
      <w:r w:rsidR="00592DE0" w:rsidRPr="00834149">
        <w:rPr>
          <w:rFonts w:cs="Times New Roman"/>
          <w:lang w:val="en"/>
        </w:rPr>
        <w:t xml:space="preserve"> </w:t>
      </w:r>
      <w:r w:rsidR="00B16E4E" w:rsidRPr="00834149">
        <w:rPr>
          <w:rFonts w:cs="Times New Roman"/>
        </w:rPr>
        <w:t>promote skills</w:t>
      </w:r>
      <w:r w:rsidR="00F41E9C" w:rsidRPr="00834149">
        <w:rPr>
          <w:rFonts w:cs="Times New Roman"/>
        </w:rPr>
        <w:t>-</w:t>
      </w:r>
      <w:r w:rsidR="00592DE0" w:rsidRPr="00834149">
        <w:rPr>
          <w:rFonts w:cs="Times New Roman"/>
        </w:rPr>
        <w:t xml:space="preserve">building and </w:t>
      </w:r>
      <w:r w:rsidR="00B16E4E" w:rsidRPr="00834149">
        <w:rPr>
          <w:rFonts w:cs="Times New Roman"/>
        </w:rPr>
        <w:t xml:space="preserve">employment opportunities </w:t>
      </w:r>
      <w:r w:rsidR="00592DE0" w:rsidRPr="00834149">
        <w:rPr>
          <w:rFonts w:cs="Times New Roman"/>
        </w:rPr>
        <w:t>in support of the government’s jobs agenda</w:t>
      </w:r>
      <w:r w:rsidR="00B16E4E" w:rsidRPr="00834149">
        <w:rPr>
          <w:rFonts w:cs="Times New Roman"/>
        </w:rPr>
        <w:t>.</w:t>
      </w:r>
    </w:p>
    <w:p w14:paraId="29EFFF77" w14:textId="77777777" w:rsidR="00B16E4E" w:rsidRPr="0078430C" w:rsidRDefault="00B16E4E" w:rsidP="00CD63D9"/>
    <w:tbl>
      <w:tblPr>
        <w:tblStyle w:val="TableGrid"/>
        <w:tblW w:w="0" w:type="auto"/>
        <w:tblLook w:val="04A0" w:firstRow="1" w:lastRow="0" w:firstColumn="1" w:lastColumn="0" w:noHBand="0" w:noVBand="1"/>
      </w:tblPr>
      <w:tblGrid>
        <w:gridCol w:w="2230"/>
        <w:gridCol w:w="7120"/>
      </w:tblGrid>
      <w:tr w:rsidR="00141696" w:rsidRPr="0078430C" w14:paraId="568718C1" w14:textId="77777777" w:rsidTr="00541C07">
        <w:tc>
          <w:tcPr>
            <w:tcW w:w="2268" w:type="dxa"/>
            <w:shd w:val="clear" w:color="auto" w:fill="D9D9D9" w:themeFill="background1" w:themeFillShade="D9"/>
          </w:tcPr>
          <w:p w14:paraId="21EA4C36" w14:textId="77777777" w:rsidR="00141696" w:rsidRPr="00834149" w:rsidRDefault="00141696" w:rsidP="00541C07">
            <w:pPr>
              <w:jc w:val="both"/>
              <w:rPr>
                <w:rFonts w:cs="Times New Roman"/>
                <w:b/>
              </w:rPr>
            </w:pPr>
            <w:r w:rsidRPr="00834149">
              <w:rPr>
                <w:rFonts w:cs="Times New Roman"/>
                <w:b/>
              </w:rPr>
              <w:t>Focus Area 1</w:t>
            </w:r>
          </w:p>
        </w:tc>
        <w:tc>
          <w:tcPr>
            <w:tcW w:w="7308" w:type="dxa"/>
            <w:shd w:val="clear" w:color="auto" w:fill="D9D9D9" w:themeFill="background1" w:themeFillShade="D9"/>
          </w:tcPr>
          <w:p w14:paraId="347A6525" w14:textId="1D093297" w:rsidR="00141696" w:rsidRPr="00834149" w:rsidRDefault="008542F1" w:rsidP="00541C07">
            <w:pPr>
              <w:jc w:val="both"/>
              <w:rPr>
                <w:rFonts w:cs="Times New Roman"/>
                <w:b/>
              </w:rPr>
            </w:pPr>
            <w:r w:rsidRPr="00834149">
              <w:rPr>
                <w:rFonts w:cs="Times New Roman"/>
                <w:b/>
              </w:rPr>
              <w:t>Economic Productivity</w:t>
            </w:r>
            <w:r w:rsidR="00141696" w:rsidRPr="00834149">
              <w:rPr>
                <w:rFonts w:cs="Times New Roman"/>
                <w:b/>
              </w:rPr>
              <w:t xml:space="preserve"> and Job Creation</w:t>
            </w:r>
          </w:p>
        </w:tc>
      </w:tr>
      <w:tr w:rsidR="00141696" w:rsidRPr="0078430C" w14:paraId="6EE71592" w14:textId="77777777" w:rsidTr="00560403">
        <w:tc>
          <w:tcPr>
            <w:tcW w:w="2268" w:type="dxa"/>
            <w:shd w:val="clear" w:color="auto" w:fill="F8F8F0" w:themeFill="background2" w:themeFillTint="33"/>
          </w:tcPr>
          <w:p w14:paraId="17CD7590" w14:textId="77777777" w:rsidR="00141696" w:rsidRPr="00834149" w:rsidRDefault="00141696" w:rsidP="00541C07">
            <w:pPr>
              <w:jc w:val="both"/>
              <w:rPr>
                <w:rFonts w:cs="Times New Roman"/>
              </w:rPr>
            </w:pPr>
            <w:r w:rsidRPr="00834149">
              <w:rPr>
                <w:rFonts w:cs="Times New Roman"/>
              </w:rPr>
              <w:t>CPF Objectives</w:t>
            </w:r>
          </w:p>
          <w:p w14:paraId="4023D9CC" w14:textId="77777777" w:rsidR="00141696" w:rsidRPr="00834149" w:rsidRDefault="00141696" w:rsidP="00541C07">
            <w:pPr>
              <w:jc w:val="both"/>
              <w:rPr>
                <w:rFonts w:cs="Times New Roman"/>
              </w:rPr>
            </w:pPr>
          </w:p>
        </w:tc>
        <w:tc>
          <w:tcPr>
            <w:tcW w:w="7308" w:type="dxa"/>
            <w:shd w:val="clear" w:color="auto" w:fill="F8F8F0" w:themeFill="background2" w:themeFillTint="33"/>
          </w:tcPr>
          <w:p w14:paraId="7764BBA1" w14:textId="111B25C0" w:rsidR="006B6D0A" w:rsidRPr="00834149" w:rsidRDefault="00D44575" w:rsidP="00656996">
            <w:pPr>
              <w:pStyle w:val="ListParagraph"/>
              <w:numPr>
                <w:ilvl w:val="1"/>
                <w:numId w:val="4"/>
              </w:numPr>
              <w:jc w:val="both"/>
              <w:rPr>
                <w:rFonts w:cs="Times New Roman"/>
              </w:rPr>
            </w:pPr>
            <w:r w:rsidRPr="00834149">
              <w:rPr>
                <w:rFonts w:cs="Times New Roman"/>
              </w:rPr>
              <w:t xml:space="preserve">Strengthen </w:t>
            </w:r>
            <w:r w:rsidR="001E4455" w:rsidRPr="00834149">
              <w:rPr>
                <w:rFonts w:cs="Times New Roman"/>
              </w:rPr>
              <w:t>fiscal policy and debt management</w:t>
            </w:r>
          </w:p>
          <w:p w14:paraId="3A6741B3" w14:textId="0C8DB96C" w:rsidR="00141696" w:rsidRPr="00834149" w:rsidRDefault="00141696" w:rsidP="00656996">
            <w:pPr>
              <w:pStyle w:val="ListParagraph"/>
              <w:numPr>
                <w:ilvl w:val="1"/>
                <w:numId w:val="4"/>
              </w:numPr>
              <w:jc w:val="both"/>
              <w:rPr>
                <w:rFonts w:cs="Times New Roman"/>
              </w:rPr>
            </w:pPr>
            <w:r w:rsidRPr="00834149">
              <w:rPr>
                <w:rFonts w:cs="Times New Roman"/>
              </w:rPr>
              <w:t>Improve</w:t>
            </w:r>
            <w:r w:rsidR="00394A27" w:rsidRPr="00834149">
              <w:rPr>
                <w:rFonts w:cs="Times New Roman"/>
              </w:rPr>
              <w:t xml:space="preserve"> </w:t>
            </w:r>
            <w:r w:rsidR="00B57ADA" w:rsidRPr="00834149">
              <w:rPr>
                <w:rFonts w:cs="Times New Roman"/>
              </w:rPr>
              <w:t>business environment and employment opportunities</w:t>
            </w:r>
          </w:p>
          <w:p w14:paraId="26503AA8" w14:textId="60307DFB" w:rsidR="00A21DE8" w:rsidRPr="00834149" w:rsidRDefault="007F2265" w:rsidP="00B57ADA">
            <w:pPr>
              <w:pStyle w:val="ListParagraph"/>
              <w:numPr>
                <w:ilvl w:val="1"/>
                <w:numId w:val="4"/>
              </w:numPr>
              <w:jc w:val="both"/>
              <w:rPr>
                <w:rFonts w:cs="Times New Roman"/>
              </w:rPr>
            </w:pPr>
            <w:r w:rsidRPr="00834149">
              <w:rPr>
                <w:rFonts w:cs="Times New Roman"/>
              </w:rPr>
              <w:t>Strengthen</w:t>
            </w:r>
            <w:r w:rsidR="00DE12E8" w:rsidRPr="00834149">
              <w:rPr>
                <w:rFonts w:cs="Times New Roman"/>
              </w:rPr>
              <w:t xml:space="preserve"> </w:t>
            </w:r>
            <w:r w:rsidR="00B57ADA" w:rsidRPr="00834149">
              <w:rPr>
                <w:rFonts w:cs="Times New Roman"/>
              </w:rPr>
              <w:t>energy, ICT and logistics services</w:t>
            </w:r>
          </w:p>
        </w:tc>
      </w:tr>
    </w:tbl>
    <w:p w14:paraId="576CBE5A" w14:textId="77777777" w:rsidR="00E479C4" w:rsidRPr="0078430C" w:rsidRDefault="00E479C4" w:rsidP="00541C07">
      <w:pPr>
        <w:jc w:val="both"/>
      </w:pPr>
    </w:p>
    <w:p w14:paraId="616DB43F" w14:textId="0B8740C4" w:rsidR="00142488" w:rsidRPr="00834149" w:rsidRDefault="00142488" w:rsidP="00982543">
      <w:pPr>
        <w:rPr>
          <w:rFonts w:cs="Times New Roman"/>
          <w:b/>
          <w:smallCaps/>
        </w:rPr>
      </w:pPr>
      <w:r w:rsidRPr="00834149">
        <w:rPr>
          <w:rFonts w:cs="Times New Roman"/>
          <w:b/>
          <w:smallCaps/>
        </w:rPr>
        <w:t xml:space="preserve">Objective 1.1: </w:t>
      </w:r>
      <w:r w:rsidR="0093116C" w:rsidRPr="00834149">
        <w:rPr>
          <w:rFonts w:cs="Times New Roman"/>
          <w:b/>
          <w:bCs/>
          <w:smallCaps/>
        </w:rPr>
        <w:t xml:space="preserve">Strengthen </w:t>
      </w:r>
      <w:r w:rsidR="001E4455" w:rsidRPr="00834149">
        <w:rPr>
          <w:rFonts w:cs="Times New Roman"/>
          <w:b/>
          <w:bCs/>
          <w:smallCaps/>
        </w:rPr>
        <w:t>Fiscal Policy and Debt Management</w:t>
      </w:r>
    </w:p>
    <w:p w14:paraId="0C9CAC37" w14:textId="77777777" w:rsidR="00142488" w:rsidRPr="00834149" w:rsidRDefault="00142488" w:rsidP="00844141">
      <w:pPr>
        <w:pStyle w:val="ListParagraph"/>
        <w:autoSpaceDE w:val="0"/>
        <w:autoSpaceDN w:val="0"/>
        <w:adjustRightInd w:val="0"/>
        <w:ind w:left="0"/>
        <w:jc w:val="both"/>
        <w:rPr>
          <w:rFonts w:cs="Times New Roman"/>
          <w:b/>
          <w:bCs/>
          <w:i/>
          <w:smallCaps/>
        </w:rPr>
      </w:pPr>
    </w:p>
    <w:p w14:paraId="06BEB2AD" w14:textId="60C7B34C" w:rsidR="00F41E9C" w:rsidRDefault="00142488" w:rsidP="00834149">
      <w:pPr>
        <w:pStyle w:val="ListParagraph"/>
        <w:numPr>
          <w:ilvl w:val="0"/>
          <w:numId w:val="2"/>
        </w:numPr>
        <w:autoSpaceDE w:val="0"/>
        <w:autoSpaceDN w:val="0"/>
        <w:adjustRightInd w:val="0"/>
        <w:ind w:left="0" w:firstLine="0"/>
        <w:contextualSpacing w:val="0"/>
        <w:jc w:val="both"/>
        <w:rPr>
          <w:rFonts w:cs="Times New Roman"/>
        </w:rPr>
      </w:pPr>
      <w:r w:rsidRPr="00834149">
        <w:rPr>
          <w:rFonts w:cs="Times New Roman"/>
          <w:b/>
        </w:rPr>
        <w:t>Among</w:t>
      </w:r>
      <w:r w:rsidRPr="00834149">
        <w:rPr>
          <w:rFonts w:cs="Times New Roman"/>
          <w:b/>
          <w:bCs/>
        </w:rPr>
        <w:t xml:space="preserve"> the government’s top priorities in 2017 is to begin restoring macroeconomic stability and fiscal consolidation to mitigate a fiscal crisis and reduce public debt to sustainable levels</w:t>
      </w:r>
      <w:r w:rsidRPr="00834149">
        <w:rPr>
          <w:rFonts w:cs="Times New Roman"/>
          <w:bCs/>
        </w:rPr>
        <w:t>.</w:t>
      </w:r>
      <w:r w:rsidR="008A01B0" w:rsidRPr="00834149">
        <w:rPr>
          <w:rFonts w:cs="Times New Roman"/>
          <w:lang w:val="en"/>
        </w:rPr>
        <w:t xml:space="preserve"> </w:t>
      </w:r>
      <w:r w:rsidR="008678BD" w:rsidRPr="00834149">
        <w:rPr>
          <w:rFonts w:cs="Times New Roman"/>
          <w:lang w:val="en"/>
        </w:rPr>
        <w:t xml:space="preserve">The government’s reform program includes measures to accelerate the implementation of key reforms in revenue administration and </w:t>
      </w:r>
      <w:r w:rsidR="00AF6680">
        <w:rPr>
          <w:rFonts w:cs="Times New Roman"/>
          <w:lang w:val="en"/>
        </w:rPr>
        <w:t>public financial management (</w:t>
      </w:r>
      <w:r w:rsidR="008678BD" w:rsidRPr="00834149">
        <w:rPr>
          <w:rFonts w:cs="Times New Roman"/>
          <w:lang w:val="en"/>
        </w:rPr>
        <w:t>PFM</w:t>
      </w:r>
      <w:r w:rsidR="00AF6680">
        <w:rPr>
          <w:rFonts w:cs="Times New Roman"/>
          <w:lang w:val="en"/>
        </w:rPr>
        <w:t>)</w:t>
      </w:r>
      <w:r w:rsidR="008678BD" w:rsidRPr="00834149">
        <w:rPr>
          <w:rFonts w:cs="Times New Roman"/>
          <w:lang w:val="en"/>
        </w:rPr>
        <w:t xml:space="preserve">, strengthen debt management, address weaknesses in public banks, and safeguard social spending. The authorities will seek to mobilize additional revenues by further improving revenue administration and broadening the tax base, with an emphasis on overhauling the exemption and tax expenditure system. </w:t>
      </w:r>
      <w:r w:rsidR="00F41E9C" w:rsidRPr="00834149">
        <w:rPr>
          <w:rFonts w:cs="Times New Roman"/>
          <w:lang w:val="en"/>
        </w:rPr>
        <w:t xml:space="preserve">In coordination with the IMF, </w:t>
      </w:r>
      <w:r w:rsidR="00F41E9C" w:rsidRPr="00834149">
        <w:rPr>
          <w:rFonts w:cs="Times New Roman"/>
          <w:bCs/>
        </w:rPr>
        <w:t xml:space="preserve">IDA is supporting the government’s </w:t>
      </w:r>
      <w:r w:rsidR="008678BD" w:rsidRPr="00834149">
        <w:rPr>
          <w:rFonts w:cs="Times New Roman"/>
          <w:bCs/>
        </w:rPr>
        <w:t xml:space="preserve">reform </w:t>
      </w:r>
      <w:r w:rsidR="00F41E9C" w:rsidRPr="00834149">
        <w:rPr>
          <w:rFonts w:cs="Times New Roman"/>
          <w:bCs/>
        </w:rPr>
        <w:t>efforts</w:t>
      </w:r>
      <w:r w:rsidR="008678BD" w:rsidRPr="00834149">
        <w:rPr>
          <w:rFonts w:cs="Times New Roman"/>
          <w:bCs/>
        </w:rPr>
        <w:t>, including</w:t>
      </w:r>
      <w:r w:rsidR="00F41E9C" w:rsidRPr="00834149">
        <w:rPr>
          <w:rFonts w:cs="Times New Roman"/>
          <w:bCs/>
        </w:rPr>
        <w:t xml:space="preserve"> strengthen</w:t>
      </w:r>
      <w:r w:rsidR="008678BD" w:rsidRPr="00834149">
        <w:rPr>
          <w:rFonts w:cs="Times New Roman"/>
          <w:bCs/>
        </w:rPr>
        <w:t>ing</w:t>
      </w:r>
      <w:r w:rsidR="00F41E9C" w:rsidRPr="00834149">
        <w:rPr>
          <w:rFonts w:cs="Times New Roman"/>
          <w:bCs/>
        </w:rPr>
        <w:t xml:space="preserve"> debt management by providing TA to strengthen capacity in the Ministry of Fi</w:t>
      </w:r>
      <w:r w:rsidR="008678BD" w:rsidRPr="00834149">
        <w:rPr>
          <w:rFonts w:cs="Times New Roman"/>
          <w:bCs/>
        </w:rPr>
        <w:t>nance and help prepare a medium-</w:t>
      </w:r>
      <w:r w:rsidR="00F41E9C" w:rsidRPr="00834149">
        <w:rPr>
          <w:rFonts w:cs="Times New Roman"/>
          <w:bCs/>
        </w:rPr>
        <w:t xml:space="preserve">term debt management strategy. IDA support to strengthen </w:t>
      </w:r>
      <w:r w:rsidR="005551A3" w:rsidRPr="00834149">
        <w:rPr>
          <w:rFonts w:cs="Times New Roman"/>
          <w:bCs/>
        </w:rPr>
        <w:t>fiscal policy</w:t>
      </w:r>
      <w:r w:rsidR="00F41E9C" w:rsidRPr="00834149">
        <w:rPr>
          <w:rFonts w:cs="Times New Roman"/>
          <w:bCs/>
        </w:rPr>
        <w:t xml:space="preserve"> will also include </w:t>
      </w:r>
      <w:r w:rsidR="00F41E9C" w:rsidRPr="00834149">
        <w:rPr>
          <w:rFonts w:cs="Times New Roman"/>
        </w:rPr>
        <w:t xml:space="preserve">analytical work on Togo’s tax framework to better understand its effect on growth, private sector activity and employment, and supporting the establishment of a fiscal policy unit at the Ministry of Economy and Finance; and </w:t>
      </w:r>
      <w:r w:rsidR="008678BD" w:rsidRPr="00834149">
        <w:rPr>
          <w:rFonts w:cs="Times New Roman"/>
        </w:rPr>
        <w:t xml:space="preserve">continuously </w:t>
      </w:r>
      <w:r w:rsidR="00F41E9C" w:rsidRPr="00834149">
        <w:rPr>
          <w:rFonts w:cs="Times New Roman"/>
        </w:rPr>
        <w:t xml:space="preserve">monitoring </w:t>
      </w:r>
      <w:r w:rsidR="008678BD" w:rsidRPr="00834149">
        <w:rPr>
          <w:rFonts w:cs="Times New Roman"/>
        </w:rPr>
        <w:t xml:space="preserve">macroeconomic </w:t>
      </w:r>
      <w:r w:rsidR="00F41E9C" w:rsidRPr="00834149">
        <w:rPr>
          <w:rFonts w:cs="Times New Roman"/>
        </w:rPr>
        <w:t xml:space="preserve">activities and </w:t>
      </w:r>
      <w:r w:rsidR="008678BD" w:rsidRPr="00834149">
        <w:rPr>
          <w:rFonts w:cs="Times New Roman"/>
        </w:rPr>
        <w:t xml:space="preserve">having a </w:t>
      </w:r>
      <w:r w:rsidR="00F41E9C" w:rsidRPr="00834149">
        <w:rPr>
          <w:rFonts w:cs="Times New Roman"/>
        </w:rPr>
        <w:t>dialogue</w:t>
      </w:r>
      <w:r w:rsidR="008678BD" w:rsidRPr="00834149">
        <w:rPr>
          <w:rFonts w:cs="Times New Roman"/>
        </w:rPr>
        <w:t xml:space="preserve"> on these issues</w:t>
      </w:r>
      <w:r w:rsidR="00F41E9C" w:rsidRPr="00834149">
        <w:rPr>
          <w:rFonts w:cs="Times New Roman"/>
        </w:rPr>
        <w:t xml:space="preserve"> with the authorities. </w:t>
      </w:r>
      <w:r w:rsidR="008678BD" w:rsidRPr="00834149">
        <w:rPr>
          <w:rFonts w:cs="Times New Roman"/>
        </w:rPr>
        <w:t xml:space="preserve">Through the proposed DPO series, IDA would seek to promote </w:t>
      </w:r>
      <w:r w:rsidR="008678BD" w:rsidRPr="00834149">
        <w:rPr>
          <w:rFonts w:cs="Times New Roman"/>
          <w:bCs/>
          <w:iCs/>
        </w:rPr>
        <w:t xml:space="preserve">economic growth through enhanced fiscal space and </w:t>
      </w:r>
      <w:r w:rsidR="008678BD" w:rsidRPr="00834149">
        <w:rPr>
          <w:rFonts w:cs="Times New Roman"/>
          <w:bCs/>
          <w:iCs/>
        </w:rPr>
        <w:lastRenderedPageBreak/>
        <w:t xml:space="preserve">productivity in growth-enhancing sectors. The proposed DPO program could </w:t>
      </w:r>
      <w:r w:rsidR="007D53EE">
        <w:rPr>
          <w:rFonts w:cs="Times New Roman"/>
          <w:bCs/>
          <w:iCs/>
        </w:rPr>
        <w:t xml:space="preserve">include measures related to </w:t>
      </w:r>
      <w:r w:rsidR="008678BD" w:rsidRPr="00834149">
        <w:rPr>
          <w:rFonts w:cs="Times New Roman"/>
          <w:bCs/>
          <w:iCs/>
        </w:rPr>
        <w:t>improving efficiency and transparency in revenue mobilization and public expenditure management</w:t>
      </w:r>
      <w:r w:rsidR="007D53EE">
        <w:rPr>
          <w:rFonts w:cs="Times New Roman"/>
          <w:bCs/>
          <w:iCs/>
        </w:rPr>
        <w:t xml:space="preserve"> which would contribute to achieving </w:t>
      </w:r>
      <w:r w:rsidR="0093104F">
        <w:rPr>
          <w:rFonts w:cs="Times New Roman"/>
          <w:bCs/>
          <w:iCs/>
        </w:rPr>
        <w:t>O</w:t>
      </w:r>
      <w:r w:rsidR="007D53EE">
        <w:rPr>
          <w:rFonts w:cs="Times New Roman"/>
          <w:bCs/>
          <w:iCs/>
        </w:rPr>
        <w:t>bjective 1.1.</w:t>
      </w:r>
      <w:r w:rsidR="00F41E9C" w:rsidRPr="00834149">
        <w:rPr>
          <w:rStyle w:val="FootnoteReference"/>
          <w:rFonts w:cs="Times New Roman"/>
        </w:rPr>
        <w:footnoteReference w:id="7"/>
      </w:r>
      <w:r w:rsidR="00F41E9C" w:rsidRPr="00834149">
        <w:rPr>
          <w:rFonts w:cs="Times New Roman"/>
        </w:rPr>
        <w:t xml:space="preserve"> The DPO program would complement reforms supported under the IMF ECF program and other budget support donors, namely AfDB and EU.</w:t>
      </w:r>
    </w:p>
    <w:p w14:paraId="3E967A15" w14:textId="77777777" w:rsidR="001D3171" w:rsidRPr="00834149" w:rsidRDefault="001D3171" w:rsidP="00834149">
      <w:pPr>
        <w:pStyle w:val="ListParagraph"/>
        <w:autoSpaceDE w:val="0"/>
        <w:autoSpaceDN w:val="0"/>
        <w:adjustRightInd w:val="0"/>
        <w:ind w:left="0"/>
        <w:contextualSpacing w:val="0"/>
        <w:jc w:val="both"/>
        <w:rPr>
          <w:rFonts w:cs="Times New Roman"/>
        </w:rPr>
      </w:pPr>
    </w:p>
    <w:p w14:paraId="4A06A638" w14:textId="4F96023C" w:rsidR="00BC6C64" w:rsidRPr="00834149" w:rsidRDefault="00D31D84" w:rsidP="00834149">
      <w:pPr>
        <w:pStyle w:val="ListParagraph"/>
        <w:numPr>
          <w:ilvl w:val="0"/>
          <w:numId w:val="2"/>
        </w:numPr>
        <w:autoSpaceDE w:val="0"/>
        <w:autoSpaceDN w:val="0"/>
        <w:adjustRightInd w:val="0"/>
        <w:ind w:left="0" w:firstLine="0"/>
        <w:contextualSpacing w:val="0"/>
        <w:jc w:val="both"/>
        <w:rPr>
          <w:rFonts w:cs="Times New Roman"/>
          <w:color w:val="000000"/>
        </w:rPr>
      </w:pPr>
      <w:r w:rsidRPr="00834149">
        <w:rPr>
          <w:rFonts w:cs="Times New Roman"/>
          <w:b/>
          <w:bCs/>
        </w:rPr>
        <w:t>A</w:t>
      </w:r>
      <w:r w:rsidR="00BC6C64" w:rsidRPr="00834149">
        <w:rPr>
          <w:rFonts w:cs="Times New Roman"/>
          <w:b/>
          <w:bCs/>
        </w:rPr>
        <w:t xml:space="preserve"> Public Expenditure Management and Financial Accountability Review (PEMFAR)</w:t>
      </w:r>
      <w:r w:rsidR="00D253AA" w:rsidRPr="00834149">
        <w:rPr>
          <w:rFonts w:cs="Times New Roman"/>
          <w:b/>
          <w:bCs/>
        </w:rPr>
        <w:t>,</w:t>
      </w:r>
      <w:r w:rsidRPr="00834149">
        <w:rPr>
          <w:rFonts w:cs="Times New Roman"/>
          <w:b/>
          <w:bCs/>
        </w:rPr>
        <w:t xml:space="preserve"> prepared in 2016</w:t>
      </w:r>
      <w:r w:rsidR="007D53EE">
        <w:rPr>
          <w:rFonts w:cs="Times New Roman"/>
          <w:b/>
          <w:bCs/>
        </w:rPr>
        <w:t>,</w:t>
      </w:r>
      <w:r w:rsidRPr="00834149">
        <w:rPr>
          <w:rFonts w:cs="Times New Roman"/>
          <w:b/>
          <w:bCs/>
        </w:rPr>
        <w:t xml:space="preserve"> </w:t>
      </w:r>
      <w:r w:rsidR="00BC6C64" w:rsidRPr="00834149">
        <w:rPr>
          <w:rFonts w:cs="Times New Roman"/>
          <w:b/>
          <w:bCs/>
        </w:rPr>
        <w:t>provided a comprehensive analysis of public financial management issues and reform priorities</w:t>
      </w:r>
      <w:r w:rsidRPr="00834149">
        <w:rPr>
          <w:rFonts w:cs="Times New Roman"/>
          <w:b/>
          <w:bCs/>
        </w:rPr>
        <w:t xml:space="preserve"> in Togo</w:t>
      </w:r>
      <w:r w:rsidR="00BC6C64" w:rsidRPr="00834149">
        <w:rPr>
          <w:rFonts w:cs="Times New Roman"/>
          <w:bCs/>
        </w:rPr>
        <w:t xml:space="preserve">. </w:t>
      </w:r>
      <w:r w:rsidRPr="00834149">
        <w:rPr>
          <w:rFonts w:cs="Times New Roman"/>
          <w:bCs/>
        </w:rPr>
        <w:t>Prepared</w:t>
      </w:r>
      <w:r w:rsidR="00BC6C64" w:rsidRPr="00834149">
        <w:rPr>
          <w:rFonts w:cs="Times New Roman"/>
          <w:bCs/>
        </w:rPr>
        <w:t xml:space="preserve"> in conjunction with the PEFA, </w:t>
      </w:r>
      <w:r w:rsidRPr="00834149">
        <w:rPr>
          <w:rFonts w:cs="Times New Roman"/>
          <w:bCs/>
        </w:rPr>
        <w:t xml:space="preserve">the PEMFAR </w:t>
      </w:r>
      <w:r w:rsidR="00BC6C64" w:rsidRPr="00834149">
        <w:rPr>
          <w:rFonts w:cs="Times New Roman"/>
          <w:bCs/>
        </w:rPr>
        <w:t xml:space="preserve">evaluated </w:t>
      </w:r>
      <w:r w:rsidRPr="00834149">
        <w:rPr>
          <w:rFonts w:cs="Times New Roman"/>
          <w:bCs/>
        </w:rPr>
        <w:t xml:space="preserve">public expenditure trends and </w:t>
      </w:r>
      <w:r w:rsidR="00BC6C64" w:rsidRPr="00834149">
        <w:rPr>
          <w:rFonts w:cs="Times New Roman"/>
          <w:bCs/>
        </w:rPr>
        <w:t xml:space="preserve">progress </w:t>
      </w:r>
      <w:r w:rsidRPr="00834149">
        <w:rPr>
          <w:rFonts w:cs="Times New Roman"/>
          <w:bCs/>
        </w:rPr>
        <w:t>with</w:t>
      </w:r>
      <w:r w:rsidR="00BC6C64" w:rsidRPr="00834149">
        <w:rPr>
          <w:rFonts w:cs="Times New Roman"/>
          <w:bCs/>
        </w:rPr>
        <w:t xml:space="preserve"> PFM</w:t>
      </w:r>
      <w:r w:rsidRPr="00834149">
        <w:rPr>
          <w:rFonts w:cs="Times New Roman"/>
          <w:bCs/>
        </w:rPr>
        <w:t xml:space="preserve"> reforms, giving particular attention to agriculture and education sectors</w:t>
      </w:r>
      <w:r w:rsidR="00BC6C64" w:rsidRPr="00834149">
        <w:rPr>
          <w:rFonts w:cs="Times New Roman"/>
          <w:bCs/>
        </w:rPr>
        <w:t xml:space="preserve">. </w:t>
      </w:r>
      <w:r w:rsidRPr="00834149">
        <w:rPr>
          <w:rFonts w:cs="Times New Roman"/>
          <w:bCs/>
        </w:rPr>
        <w:t xml:space="preserve">The recommendations from the report included measures to upgrade </w:t>
      </w:r>
      <w:r w:rsidR="00BC6C64" w:rsidRPr="00834149">
        <w:rPr>
          <w:rFonts w:cs="Times New Roman"/>
          <w:bCs/>
        </w:rPr>
        <w:t xml:space="preserve">Togo’s </w:t>
      </w:r>
      <w:r w:rsidR="00F00AD9" w:rsidRPr="00834149">
        <w:rPr>
          <w:rFonts w:cs="Times New Roman"/>
          <w:bCs/>
        </w:rPr>
        <w:t>PFM</w:t>
      </w:r>
      <w:r w:rsidR="00D253AA" w:rsidRPr="00834149">
        <w:rPr>
          <w:rFonts w:cs="Times New Roman"/>
          <w:bCs/>
        </w:rPr>
        <w:t xml:space="preserve"> </w:t>
      </w:r>
      <w:r w:rsidR="00BC6C64" w:rsidRPr="00834149">
        <w:rPr>
          <w:rFonts w:cs="Times New Roman"/>
          <w:bCs/>
        </w:rPr>
        <w:t xml:space="preserve">system to be in line with the WAEMU directives for 2017 and to meet international standards, notably in the areas of mobilizing internal revenues, improving budgetary discipline, strengthening the management of public investments and improving the economic rationale for investment decisions, professionalizing public procurement personnel and strengthening accountability mechanisms, among others. The </w:t>
      </w:r>
      <w:r w:rsidRPr="00834149">
        <w:rPr>
          <w:rFonts w:cs="Times New Roman"/>
          <w:bCs/>
        </w:rPr>
        <w:t>recommendations of the PEMFAR inform the proposed DPO measures on public expenditures and investments, as well as</w:t>
      </w:r>
      <w:r w:rsidR="007D53EE">
        <w:rPr>
          <w:rFonts w:cs="Times New Roman"/>
          <w:bCs/>
        </w:rPr>
        <w:t xml:space="preserve"> activities under</w:t>
      </w:r>
      <w:r w:rsidRPr="00834149">
        <w:rPr>
          <w:rFonts w:cs="Times New Roman"/>
          <w:bCs/>
        </w:rPr>
        <w:t xml:space="preserve"> a proposed IDA Economic Governance TA operation (FY18). </w:t>
      </w:r>
      <w:r w:rsidR="00A30B07" w:rsidRPr="00834149">
        <w:rPr>
          <w:rFonts w:cs="Times New Roman"/>
          <w:bCs/>
        </w:rPr>
        <w:t>The TA operation will support a range of activities to strengthen public expenditure</w:t>
      </w:r>
      <w:r w:rsidR="00274016" w:rsidRPr="00834149">
        <w:rPr>
          <w:rFonts w:cs="Times New Roman"/>
          <w:bCs/>
        </w:rPr>
        <w:t xml:space="preserve"> management</w:t>
      </w:r>
      <w:r w:rsidR="00A30B07" w:rsidRPr="00834149">
        <w:rPr>
          <w:rFonts w:cs="Times New Roman"/>
          <w:bCs/>
        </w:rPr>
        <w:t>, public investment, public procurement, and budget and service</w:t>
      </w:r>
      <w:r w:rsidR="00274016" w:rsidRPr="00834149">
        <w:rPr>
          <w:rFonts w:cs="Times New Roman"/>
          <w:bCs/>
        </w:rPr>
        <w:t>-</w:t>
      </w:r>
      <w:r w:rsidR="00A30B07" w:rsidRPr="00834149">
        <w:rPr>
          <w:rFonts w:cs="Times New Roman"/>
          <w:bCs/>
        </w:rPr>
        <w:t>delivery monitoring and oversight by audit institutions and citizens</w:t>
      </w:r>
      <w:r w:rsidR="00274016" w:rsidRPr="00834149">
        <w:rPr>
          <w:rFonts w:cs="Times New Roman"/>
          <w:bCs/>
        </w:rPr>
        <w:t xml:space="preserve">. The </w:t>
      </w:r>
      <w:r w:rsidR="00F00AD9" w:rsidRPr="00834149">
        <w:rPr>
          <w:rFonts w:cs="Times New Roman"/>
          <w:color w:val="000000"/>
        </w:rPr>
        <w:t>E</w:t>
      </w:r>
      <w:r w:rsidRPr="00834149">
        <w:rPr>
          <w:rFonts w:cs="Times New Roman"/>
          <w:color w:val="000000"/>
        </w:rPr>
        <w:t>U</w:t>
      </w:r>
      <w:r w:rsidR="00BC6C64" w:rsidRPr="00834149">
        <w:rPr>
          <w:rFonts w:cs="Times New Roman"/>
          <w:bCs/>
        </w:rPr>
        <w:t xml:space="preserve">, IMF, AfDB and IDA </w:t>
      </w:r>
      <w:r w:rsidR="00DE59DD" w:rsidRPr="00834149">
        <w:rPr>
          <w:rFonts w:cs="Times New Roman"/>
          <w:bCs/>
        </w:rPr>
        <w:t>are</w:t>
      </w:r>
      <w:r w:rsidR="00BC6C64" w:rsidRPr="00834149">
        <w:rPr>
          <w:rFonts w:cs="Times New Roman"/>
          <w:bCs/>
        </w:rPr>
        <w:t xml:space="preserve"> </w:t>
      </w:r>
      <w:r w:rsidRPr="00834149">
        <w:rPr>
          <w:rFonts w:cs="Times New Roman"/>
          <w:bCs/>
        </w:rPr>
        <w:t xml:space="preserve">collaborating to </w:t>
      </w:r>
      <w:r w:rsidR="00BC6C64" w:rsidRPr="00834149">
        <w:rPr>
          <w:rFonts w:cs="Times New Roman"/>
          <w:bCs/>
        </w:rPr>
        <w:t>support</w:t>
      </w:r>
      <w:r w:rsidRPr="00834149">
        <w:rPr>
          <w:rFonts w:cs="Times New Roman"/>
          <w:bCs/>
        </w:rPr>
        <w:t xml:space="preserve"> the </w:t>
      </w:r>
      <w:r w:rsidR="00BC6C64" w:rsidRPr="00834149">
        <w:rPr>
          <w:rFonts w:cs="Times New Roman"/>
          <w:bCs/>
        </w:rPr>
        <w:t>implementation</w:t>
      </w:r>
      <w:r w:rsidRPr="00834149">
        <w:rPr>
          <w:rFonts w:cs="Times New Roman"/>
          <w:bCs/>
        </w:rPr>
        <w:t xml:space="preserve"> of the PFM reform strategy adopted by government on the basis of the PEFA and PEMFAR</w:t>
      </w:r>
      <w:r w:rsidR="00BC6C64" w:rsidRPr="00834149">
        <w:rPr>
          <w:rFonts w:cs="Times New Roman"/>
          <w:bCs/>
        </w:rPr>
        <w:t xml:space="preserve">. </w:t>
      </w:r>
    </w:p>
    <w:p w14:paraId="4642762F" w14:textId="77777777" w:rsidR="001D3171" w:rsidRPr="00834149" w:rsidRDefault="001D3171" w:rsidP="00834149">
      <w:pPr>
        <w:pStyle w:val="ListParagraph"/>
        <w:autoSpaceDE w:val="0"/>
        <w:autoSpaceDN w:val="0"/>
        <w:adjustRightInd w:val="0"/>
        <w:ind w:left="0"/>
        <w:contextualSpacing w:val="0"/>
        <w:jc w:val="both"/>
        <w:rPr>
          <w:rFonts w:cs="Times New Roman"/>
          <w:color w:val="000000"/>
        </w:rPr>
      </w:pPr>
    </w:p>
    <w:p w14:paraId="101791E1" w14:textId="4CD8E852" w:rsidR="007B057A" w:rsidRPr="00834149" w:rsidRDefault="007B057A" w:rsidP="00834149">
      <w:pPr>
        <w:pBdr>
          <w:top w:val="single" w:sz="4" w:space="1" w:color="auto"/>
          <w:left w:val="single" w:sz="4" w:space="4" w:color="auto"/>
          <w:right w:val="single" w:sz="4" w:space="4" w:color="auto"/>
        </w:pBdr>
        <w:shd w:val="clear" w:color="auto" w:fill="D9D9D9" w:themeFill="background1" w:themeFillShade="D9"/>
        <w:rPr>
          <w:rFonts w:cs="Times New Roman"/>
          <w:b/>
          <w:i/>
        </w:rPr>
      </w:pPr>
      <w:r w:rsidRPr="00834149">
        <w:rPr>
          <w:rFonts w:cs="Times New Roman"/>
          <w:b/>
          <w:i/>
        </w:rPr>
        <w:t xml:space="preserve">Results Indicators for Objective 1.1: </w:t>
      </w:r>
      <w:r w:rsidR="0093116C" w:rsidRPr="00834149">
        <w:rPr>
          <w:rFonts w:cs="Times New Roman"/>
          <w:b/>
          <w:i/>
        </w:rPr>
        <w:t xml:space="preserve">Strengthen </w:t>
      </w:r>
      <w:r w:rsidR="00FD4018" w:rsidRPr="00834149">
        <w:rPr>
          <w:rFonts w:cs="Times New Roman"/>
          <w:b/>
          <w:i/>
        </w:rPr>
        <w:t>fiscal policy and debt management</w:t>
      </w:r>
    </w:p>
    <w:p w14:paraId="73440C99" w14:textId="5B7F4DF1" w:rsidR="007B057A" w:rsidRPr="00834149" w:rsidRDefault="007B057A" w:rsidP="001D3171">
      <w:pPr>
        <w:pBdr>
          <w:top w:val="single" w:sz="4" w:space="1" w:color="auto"/>
          <w:left w:val="single" w:sz="4" w:space="4" w:color="auto"/>
          <w:bottom w:val="single" w:sz="4" w:space="1" w:color="auto"/>
          <w:right w:val="single" w:sz="4" w:space="4" w:color="auto"/>
        </w:pBdr>
        <w:shd w:val="clear" w:color="auto" w:fill="F8F8F0" w:themeFill="background2" w:themeFillTint="33"/>
        <w:rPr>
          <w:rFonts w:cs="Times New Roman"/>
        </w:rPr>
      </w:pPr>
      <w:r w:rsidRPr="00834149">
        <w:rPr>
          <w:rFonts w:cs="Times New Roman"/>
          <w:b/>
        </w:rPr>
        <w:t>Indicator 1:</w:t>
      </w:r>
      <w:r w:rsidRPr="00834149">
        <w:rPr>
          <w:rFonts w:cs="Times New Roman"/>
        </w:rPr>
        <w:t xml:space="preserve"> </w:t>
      </w:r>
      <w:r w:rsidR="00DA3CCE">
        <w:rPr>
          <w:rFonts w:cs="Times New Roman"/>
        </w:rPr>
        <w:t xml:space="preserve">Improved </w:t>
      </w:r>
      <w:r w:rsidRPr="00834149">
        <w:rPr>
          <w:rFonts w:cs="Times New Roman"/>
        </w:rPr>
        <w:t>Debt-to-GDP ratio</w:t>
      </w:r>
      <w:r w:rsidRPr="00834149">
        <w:rPr>
          <w:rFonts w:cs="Times New Roman"/>
          <w:i/>
        </w:rPr>
        <w:t xml:space="preserve"> (reduced from 77.4% in 2016 to 65% in 2020)</w:t>
      </w:r>
    </w:p>
    <w:p w14:paraId="16EC7212" w14:textId="39457FEB" w:rsidR="00560403" w:rsidRPr="00834149" w:rsidRDefault="00560403" w:rsidP="001D3171">
      <w:pPr>
        <w:rPr>
          <w:rFonts w:cs="Times New Roman"/>
          <w:b/>
          <w:smallCaps/>
        </w:rPr>
      </w:pPr>
    </w:p>
    <w:p w14:paraId="7BEA83EC" w14:textId="25FAF638" w:rsidR="00141696" w:rsidRPr="00834149" w:rsidRDefault="00141696" w:rsidP="001D3171">
      <w:pPr>
        <w:jc w:val="both"/>
        <w:rPr>
          <w:rFonts w:cs="Times New Roman"/>
          <w:b/>
          <w:smallCaps/>
        </w:rPr>
      </w:pPr>
      <w:r w:rsidRPr="00834149">
        <w:rPr>
          <w:rFonts w:cs="Times New Roman"/>
          <w:b/>
          <w:smallCaps/>
        </w:rPr>
        <w:t>Objective 1.</w:t>
      </w:r>
      <w:r w:rsidR="00142488" w:rsidRPr="00834149">
        <w:rPr>
          <w:rFonts w:cs="Times New Roman"/>
          <w:b/>
          <w:smallCaps/>
        </w:rPr>
        <w:t>2</w:t>
      </w:r>
      <w:r w:rsidR="00662D28" w:rsidRPr="00834149">
        <w:rPr>
          <w:rFonts w:cs="Times New Roman"/>
          <w:b/>
          <w:smallCaps/>
        </w:rPr>
        <w:t>:</w:t>
      </w:r>
      <w:r w:rsidRPr="00834149">
        <w:rPr>
          <w:rFonts w:cs="Times New Roman"/>
          <w:b/>
          <w:smallCaps/>
        </w:rPr>
        <w:t xml:space="preserve"> Improve </w:t>
      </w:r>
      <w:r w:rsidR="001E4455" w:rsidRPr="00834149">
        <w:rPr>
          <w:rFonts w:cs="Times New Roman"/>
          <w:b/>
          <w:smallCaps/>
        </w:rPr>
        <w:t>Business Environment and Employment Opportunities</w:t>
      </w:r>
    </w:p>
    <w:p w14:paraId="6ED3E6C6" w14:textId="77777777" w:rsidR="00BA5003" w:rsidRPr="00834149" w:rsidRDefault="00BA5003" w:rsidP="001D3171">
      <w:pPr>
        <w:jc w:val="both"/>
        <w:rPr>
          <w:rFonts w:cs="Times New Roman"/>
        </w:rPr>
      </w:pPr>
    </w:p>
    <w:p w14:paraId="215F57E0" w14:textId="25B35027" w:rsidR="006359FE" w:rsidRDefault="00D31D84" w:rsidP="00834149">
      <w:pPr>
        <w:pStyle w:val="ListParagraph"/>
        <w:numPr>
          <w:ilvl w:val="0"/>
          <w:numId w:val="2"/>
        </w:numPr>
        <w:ind w:left="0" w:firstLine="0"/>
        <w:contextualSpacing w:val="0"/>
        <w:jc w:val="both"/>
        <w:rPr>
          <w:rFonts w:cs="Times New Roman"/>
        </w:rPr>
      </w:pPr>
      <w:r w:rsidRPr="00834149">
        <w:rPr>
          <w:rFonts w:cs="Times New Roman"/>
          <w:b/>
        </w:rPr>
        <w:t xml:space="preserve">Under this objective, the WBG seeks to </w:t>
      </w:r>
      <w:r w:rsidR="00141696" w:rsidRPr="00834149">
        <w:rPr>
          <w:rFonts w:cs="Times New Roman"/>
          <w:b/>
        </w:rPr>
        <w:t>improve productivity and competitiveness</w:t>
      </w:r>
      <w:r w:rsidR="009B0BE9" w:rsidRPr="00834149">
        <w:rPr>
          <w:rFonts w:cs="Times New Roman"/>
          <w:b/>
        </w:rPr>
        <w:t xml:space="preserve">, </w:t>
      </w:r>
      <w:r w:rsidRPr="00834149">
        <w:rPr>
          <w:rFonts w:cs="Times New Roman"/>
          <w:b/>
        </w:rPr>
        <w:t xml:space="preserve">by supporting policies and investments that will lead to more </w:t>
      </w:r>
      <w:r w:rsidR="00534844" w:rsidRPr="00834149">
        <w:rPr>
          <w:rFonts w:cs="Times New Roman"/>
          <w:b/>
        </w:rPr>
        <w:t xml:space="preserve">formal businesses that can </w:t>
      </w:r>
      <w:r w:rsidR="00141696" w:rsidRPr="00834149">
        <w:rPr>
          <w:rFonts w:cs="Times New Roman"/>
          <w:b/>
        </w:rPr>
        <w:t>create more and better jobs and incomes</w:t>
      </w:r>
      <w:r w:rsidR="00D7256C" w:rsidRPr="00834149">
        <w:rPr>
          <w:rFonts w:cs="Times New Roman"/>
        </w:rPr>
        <w:t>.</w:t>
      </w:r>
      <w:r w:rsidR="00534844" w:rsidRPr="00834149">
        <w:rPr>
          <w:rFonts w:cs="Times New Roman"/>
        </w:rPr>
        <w:t xml:space="preserve"> </w:t>
      </w:r>
      <w:r w:rsidR="009B0BE9" w:rsidRPr="00834149">
        <w:rPr>
          <w:rFonts w:cs="Times New Roman"/>
        </w:rPr>
        <w:t>T</w:t>
      </w:r>
      <w:r w:rsidR="00B35640" w:rsidRPr="00834149">
        <w:rPr>
          <w:rFonts w:cs="Times New Roman"/>
        </w:rPr>
        <w:t xml:space="preserve">o build on the analysis gaps identified in the SCD and strengthen </w:t>
      </w:r>
      <w:r w:rsidR="009B0BE9" w:rsidRPr="00834149">
        <w:rPr>
          <w:rFonts w:cs="Times New Roman"/>
        </w:rPr>
        <w:t>the knowledge</w:t>
      </w:r>
      <w:r w:rsidR="0002732F" w:rsidRPr="00834149">
        <w:rPr>
          <w:rFonts w:cs="Times New Roman"/>
        </w:rPr>
        <w:t>-</w:t>
      </w:r>
      <w:r w:rsidR="00B35640" w:rsidRPr="00834149">
        <w:rPr>
          <w:rFonts w:cs="Times New Roman"/>
        </w:rPr>
        <w:t>base</w:t>
      </w:r>
      <w:r w:rsidR="0002732F" w:rsidRPr="00834149">
        <w:rPr>
          <w:rFonts w:cs="Times New Roman"/>
        </w:rPr>
        <w:t xml:space="preserve"> in this area</w:t>
      </w:r>
      <w:r w:rsidR="00F1746F" w:rsidRPr="00834149">
        <w:rPr>
          <w:rFonts w:cs="Times New Roman"/>
        </w:rPr>
        <w:t xml:space="preserve">, </w:t>
      </w:r>
      <w:r w:rsidR="00B35640" w:rsidRPr="00834149">
        <w:rPr>
          <w:rFonts w:cs="Times New Roman"/>
        </w:rPr>
        <w:t xml:space="preserve">the CPF proposes analysis on: </w:t>
      </w:r>
      <w:r w:rsidR="00BA32E0" w:rsidRPr="00834149">
        <w:rPr>
          <w:rFonts w:cs="Times New Roman"/>
          <w:color w:val="000000"/>
        </w:rPr>
        <w:t>(</w:t>
      </w:r>
      <w:r w:rsidR="001864A8" w:rsidRPr="00834149">
        <w:rPr>
          <w:rFonts w:cs="Times New Roman"/>
          <w:color w:val="000000"/>
        </w:rPr>
        <w:t xml:space="preserve">i) </w:t>
      </w:r>
      <w:r w:rsidR="00C80415" w:rsidRPr="00834149">
        <w:rPr>
          <w:rFonts w:cs="Times New Roman"/>
        </w:rPr>
        <w:t>sources of growth and competitiveness</w:t>
      </w:r>
      <w:r w:rsidR="00534844" w:rsidRPr="00834149">
        <w:rPr>
          <w:rFonts w:cs="Times New Roman"/>
        </w:rPr>
        <w:t xml:space="preserve">; </w:t>
      </w:r>
      <w:r w:rsidR="00BA32E0" w:rsidRPr="00834149">
        <w:rPr>
          <w:rFonts w:cs="Times New Roman"/>
        </w:rPr>
        <w:t>(</w:t>
      </w:r>
      <w:r w:rsidR="00534844" w:rsidRPr="00834149">
        <w:rPr>
          <w:rFonts w:cs="Times New Roman"/>
        </w:rPr>
        <w:t xml:space="preserve">ii) </w:t>
      </w:r>
      <w:r w:rsidR="00DA26F5" w:rsidRPr="00834149">
        <w:rPr>
          <w:rFonts w:cs="Times New Roman"/>
        </w:rPr>
        <w:t>Togo’s tax framework</w:t>
      </w:r>
      <w:r w:rsidR="00B35640" w:rsidRPr="00834149">
        <w:rPr>
          <w:rFonts w:cs="Times New Roman"/>
        </w:rPr>
        <w:t xml:space="preserve"> and its impact on growth and the private sector</w:t>
      </w:r>
      <w:r w:rsidR="0002732F" w:rsidRPr="00834149">
        <w:rPr>
          <w:rFonts w:cs="Times New Roman"/>
        </w:rPr>
        <w:t xml:space="preserve">; and (iii) Togo’s land regime and its impact on private economic activity, </w:t>
      </w:r>
      <w:r w:rsidR="0002732F" w:rsidRPr="00834149">
        <w:rPr>
          <w:rFonts w:cs="Times New Roman"/>
          <w:color w:val="000000"/>
        </w:rPr>
        <w:t>urban development, commercial-scale agricultural investments, land-based resource management, and female-owned farms</w:t>
      </w:r>
      <w:r w:rsidR="00BD7CAA" w:rsidRPr="00834149">
        <w:rPr>
          <w:rFonts w:cs="Times New Roman"/>
        </w:rPr>
        <w:t>.</w:t>
      </w:r>
      <w:r w:rsidR="00B35640" w:rsidRPr="00834149">
        <w:rPr>
          <w:rFonts w:cs="Times New Roman"/>
        </w:rPr>
        <w:t xml:space="preserve"> This </w:t>
      </w:r>
      <w:r w:rsidR="0002732F" w:rsidRPr="00834149">
        <w:rPr>
          <w:rFonts w:cs="Times New Roman"/>
        </w:rPr>
        <w:t xml:space="preserve">body of </w:t>
      </w:r>
      <w:r w:rsidR="00B35640" w:rsidRPr="00834149">
        <w:rPr>
          <w:rFonts w:cs="Times New Roman"/>
        </w:rPr>
        <w:t>analy</w:t>
      </w:r>
      <w:r w:rsidR="0002732F" w:rsidRPr="00834149">
        <w:rPr>
          <w:rFonts w:cs="Times New Roman"/>
        </w:rPr>
        <w:t>tical work</w:t>
      </w:r>
      <w:r w:rsidR="00B35640" w:rsidRPr="00834149">
        <w:rPr>
          <w:rFonts w:cs="Times New Roman"/>
        </w:rPr>
        <w:t xml:space="preserve"> would inform </w:t>
      </w:r>
      <w:r w:rsidR="0002732F" w:rsidRPr="00834149">
        <w:rPr>
          <w:rFonts w:cs="Times New Roman"/>
        </w:rPr>
        <w:t xml:space="preserve">several </w:t>
      </w:r>
      <w:r w:rsidR="00B35640" w:rsidRPr="00834149">
        <w:rPr>
          <w:rFonts w:cs="Times New Roman"/>
        </w:rPr>
        <w:t xml:space="preserve">IDA </w:t>
      </w:r>
      <w:r w:rsidR="0002732F" w:rsidRPr="00834149">
        <w:rPr>
          <w:rFonts w:cs="Times New Roman"/>
        </w:rPr>
        <w:t xml:space="preserve">operations </w:t>
      </w:r>
      <w:r w:rsidR="00B35640" w:rsidRPr="00834149">
        <w:rPr>
          <w:rFonts w:cs="Times New Roman"/>
        </w:rPr>
        <w:t>under the CPF</w:t>
      </w:r>
      <w:r w:rsidR="0093104F">
        <w:rPr>
          <w:rFonts w:cs="Times New Roman"/>
        </w:rPr>
        <w:t xml:space="preserve"> that would contribute to Objective 1.2</w:t>
      </w:r>
      <w:r w:rsidR="00B35640" w:rsidRPr="00834149">
        <w:rPr>
          <w:rFonts w:cs="Times New Roman"/>
        </w:rPr>
        <w:t>.</w:t>
      </w:r>
    </w:p>
    <w:p w14:paraId="34A0907D" w14:textId="77777777" w:rsidR="001D3171" w:rsidRPr="00834149" w:rsidRDefault="001D3171" w:rsidP="00834149">
      <w:pPr>
        <w:pStyle w:val="ListParagraph"/>
        <w:ind w:left="0"/>
        <w:contextualSpacing w:val="0"/>
        <w:jc w:val="both"/>
        <w:rPr>
          <w:rFonts w:cs="Times New Roman"/>
        </w:rPr>
      </w:pPr>
    </w:p>
    <w:p w14:paraId="05FA09DD" w14:textId="3A583828" w:rsidR="0002732F" w:rsidRPr="00834149" w:rsidRDefault="0002732F" w:rsidP="0002732F">
      <w:pPr>
        <w:pStyle w:val="ListParagraph"/>
        <w:numPr>
          <w:ilvl w:val="0"/>
          <w:numId w:val="2"/>
        </w:numPr>
        <w:spacing w:after="240"/>
        <w:ind w:left="0" w:firstLine="0"/>
        <w:contextualSpacing w:val="0"/>
        <w:jc w:val="both"/>
        <w:rPr>
          <w:rFonts w:cs="Times New Roman"/>
        </w:rPr>
      </w:pPr>
      <w:r w:rsidRPr="00834149">
        <w:rPr>
          <w:rFonts w:cs="Times New Roman"/>
          <w:b/>
        </w:rPr>
        <w:t xml:space="preserve">The </w:t>
      </w:r>
      <w:r w:rsidR="0093104F">
        <w:rPr>
          <w:rFonts w:cs="Times New Roman"/>
          <w:b/>
        </w:rPr>
        <w:t>proposed S</w:t>
      </w:r>
      <w:r w:rsidRPr="00834149">
        <w:rPr>
          <w:rFonts w:cs="Times New Roman"/>
          <w:b/>
        </w:rPr>
        <w:t xml:space="preserve">ources of </w:t>
      </w:r>
      <w:r w:rsidR="0093104F">
        <w:rPr>
          <w:rFonts w:cs="Times New Roman"/>
          <w:b/>
        </w:rPr>
        <w:t>Growth and C</w:t>
      </w:r>
      <w:r w:rsidRPr="00834149">
        <w:rPr>
          <w:rFonts w:cs="Times New Roman"/>
          <w:b/>
        </w:rPr>
        <w:t xml:space="preserve">ompetitiveness </w:t>
      </w:r>
      <w:r w:rsidR="0093104F">
        <w:rPr>
          <w:rFonts w:cs="Times New Roman"/>
          <w:b/>
        </w:rPr>
        <w:t>study</w:t>
      </w:r>
      <w:r w:rsidRPr="00834149">
        <w:rPr>
          <w:rFonts w:cs="Times New Roman"/>
          <w:b/>
        </w:rPr>
        <w:t xml:space="preserve"> (FY18) would examine issues related to sources of rural and urban growth, investment climate issues, export competitiveness, agricultural value chains and other issues related to private sector performance and competitiveness</w:t>
      </w:r>
      <w:r w:rsidRPr="00834149">
        <w:rPr>
          <w:rFonts w:cs="Times New Roman"/>
        </w:rPr>
        <w:t>. A future IDA investment operation on Competitiveness and Skills (FY19) drawing on this analytical work could include measures to improve the policy framework for investments and exports, attract export-oriented FDI, create backward linkages with domestic firms in high-potential sectors, and provide support to SMEs and for competitive value chains in agribusiness and other sectors, as well as investments in infrastructure.</w:t>
      </w:r>
    </w:p>
    <w:p w14:paraId="08B30227" w14:textId="1B731F09" w:rsidR="008E287F" w:rsidRPr="00834149" w:rsidRDefault="00D76BA6" w:rsidP="00834149">
      <w:pPr>
        <w:pStyle w:val="ListParagraph"/>
        <w:numPr>
          <w:ilvl w:val="0"/>
          <w:numId w:val="2"/>
        </w:numPr>
        <w:ind w:left="0" w:firstLine="0"/>
        <w:contextualSpacing w:val="0"/>
        <w:jc w:val="both"/>
        <w:rPr>
          <w:rFonts w:cs="Times New Roman"/>
          <w:b/>
        </w:rPr>
      </w:pPr>
      <w:r w:rsidRPr="00834149">
        <w:rPr>
          <w:rFonts w:cs="Times New Roman"/>
          <w:b/>
        </w:rPr>
        <w:lastRenderedPageBreak/>
        <w:t xml:space="preserve">In light of the government’s urgent need to promote private sector-led growth and attract more private participation in infrastructure investments, the </w:t>
      </w:r>
      <w:r w:rsidR="00B16E4E" w:rsidRPr="00834149">
        <w:rPr>
          <w:rFonts w:cs="Times New Roman"/>
          <w:b/>
        </w:rPr>
        <w:t>WBG</w:t>
      </w:r>
      <w:r w:rsidRPr="00834149">
        <w:rPr>
          <w:rFonts w:cs="Times New Roman"/>
          <w:b/>
        </w:rPr>
        <w:t xml:space="preserve"> would renew its support for public-private dialogue (PPD) and PPP</w:t>
      </w:r>
      <w:r w:rsidR="00B16E4E" w:rsidRPr="00834149">
        <w:rPr>
          <w:rFonts w:cs="Times New Roman"/>
          <w:b/>
        </w:rPr>
        <w:t>s</w:t>
      </w:r>
      <w:r w:rsidRPr="00834149">
        <w:rPr>
          <w:rFonts w:cs="Times New Roman"/>
        </w:rPr>
        <w:t xml:space="preserve">. The PPD is needed to ensure </w:t>
      </w:r>
      <w:r w:rsidR="0063713B" w:rsidRPr="00834149">
        <w:rPr>
          <w:rFonts w:cs="Times New Roman"/>
        </w:rPr>
        <w:t xml:space="preserve">that </w:t>
      </w:r>
      <w:r w:rsidRPr="00834149">
        <w:rPr>
          <w:rFonts w:cs="Times New Roman"/>
        </w:rPr>
        <w:t>government policies affect</w:t>
      </w:r>
      <w:r w:rsidR="0063713B" w:rsidRPr="00834149">
        <w:rPr>
          <w:rFonts w:cs="Times New Roman"/>
        </w:rPr>
        <w:t>ing</w:t>
      </w:r>
      <w:r w:rsidRPr="00834149">
        <w:rPr>
          <w:rFonts w:cs="Times New Roman"/>
        </w:rPr>
        <w:t xml:space="preserve"> the business environment better respond to private sector needs and take into account the experiences and knowledge of the private sector. </w:t>
      </w:r>
      <w:r w:rsidR="00E93FB3" w:rsidRPr="00834149">
        <w:rPr>
          <w:rFonts w:cs="Times New Roman"/>
        </w:rPr>
        <w:t>In addition, the Ministry of Economy and Finance has made establishing the legislative and institutional framework for PPPs a priority and seeks support to help identify priority investments suited to PPPs. T</w:t>
      </w:r>
      <w:r w:rsidRPr="00834149">
        <w:rPr>
          <w:rFonts w:cs="Times New Roman"/>
        </w:rPr>
        <w:t xml:space="preserve">he </w:t>
      </w:r>
      <w:r w:rsidR="00B16E4E" w:rsidRPr="00834149">
        <w:rPr>
          <w:rFonts w:cs="Times New Roman"/>
        </w:rPr>
        <w:t>WBG</w:t>
      </w:r>
      <w:r w:rsidR="007031CD" w:rsidRPr="00834149">
        <w:rPr>
          <w:rFonts w:cs="Times New Roman"/>
        </w:rPr>
        <w:t xml:space="preserve"> </w:t>
      </w:r>
      <w:r w:rsidR="00B35640" w:rsidRPr="00834149">
        <w:rPr>
          <w:rFonts w:cs="Times New Roman"/>
        </w:rPr>
        <w:t>would</w:t>
      </w:r>
      <w:r w:rsidR="00D17F18" w:rsidRPr="00834149">
        <w:rPr>
          <w:rFonts w:cs="Times New Roman"/>
        </w:rPr>
        <w:t xml:space="preserve"> provid</w:t>
      </w:r>
      <w:r w:rsidR="00B35640" w:rsidRPr="00834149">
        <w:rPr>
          <w:rFonts w:cs="Times New Roman"/>
        </w:rPr>
        <w:t>e</w:t>
      </w:r>
      <w:r w:rsidR="00D17F18" w:rsidRPr="00834149">
        <w:rPr>
          <w:rFonts w:cs="Times New Roman"/>
        </w:rPr>
        <w:t xml:space="preserve"> technical assistance to establish a PPP unit</w:t>
      </w:r>
      <w:r w:rsidR="00B35640" w:rsidRPr="00834149">
        <w:rPr>
          <w:rFonts w:cs="Times New Roman"/>
        </w:rPr>
        <w:t xml:space="preserve"> in the ministry</w:t>
      </w:r>
      <w:r w:rsidR="00E93FB3" w:rsidRPr="00834149">
        <w:rPr>
          <w:rFonts w:cs="Times New Roman"/>
        </w:rPr>
        <w:t xml:space="preserve"> </w:t>
      </w:r>
      <w:r w:rsidR="001C30C3" w:rsidRPr="00834149">
        <w:rPr>
          <w:rFonts w:cs="Times New Roman"/>
        </w:rPr>
        <w:t>with IDA and PPIAF trust fund support</w:t>
      </w:r>
      <w:r w:rsidR="00D17F18" w:rsidRPr="00834149">
        <w:rPr>
          <w:rFonts w:cs="Times New Roman"/>
        </w:rPr>
        <w:t>.</w:t>
      </w:r>
      <w:r w:rsidR="007031CD" w:rsidRPr="00834149">
        <w:rPr>
          <w:rFonts w:cs="Times New Roman"/>
        </w:rPr>
        <w:t xml:space="preserve"> </w:t>
      </w:r>
      <w:r w:rsidR="001C30C3" w:rsidRPr="00834149">
        <w:rPr>
          <w:rFonts w:cs="Times New Roman"/>
        </w:rPr>
        <w:t xml:space="preserve">The </w:t>
      </w:r>
      <w:r w:rsidR="006A6B5F" w:rsidRPr="00834149">
        <w:rPr>
          <w:rFonts w:cs="Times New Roman"/>
        </w:rPr>
        <w:t xml:space="preserve">World </w:t>
      </w:r>
      <w:r w:rsidR="001C30C3" w:rsidRPr="00834149">
        <w:rPr>
          <w:rFonts w:cs="Times New Roman"/>
        </w:rPr>
        <w:t xml:space="preserve">Bank’s analysis of the tax framework and advisory support from the </w:t>
      </w:r>
      <w:r w:rsidR="006A6B5F" w:rsidRPr="00834149">
        <w:rPr>
          <w:rFonts w:cs="Times New Roman"/>
        </w:rPr>
        <w:t xml:space="preserve">World </w:t>
      </w:r>
      <w:r w:rsidR="001C30C3" w:rsidRPr="00834149">
        <w:rPr>
          <w:rFonts w:cs="Times New Roman"/>
        </w:rPr>
        <w:t xml:space="preserve">Bank and IFC would also seek to help Togo </w:t>
      </w:r>
      <w:r w:rsidR="00652C61" w:rsidRPr="00834149">
        <w:rPr>
          <w:rFonts w:cs="Times New Roman"/>
        </w:rPr>
        <w:t xml:space="preserve">improve the business environment and performance measured in </w:t>
      </w:r>
      <w:r w:rsidR="00652C61" w:rsidRPr="00834149">
        <w:rPr>
          <w:rFonts w:cs="Times New Roman"/>
          <w:i/>
        </w:rPr>
        <w:t>Doing Business</w:t>
      </w:r>
      <w:r w:rsidR="00652C61" w:rsidRPr="00834149">
        <w:rPr>
          <w:rFonts w:cs="Times New Roman"/>
        </w:rPr>
        <w:t>.</w:t>
      </w:r>
      <w:r w:rsidR="0002732F" w:rsidRPr="00834149">
        <w:rPr>
          <w:rFonts w:cs="Times New Roman"/>
        </w:rPr>
        <w:t xml:space="preserve"> </w:t>
      </w:r>
      <w:r w:rsidR="00663DBC">
        <w:rPr>
          <w:rFonts w:cs="Times New Roman"/>
        </w:rPr>
        <w:t>The proposed a</w:t>
      </w:r>
      <w:r w:rsidR="00A679FD" w:rsidRPr="00834149">
        <w:rPr>
          <w:rFonts w:cs="Times New Roman"/>
        </w:rPr>
        <w:t xml:space="preserve">nalytical work on the land regime </w:t>
      </w:r>
      <w:r w:rsidR="00663DBC">
        <w:rPr>
          <w:rFonts w:cs="Times New Roman"/>
        </w:rPr>
        <w:t>could also look at</w:t>
      </w:r>
      <w:r w:rsidR="00A679FD" w:rsidRPr="00834149">
        <w:rPr>
          <w:rFonts w:cs="Times New Roman"/>
        </w:rPr>
        <w:t xml:space="preserve"> </w:t>
      </w:r>
      <w:r w:rsidR="00F74F1B">
        <w:rPr>
          <w:rFonts w:cs="Times New Roman"/>
        </w:rPr>
        <w:t xml:space="preserve">issues concerning modernizing the </w:t>
      </w:r>
      <w:r w:rsidR="00A679FD" w:rsidRPr="00834149">
        <w:rPr>
          <w:rFonts w:cs="Times New Roman"/>
        </w:rPr>
        <w:t xml:space="preserve">cadaster </w:t>
      </w:r>
      <w:r w:rsidR="00F74F1B">
        <w:rPr>
          <w:rFonts w:cs="Times New Roman"/>
        </w:rPr>
        <w:t>to facilitate private sector activities</w:t>
      </w:r>
      <w:r w:rsidR="00A679FD" w:rsidRPr="00834149">
        <w:rPr>
          <w:rFonts w:cs="Times New Roman"/>
        </w:rPr>
        <w:t xml:space="preserve">. </w:t>
      </w:r>
    </w:p>
    <w:p w14:paraId="7976D5FD" w14:textId="77777777" w:rsidR="00D11EC5" w:rsidRPr="00834149" w:rsidRDefault="00D11EC5" w:rsidP="00834149">
      <w:pPr>
        <w:pStyle w:val="ListParagraph"/>
        <w:ind w:left="0"/>
        <w:contextualSpacing w:val="0"/>
        <w:jc w:val="both"/>
        <w:rPr>
          <w:rFonts w:cs="Times New Roman"/>
          <w:b/>
        </w:rPr>
      </w:pPr>
    </w:p>
    <w:p w14:paraId="7BC429F5" w14:textId="2E303E98" w:rsidR="00003866" w:rsidRPr="00834149" w:rsidRDefault="00003866" w:rsidP="00834149">
      <w:pPr>
        <w:pStyle w:val="ListParagraph"/>
        <w:numPr>
          <w:ilvl w:val="0"/>
          <w:numId w:val="2"/>
        </w:numPr>
        <w:ind w:left="0" w:firstLine="0"/>
        <w:contextualSpacing w:val="0"/>
        <w:jc w:val="both"/>
        <w:rPr>
          <w:rFonts w:cs="Times New Roman"/>
        </w:rPr>
      </w:pPr>
      <w:r w:rsidRPr="00834149">
        <w:rPr>
          <w:rFonts w:cs="Times New Roman"/>
          <w:b/>
          <w:color w:val="000000"/>
        </w:rPr>
        <w:t xml:space="preserve">Togo’s capacity to transform and diversify its economy will </w:t>
      </w:r>
      <w:r w:rsidR="00655A41" w:rsidRPr="00834149">
        <w:rPr>
          <w:rFonts w:cs="Times New Roman"/>
          <w:b/>
          <w:color w:val="000000"/>
        </w:rPr>
        <w:t xml:space="preserve">also </w:t>
      </w:r>
      <w:r w:rsidRPr="00834149">
        <w:rPr>
          <w:rFonts w:cs="Times New Roman"/>
          <w:b/>
          <w:color w:val="000000"/>
        </w:rPr>
        <w:t>depend on the quality and quantity of its skilled labor</w:t>
      </w:r>
      <w:r w:rsidRPr="00834149">
        <w:rPr>
          <w:rFonts w:cs="Times New Roman"/>
          <w:color w:val="000000"/>
        </w:rPr>
        <w:t xml:space="preserve">. </w:t>
      </w:r>
      <w:r w:rsidR="00A65800" w:rsidRPr="00834149">
        <w:rPr>
          <w:rFonts w:cs="Times New Roman"/>
          <w:color w:val="000000"/>
        </w:rPr>
        <w:t xml:space="preserve">The disconnect between the jobs offered by the market and the education and skills provided through Togo’s education system contributes to the country’s high rate of underemployment. </w:t>
      </w:r>
      <w:r w:rsidR="00011FDC" w:rsidRPr="00834149">
        <w:rPr>
          <w:rFonts w:cs="Times New Roman"/>
        </w:rPr>
        <w:t>While the challenges of</w:t>
      </w:r>
      <w:r w:rsidR="008803EF" w:rsidRPr="00834149">
        <w:rPr>
          <w:rFonts w:cs="Times New Roman"/>
        </w:rPr>
        <w:t xml:space="preserve"> educational</w:t>
      </w:r>
      <w:r w:rsidR="00011FDC" w:rsidRPr="00834149">
        <w:rPr>
          <w:rFonts w:cs="Times New Roman"/>
        </w:rPr>
        <w:t xml:space="preserve"> quality are being progressively addressed at the primary and lower secondary </w:t>
      </w:r>
      <w:r w:rsidR="008803EF" w:rsidRPr="00834149">
        <w:rPr>
          <w:rFonts w:cs="Times New Roman"/>
        </w:rPr>
        <w:t>levels</w:t>
      </w:r>
      <w:r w:rsidR="00011FDC" w:rsidRPr="00834149">
        <w:rPr>
          <w:rFonts w:cs="Times New Roman"/>
        </w:rPr>
        <w:t>,</w:t>
      </w:r>
      <w:r w:rsidR="00011FDC" w:rsidRPr="00834149">
        <w:rPr>
          <w:rStyle w:val="FootnoteReference"/>
          <w:rFonts w:cs="Times New Roman"/>
        </w:rPr>
        <w:footnoteReference w:id="8"/>
      </w:r>
      <w:r w:rsidR="00011FDC" w:rsidRPr="00834149">
        <w:rPr>
          <w:rFonts w:cs="Times New Roman"/>
        </w:rPr>
        <w:t xml:space="preserve"> vocational and technical training (TVET) and tertiary educ</w:t>
      </w:r>
      <w:r w:rsidR="007031CD" w:rsidRPr="00834149">
        <w:rPr>
          <w:rFonts w:cs="Times New Roman"/>
        </w:rPr>
        <w:t>ation (TE) d</w:t>
      </w:r>
      <w:r w:rsidR="00011FDC" w:rsidRPr="00834149">
        <w:rPr>
          <w:rFonts w:cs="Times New Roman"/>
        </w:rPr>
        <w:t>o not respond to market needs.</w:t>
      </w:r>
      <w:r w:rsidRPr="00834149">
        <w:rPr>
          <w:rFonts w:cs="Times New Roman"/>
        </w:rPr>
        <w:t xml:space="preserve"> </w:t>
      </w:r>
      <w:r w:rsidR="006A6B5F" w:rsidRPr="00834149">
        <w:rPr>
          <w:rFonts w:cs="Times New Roman"/>
        </w:rPr>
        <w:t xml:space="preserve">World </w:t>
      </w:r>
      <w:r w:rsidRPr="00834149">
        <w:rPr>
          <w:rFonts w:cs="Times New Roman"/>
        </w:rPr>
        <w:t xml:space="preserve">Bank support </w:t>
      </w:r>
      <w:r w:rsidR="00A65800" w:rsidRPr="00834149">
        <w:rPr>
          <w:rFonts w:cs="Times New Roman"/>
        </w:rPr>
        <w:t>to</w:t>
      </w:r>
      <w:r w:rsidRPr="00834149">
        <w:rPr>
          <w:rFonts w:cs="Times New Roman"/>
        </w:rPr>
        <w:t xml:space="preserve"> </w:t>
      </w:r>
      <w:r w:rsidRPr="00834149">
        <w:rPr>
          <w:rFonts w:cs="Times New Roman"/>
          <w:lang w:val="en"/>
        </w:rPr>
        <w:t>reform TVET and TE to develop skills needed to boost the Togolese economy</w:t>
      </w:r>
      <w:r w:rsidR="00011FDC" w:rsidRPr="00834149">
        <w:rPr>
          <w:rFonts w:cs="Times New Roman"/>
          <w:lang w:val="en"/>
        </w:rPr>
        <w:t xml:space="preserve"> could be envisaged as part of the </w:t>
      </w:r>
      <w:r w:rsidR="00A65800" w:rsidRPr="00834149">
        <w:rPr>
          <w:rFonts w:cs="Times New Roman"/>
          <w:lang w:val="en"/>
        </w:rPr>
        <w:t xml:space="preserve">proposed </w:t>
      </w:r>
      <w:r w:rsidR="001C30C3" w:rsidRPr="00834149">
        <w:rPr>
          <w:rFonts w:cs="Times New Roman"/>
          <w:lang w:val="en"/>
        </w:rPr>
        <w:t>IDA operation to promote co</w:t>
      </w:r>
      <w:r w:rsidR="00011FDC" w:rsidRPr="00834149">
        <w:rPr>
          <w:rFonts w:cs="Times New Roman"/>
          <w:lang w:val="en"/>
        </w:rPr>
        <w:t>mpetitiveness</w:t>
      </w:r>
      <w:r w:rsidRPr="00834149">
        <w:rPr>
          <w:rFonts w:cs="Times New Roman"/>
          <w:lang w:val="en"/>
        </w:rPr>
        <w:t>.</w:t>
      </w:r>
      <w:r w:rsidR="00503B03" w:rsidRPr="00834149">
        <w:rPr>
          <w:rFonts w:cs="Times New Roman"/>
          <w:lang w:val="en"/>
        </w:rPr>
        <w:t xml:space="preserve"> </w:t>
      </w:r>
      <w:r w:rsidR="00ED367F" w:rsidRPr="00834149">
        <w:rPr>
          <w:rFonts w:cs="Times New Roman"/>
          <w:lang w:val="en"/>
        </w:rPr>
        <w:t xml:space="preserve">This </w:t>
      </w:r>
      <w:r w:rsidR="00503B03" w:rsidRPr="00834149">
        <w:rPr>
          <w:rFonts w:cs="Times New Roman"/>
          <w:lang w:val="en"/>
        </w:rPr>
        <w:t xml:space="preserve">support could </w:t>
      </w:r>
      <w:r w:rsidR="00ED367F" w:rsidRPr="00834149">
        <w:rPr>
          <w:rFonts w:cs="Times New Roman"/>
          <w:lang w:val="en"/>
        </w:rPr>
        <w:t>be designed in close collaboration with both public and private institutions with a view to developing</w:t>
      </w:r>
      <w:r w:rsidR="00503B03" w:rsidRPr="00834149">
        <w:rPr>
          <w:rFonts w:cs="Times New Roman"/>
          <w:lang w:val="en"/>
        </w:rPr>
        <w:t xml:space="preserve"> more relevant</w:t>
      </w:r>
      <w:r w:rsidR="0029029A" w:rsidRPr="00834149">
        <w:rPr>
          <w:rFonts w:cs="Times New Roman"/>
          <w:lang w:val="en"/>
        </w:rPr>
        <w:t>, professionalized</w:t>
      </w:r>
      <w:r w:rsidR="00503B03" w:rsidRPr="00834149">
        <w:rPr>
          <w:rFonts w:cs="Times New Roman"/>
          <w:lang w:val="en"/>
        </w:rPr>
        <w:t xml:space="preserve"> training programs.</w:t>
      </w:r>
      <w:r w:rsidR="00D657E2" w:rsidRPr="00834149">
        <w:rPr>
          <w:rFonts w:cs="Times New Roman"/>
          <w:lang w:val="en"/>
        </w:rPr>
        <w:t xml:space="preserve"> </w:t>
      </w:r>
      <w:r w:rsidR="003828F2" w:rsidRPr="00834149">
        <w:rPr>
          <w:rFonts w:cs="Times New Roman"/>
          <w:lang w:val="en"/>
        </w:rPr>
        <w:t xml:space="preserve">The </w:t>
      </w:r>
      <w:r w:rsidR="006A6B5F" w:rsidRPr="00834149">
        <w:rPr>
          <w:rFonts w:cs="Times New Roman"/>
          <w:lang w:val="en"/>
        </w:rPr>
        <w:t xml:space="preserve">World </w:t>
      </w:r>
      <w:r w:rsidR="003828F2" w:rsidRPr="00834149">
        <w:rPr>
          <w:rFonts w:cs="Times New Roman"/>
          <w:lang w:val="en"/>
        </w:rPr>
        <w:t xml:space="preserve">Bank would seek to mobilize </w:t>
      </w:r>
      <w:r w:rsidR="00A679FD" w:rsidRPr="00834149">
        <w:rPr>
          <w:rFonts w:cs="Times New Roman"/>
          <w:lang w:val="en"/>
        </w:rPr>
        <w:t>additional</w:t>
      </w:r>
      <w:r w:rsidR="003828F2" w:rsidRPr="00834149">
        <w:rPr>
          <w:rFonts w:cs="Times New Roman"/>
          <w:lang w:val="en"/>
        </w:rPr>
        <w:t xml:space="preserve"> donor support for </w:t>
      </w:r>
      <w:r w:rsidR="003C0042" w:rsidRPr="00834149">
        <w:rPr>
          <w:rFonts w:cs="Times New Roman"/>
          <w:lang w:val="en"/>
        </w:rPr>
        <w:t>TVET and TE</w:t>
      </w:r>
      <w:r w:rsidR="003828F2" w:rsidRPr="00834149">
        <w:rPr>
          <w:rFonts w:cs="Times New Roman"/>
          <w:lang w:val="en"/>
        </w:rPr>
        <w:t>.</w:t>
      </w:r>
      <w:r w:rsidR="003C0042" w:rsidRPr="00834149">
        <w:rPr>
          <w:rFonts w:cs="Times New Roman"/>
          <w:lang w:val="en"/>
        </w:rPr>
        <w:t xml:space="preserve"> A</w:t>
      </w:r>
      <w:r w:rsidR="008803EF" w:rsidRPr="00834149">
        <w:rPr>
          <w:rFonts w:cs="Times New Roman"/>
          <w:lang w:val="en"/>
        </w:rPr>
        <w:t>F</w:t>
      </w:r>
      <w:r w:rsidR="003C0042" w:rsidRPr="00834149">
        <w:rPr>
          <w:rFonts w:cs="Times New Roman"/>
          <w:lang w:val="en"/>
        </w:rPr>
        <w:t xml:space="preserve">D currently finances training programs in Lomé and is supporting </w:t>
      </w:r>
      <w:r w:rsidR="005559C3" w:rsidRPr="00834149">
        <w:rPr>
          <w:rFonts w:cs="Times New Roman"/>
          <w:lang w:val="en"/>
        </w:rPr>
        <w:t>an</w:t>
      </w:r>
      <w:r w:rsidR="003C0042" w:rsidRPr="00834149">
        <w:rPr>
          <w:rFonts w:cs="Times New Roman"/>
          <w:lang w:val="en"/>
        </w:rPr>
        <w:t xml:space="preserve"> expansion of rural training centers.</w:t>
      </w:r>
      <w:r w:rsidR="00B37A3E" w:rsidRPr="00834149">
        <w:rPr>
          <w:rFonts w:cs="Times New Roman"/>
          <w:lang w:val="en"/>
        </w:rPr>
        <w:t xml:space="preserve"> IFC is open to supporting private sector education and will continue to seek project promoters that satisfy its investment criteria.</w:t>
      </w:r>
    </w:p>
    <w:p w14:paraId="0BDE245D" w14:textId="77777777" w:rsidR="001D3171" w:rsidRPr="00834149" w:rsidRDefault="001D3171" w:rsidP="00834149">
      <w:pPr>
        <w:pStyle w:val="ListParagraph"/>
        <w:ind w:left="0"/>
        <w:contextualSpacing w:val="0"/>
        <w:jc w:val="both"/>
        <w:rPr>
          <w:rFonts w:cs="Times New Roman"/>
        </w:rPr>
      </w:pPr>
    </w:p>
    <w:p w14:paraId="770F8640" w14:textId="5921B390" w:rsidR="003C0042" w:rsidRPr="00834149" w:rsidRDefault="001C30C3" w:rsidP="00834149">
      <w:pPr>
        <w:pStyle w:val="ListParagraph"/>
        <w:numPr>
          <w:ilvl w:val="0"/>
          <w:numId w:val="2"/>
        </w:numPr>
        <w:ind w:left="0" w:firstLine="0"/>
        <w:contextualSpacing w:val="0"/>
        <w:jc w:val="both"/>
        <w:rPr>
          <w:rFonts w:eastAsia="Times New Roman" w:cs="Times New Roman"/>
        </w:rPr>
      </w:pPr>
      <w:r w:rsidRPr="00834149">
        <w:rPr>
          <w:rFonts w:cs="Times New Roman"/>
          <w:b/>
        </w:rPr>
        <w:t>T</w:t>
      </w:r>
      <w:r w:rsidR="003C0042" w:rsidRPr="00834149">
        <w:rPr>
          <w:rFonts w:cs="Times New Roman"/>
          <w:b/>
        </w:rPr>
        <w:t>he CPF</w:t>
      </w:r>
      <w:r w:rsidR="00006F27" w:rsidRPr="00834149">
        <w:rPr>
          <w:rFonts w:cs="Times New Roman"/>
          <w:b/>
        </w:rPr>
        <w:t xml:space="preserve"> </w:t>
      </w:r>
      <w:r w:rsidR="003C0042" w:rsidRPr="00834149">
        <w:rPr>
          <w:rFonts w:cs="Times New Roman"/>
          <w:b/>
        </w:rPr>
        <w:t xml:space="preserve">will seek to maximize </w:t>
      </w:r>
      <w:r w:rsidR="00A679FD" w:rsidRPr="00834149">
        <w:rPr>
          <w:rFonts w:cs="Times New Roman"/>
          <w:b/>
        </w:rPr>
        <w:t xml:space="preserve">skills-building and </w:t>
      </w:r>
      <w:r w:rsidR="003C0042" w:rsidRPr="00834149">
        <w:rPr>
          <w:rFonts w:cs="Times New Roman"/>
          <w:b/>
        </w:rPr>
        <w:t xml:space="preserve">employment opportunities in </w:t>
      </w:r>
      <w:r w:rsidR="00A679FD" w:rsidRPr="00834149">
        <w:rPr>
          <w:rFonts w:cs="Times New Roman"/>
          <w:b/>
        </w:rPr>
        <w:t xml:space="preserve">IDA </w:t>
      </w:r>
      <w:r w:rsidR="003C0042" w:rsidRPr="00834149">
        <w:rPr>
          <w:rFonts w:cs="Times New Roman"/>
          <w:b/>
        </w:rPr>
        <w:t>investment operations</w:t>
      </w:r>
      <w:r w:rsidR="003C0042" w:rsidRPr="00834149">
        <w:rPr>
          <w:rFonts w:cs="Times New Roman"/>
        </w:rPr>
        <w:t xml:space="preserve">. </w:t>
      </w:r>
      <w:r w:rsidR="00A679FD" w:rsidRPr="00834149">
        <w:rPr>
          <w:rFonts w:cs="Times New Roman"/>
        </w:rPr>
        <w:t xml:space="preserve">Proposed IDA </w:t>
      </w:r>
      <w:r w:rsidR="003C0042" w:rsidRPr="00834149">
        <w:rPr>
          <w:rFonts w:cs="Times New Roman"/>
        </w:rPr>
        <w:t xml:space="preserve">operations under the CPF would </w:t>
      </w:r>
      <w:r w:rsidR="00A679FD" w:rsidRPr="00834149">
        <w:rPr>
          <w:rFonts w:cs="Times New Roman"/>
        </w:rPr>
        <w:t xml:space="preserve">include activities to </w:t>
      </w:r>
      <w:r w:rsidR="003C0042" w:rsidRPr="00834149">
        <w:rPr>
          <w:rFonts w:cs="Times New Roman"/>
        </w:rPr>
        <w:t xml:space="preserve">assess the skills needed in specific sectors and incorporate training components </w:t>
      </w:r>
      <w:r w:rsidR="005559C3" w:rsidRPr="00834149">
        <w:rPr>
          <w:rFonts w:cs="Times New Roman"/>
        </w:rPr>
        <w:t xml:space="preserve">with a focus on </w:t>
      </w:r>
      <w:r w:rsidR="003C0042" w:rsidRPr="00834149">
        <w:rPr>
          <w:rFonts w:cs="Times New Roman"/>
        </w:rPr>
        <w:t xml:space="preserve">youth and women, as has been done </w:t>
      </w:r>
      <w:r w:rsidR="00A679FD" w:rsidRPr="00834149">
        <w:rPr>
          <w:rFonts w:cs="Times New Roman"/>
        </w:rPr>
        <w:t>for</w:t>
      </w:r>
      <w:r w:rsidR="003C0042" w:rsidRPr="00834149">
        <w:rPr>
          <w:rFonts w:cs="Times New Roman"/>
        </w:rPr>
        <w:t xml:space="preserve"> the IDA Transport and Logistics Facilitation Project</w:t>
      </w:r>
      <w:r w:rsidR="00A679FD" w:rsidRPr="00834149">
        <w:rPr>
          <w:rFonts w:cs="Times New Roman"/>
        </w:rPr>
        <w:t xml:space="preserve"> (FY17) and the Urban Infrastructure Project (FY18)</w:t>
      </w:r>
      <w:r w:rsidR="003C0042" w:rsidRPr="00834149">
        <w:rPr>
          <w:rFonts w:cs="Times New Roman"/>
        </w:rPr>
        <w:t xml:space="preserve">. Under the Employment Opportunities for Vulnerable Youth Project (FY17), IDA </w:t>
      </w:r>
      <w:r w:rsidR="008606A0" w:rsidRPr="00834149">
        <w:rPr>
          <w:rFonts w:cs="Times New Roman"/>
        </w:rPr>
        <w:t>is</w:t>
      </w:r>
      <w:r w:rsidR="003C0042" w:rsidRPr="00834149">
        <w:rPr>
          <w:rFonts w:cs="Times New Roman"/>
        </w:rPr>
        <w:t xml:space="preserve"> combin</w:t>
      </w:r>
      <w:r w:rsidR="008606A0" w:rsidRPr="00834149">
        <w:rPr>
          <w:rFonts w:cs="Times New Roman"/>
        </w:rPr>
        <w:t>ing</w:t>
      </w:r>
      <w:r w:rsidR="003C0042" w:rsidRPr="00834149">
        <w:rPr>
          <w:rFonts w:cs="Times New Roman"/>
        </w:rPr>
        <w:t xml:space="preserve"> community service (including labor</w:t>
      </w:r>
      <w:r w:rsidR="0029029A" w:rsidRPr="00834149">
        <w:rPr>
          <w:rFonts w:cs="Times New Roman"/>
        </w:rPr>
        <w:t>-</w:t>
      </w:r>
      <w:r w:rsidR="003C0042" w:rsidRPr="00834149">
        <w:rPr>
          <w:rFonts w:cs="Times New Roman"/>
        </w:rPr>
        <w:t>intensive public works jobs), on-the-job training, and support for income</w:t>
      </w:r>
      <w:r w:rsidR="0029029A" w:rsidRPr="00834149">
        <w:rPr>
          <w:rFonts w:cs="Times New Roman"/>
        </w:rPr>
        <w:t>-</w:t>
      </w:r>
      <w:r w:rsidR="003C0042" w:rsidRPr="00834149">
        <w:rPr>
          <w:rFonts w:cs="Times New Roman"/>
        </w:rPr>
        <w:t>generating activities. The project will provide seed</w:t>
      </w:r>
      <w:r w:rsidR="00A679FD" w:rsidRPr="00834149">
        <w:rPr>
          <w:rFonts w:cs="Times New Roman"/>
        </w:rPr>
        <w:t>-</w:t>
      </w:r>
      <w:r w:rsidR="003C0042" w:rsidRPr="00834149">
        <w:rPr>
          <w:rFonts w:cs="Times New Roman"/>
        </w:rPr>
        <w:t>funding</w:t>
      </w:r>
      <w:r w:rsidR="0029029A" w:rsidRPr="00834149">
        <w:rPr>
          <w:rFonts w:cs="Times New Roman"/>
        </w:rPr>
        <w:t>,</w:t>
      </w:r>
      <w:r w:rsidR="003C0042" w:rsidRPr="00834149">
        <w:rPr>
          <w:rFonts w:cs="Times New Roman"/>
        </w:rPr>
        <w:t xml:space="preserve"> basic skills building</w:t>
      </w:r>
      <w:r w:rsidR="0029029A" w:rsidRPr="00834149">
        <w:rPr>
          <w:rFonts w:cs="Times New Roman"/>
        </w:rPr>
        <w:t>,</w:t>
      </w:r>
      <w:r w:rsidR="003C0042" w:rsidRPr="00834149">
        <w:rPr>
          <w:rFonts w:cs="Times New Roman"/>
        </w:rPr>
        <w:t xml:space="preserve"> and other support for young men and women who have less than a primary school education</w:t>
      </w:r>
      <w:r w:rsidR="0029029A" w:rsidRPr="00834149">
        <w:rPr>
          <w:rFonts w:cs="Times New Roman"/>
        </w:rPr>
        <w:t xml:space="preserve">, providing </w:t>
      </w:r>
      <w:r w:rsidR="003C0042" w:rsidRPr="00834149">
        <w:rPr>
          <w:rFonts w:cs="Times New Roman"/>
        </w:rPr>
        <w:t xml:space="preserve">them </w:t>
      </w:r>
      <w:r w:rsidR="0029029A" w:rsidRPr="00834149">
        <w:rPr>
          <w:rFonts w:cs="Times New Roman"/>
        </w:rPr>
        <w:t xml:space="preserve">with opportunities </w:t>
      </w:r>
      <w:r w:rsidR="003C0042" w:rsidRPr="00834149">
        <w:rPr>
          <w:rFonts w:cs="Times New Roman"/>
        </w:rPr>
        <w:t>to launch microenterprises to help them secure more sustainable sources of income. The project has coordinated closely with GIZ’s youth employment program.</w:t>
      </w:r>
      <w:r w:rsidR="00B37A3E" w:rsidRPr="00834149">
        <w:rPr>
          <w:rFonts w:cs="Times New Roman"/>
        </w:rPr>
        <w:t xml:space="preserve"> IFC will continue to focus on maximizing job creation wherever possible</w:t>
      </w:r>
      <w:r w:rsidR="00006F27" w:rsidRPr="00834149">
        <w:rPr>
          <w:rFonts w:cs="Times New Roman"/>
        </w:rPr>
        <w:t xml:space="preserve"> in its investments</w:t>
      </w:r>
      <w:r w:rsidR="00B37A3E" w:rsidRPr="00834149">
        <w:rPr>
          <w:rFonts w:cs="Times New Roman"/>
        </w:rPr>
        <w:t>.</w:t>
      </w:r>
      <w:r w:rsidR="00A679FD" w:rsidRPr="00834149">
        <w:rPr>
          <w:rFonts w:cs="Times New Roman"/>
        </w:rPr>
        <w:t xml:space="preserve"> Several IDA operations include partnerships with local learning and research institutions, including the University of Lomé, and the </w:t>
      </w:r>
      <w:r w:rsidR="006A6B5F" w:rsidRPr="00834149">
        <w:rPr>
          <w:rFonts w:cs="Times New Roman"/>
        </w:rPr>
        <w:t xml:space="preserve">World </w:t>
      </w:r>
      <w:r w:rsidR="00A679FD" w:rsidRPr="00834149">
        <w:rPr>
          <w:rFonts w:cs="Times New Roman"/>
        </w:rPr>
        <w:t>Bank will seek to promote such partnerships throughout its interventions during the CPF.</w:t>
      </w:r>
    </w:p>
    <w:p w14:paraId="7CF27838" w14:textId="77777777" w:rsidR="001D3171" w:rsidRPr="00834149" w:rsidRDefault="001D3171" w:rsidP="00834149">
      <w:pPr>
        <w:pStyle w:val="ListParagraph"/>
        <w:ind w:left="0"/>
        <w:contextualSpacing w:val="0"/>
        <w:jc w:val="both"/>
        <w:rPr>
          <w:rFonts w:eastAsia="Times New Roman" w:cs="Times New Roman"/>
        </w:rPr>
      </w:pPr>
    </w:p>
    <w:p w14:paraId="294BE390" w14:textId="2BAA3FCC" w:rsidR="001763B7" w:rsidRDefault="00A679FD" w:rsidP="00834149">
      <w:pPr>
        <w:pStyle w:val="ListParagraph"/>
        <w:numPr>
          <w:ilvl w:val="0"/>
          <w:numId w:val="2"/>
        </w:numPr>
        <w:ind w:left="0" w:firstLine="0"/>
        <w:contextualSpacing w:val="0"/>
        <w:jc w:val="both"/>
        <w:rPr>
          <w:rFonts w:cs="Times New Roman"/>
        </w:rPr>
      </w:pPr>
      <w:r w:rsidRPr="00834149">
        <w:rPr>
          <w:rFonts w:cs="Times New Roman"/>
          <w:b/>
        </w:rPr>
        <w:t>Despite some productivity improvements in recent years, a</w:t>
      </w:r>
      <w:r w:rsidR="00BD7CAA" w:rsidRPr="00834149">
        <w:rPr>
          <w:rFonts w:cs="Times New Roman"/>
          <w:b/>
        </w:rPr>
        <w:t>griculture</w:t>
      </w:r>
      <w:r w:rsidR="00D744AE" w:rsidRPr="00834149">
        <w:rPr>
          <w:rFonts w:cs="Times New Roman"/>
          <w:b/>
        </w:rPr>
        <w:t xml:space="preserve"> </w:t>
      </w:r>
      <w:r w:rsidR="002604AB" w:rsidRPr="00834149">
        <w:rPr>
          <w:rFonts w:cs="Times New Roman"/>
          <w:b/>
        </w:rPr>
        <w:t>suffers from low productivity, shortages of key inputs and poor agricultural support services</w:t>
      </w:r>
      <w:r w:rsidR="00D744AE" w:rsidRPr="00834149">
        <w:rPr>
          <w:rFonts w:cs="Times New Roman"/>
          <w:b/>
        </w:rPr>
        <w:t xml:space="preserve">, resulting in low </w:t>
      </w:r>
      <w:r w:rsidRPr="00834149">
        <w:rPr>
          <w:rFonts w:cs="Times New Roman"/>
          <w:b/>
        </w:rPr>
        <w:t xml:space="preserve">rural </w:t>
      </w:r>
      <w:r w:rsidR="00D744AE" w:rsidRPr="00834149">
        <w:rPr>
          <w:rFonts w:cs="Times New Roman"/>
          <w:b/>
        </w:rPr>
        <w:t>incomes</w:t>
      </w:r>
      <w:r w:rsidR="002604AB" w:rsidRPr="00834149">
        <w:rPr>
          <w:rFonts w:cs="Times New Roman"/>
        </w:rPr>
        <w:t xml:space="preserve">. Output growth </w:t>
      </w:r>
      <w:r w:rsidRPr="00834149">
        <w:rPr>
          <w:rFonts w:cs="Times New Roman"/>
        </w:rPr>
        <w:t xml:space="preserve">in the sector </w:t>
      </w:r>
      <w:r w:rsidR="002604AB" w:rsidRPr="00834149">
        <w:rPr>
          <w:rFonts w:cs="Times New Roman"/>
        </w:rPr>
        <w:t xml:space="preserve">has </w:t>
      </w:r>
      <w:r w:rsidRPr="00834149">
        <w:rPr>
          <w:rFonts w:cs="Times New Roman"/>
        </w:rPr>
        <w:t xml:space="preserve">improved due to </w:t>
      </w:r>
      <w:r w:rsidR="00E83E01" w:rsidRPr="00834149">
        <w:rPr>
          <w:rFonts w:cs="Times New Roman"/>
        </w:rPr>
        <w:t>an</w:t>
      </w:r>
      <w:r w:rsidR="002604AB" w:rsidRPr="00834149">
        <w:rPr>
          <w:rFonts w:cs="Times New Roman"/>
        </w:rPr>
        <w:t xml:space="preserve"> increase in cultivated acreage</w:t>
      </w:r>
      <w:r w:rsidRPr="00834149">
        <w:rPr>
          <w:rFonts w:cs="Times New Roman"/>
        </w:rPr>
        <w:t xml:space="preserve"> and improvements in seeds, fertilizers and farming techniques</w:t>
      </w:r>
      <w:r w:rsidR="002604AB" w:rsidRPr="00834149">
        <w:rPr>
          <w:rFonts w:cs="Times New Roman"/>
        </w:rPr>
        <w:t xml:space="preserve">. </w:t>
      </w:r>
      <w:r w:rsidRPr="00834149">
        <w:rPr>
          <w:rFonts w:cs="Times New Roman"/>
        </w:rPr>
        <w:t>However, t</w:t>
      </w:r>
      <w:r w:rsidR="001763B7" w:rsidRPr="00834149">
        <w:rPr>
          <w:rFonts w:cs="Times New Roman"/>
        </w:rPr>
        <w:t xml:space="preserve">he SCD </w:t>
      </w:r>
      <w:r w:rsidR="002604AB" w:rsidRPr="00834149">
        <w:rPr>
          <w:rFonts w:cs="Times New Roman"/>
        </w:rPr>
        <w:t xml:space="preserve">identified </w:t>
      </w:r>
      <w:r w:rsidRPr="00834149">
        <w:rPr>
          <w:rFonts w:cs="Times New Roman"/>
        </w:rPr>
        <w:t xml:space="preserve">important </w:t>
      </w:r>
      <w:r w:rsidR="002604AB" w:rsidRPr="00834149">
        <w:rPr>
          <w:rFonts w:cs="Times New Roman"/>
        </w:rPr>
        <w:t xml:space="preserve">constraints </w:t>
      </w:r>
      <w:r w:rsidRPr="00834149">
        <w:rPr>
          <w:rFonts w:cs="Times New Roman"/>
        </w:rPr>
        <w:t xml:space="preserve">in the sector, such </w:t>
      </w:r>
      <w:r w:rsidR="002604AB" w:rsidRPr="00834149">
        <w:rPr>
          <w:rFonts w:cs="Times New Roman"/>
        </w:rPr>
        <w:t xml:space="preserve">as: </w:t>
      </w:r>
      <w:r w:rsidR="001763B7" w:rsidRPr="00834149">
        <w:rPr>
          <w:rFonts w:cs="Times New Roman"/>
        </w:rPr>
        <w:t>(</w:t>
      </w:r>
      <w:r w:rsidR="008803EF" w:rsidRPr="00834149">
        <w:rPr>
          <w:rFonts w:cs="Times New Roman"/>
        </w:rPr>
        <w:t>i</w:t>
      </w:r>
      <w:r w:rsidR="001763B7" w:rsidRPr="00834149">
        <w:rPr>
          <w:rFonts w:cs="Times New Roman"/>
        </w:rPr>
        <w:t>) poor</w:t>
      </w:r>
      <w:r w:rsidR="00E83E01" w:rsidRPr="00834149">
        <w:rPr>
          <w:rFonts w:cs="Times New Roman"/>
        </w:rPr>
        <w:t>-</w:t>
      </w:r>
      <w:r w:rsidR="001763B7" w:rsidRPr="00834149">
        <w:rPr>
          <w:rFonts w:cs="Times New Roman"/>
        </w:rPr>
        <w:t>quality extension services and limited agricultural research capacity</w:t>
      </w:r>
      <w:r w:rsidR="00467712">
        <w:rPr>
          <w:rFonts w:cs="Times New Roman"/>
        </w:rPr>
        <w:t>;</w:t>
      </w:r>
      <w:r w:rsidR="001763B7" w:rsidRPr="00834149">
        <w:rPr>
          <w:rFonts w:cs="Times New Roman"/>
        </w:rPr>
        <w:t xml:space="preserve"> limiting dissemination and adoption of new technologies; (</w:t>
      </w:r>
      <w:r w:rsidR="008803EF" w:rsidRPr="00834149">
        <w:rPr>
          <w:rFonts w:cs="Times New Roman"/>
        </w:rPr>
        <w:t>ii</w:t>
      </w:r>
      <w:r w:rsidR="001763B7" w:rsidRPr="00834149">
        <w:rPr>
          <w:rFonts w:cs="Times New Roman"/>
        </w:rPr>
        <w:t xml:space="preserve">) limited access to rural credit, which </w:t>
      </w:r>
      <w:r w:rsidR="001763B7" w:rsidRPr="00834149">
        <w:rPr>
          <w:rFonts w:cs="Times New Roman"/>
        </w:rPr>
        <w:lastRenderedPageBreak/>
        <w:t>prevents farmers from acquiring improved seeds and fertilizers; (</w:t>
      </w:r>
      <w:r w:rsidR="008803EF" w:rsidRPr="00834149">
        <w:rPr>
          <w:rFonts w:cs="Times New Roman"/>
        </w:rPr>
        <w:t>iii</w:t>
      </w:r>
      <w:r w:rsidR="001763B7" w:rsidRPr="00834149">
        <w:rPr>
          <w:rFonts w:cs="Times New Roman"/>
        </w:rPr>
        <w:t>) insufficient rural infrastructure and problematic access to agricultural water for production purposes; and (</w:t>
      </w:r>
      <w:r w:rsidR="008803EF" w:rsidRPr="00834149">
        <w:rPr>
          <w:rFonts w:cs="Times New Roman"/>
        </w:rPr>
        <w:t>iv</w:t>
      </w:r>
      <w:r w:rsidR="001763B7" w:rsidRPr="00834149">
        <w:rPr>
          <w:rFonts w:cs="Times New Roman"/>
        </w:rPr>
        <w:t>) high taxation</w:t>
      </w:r>
      <w:r w:rsidR="00E83E01" w:rsidRPr="00834149">
        <w:rPr>
          <w:rFonts w:cs="Times New Roman"/>
        </w:rPr>
        <w:t>, which deters</w:t>
      </w:r>
      <w:r w:rsidR="001763B7" w:rsidRPr="00834149">
        <w:rPr>
          <w:rFonts w:cs="Times New Roman"/>
        </w:rPr>
        <w:t xml:space="preserve"> private investment in the sector. </w:t>
      </w:r>
    </w:p>
    <w:p w14:paraId="31A4C660" w14:textId="112128B7" w:rsidR="001D3171" w:rsidRPr="00834149" w:rsidRDefault="001D3171" w:rsidP="00834149">
      <w:pPr>
        <w:pStyle w:val="ListParagraph"/>
        <w:ind w:left="0"/>
        <w:contextualSpacing w:val="0"/>
        <w:jc w:val="both"/>
        <w:rPr>
          <w:rFonts w:cs="Times New Roman"/>
        </w:rPr>
      </w:pPr>
    </w:p>
    <w:p w14:paraId="4176A886" w14:textId="7D6B4834" w:rsidR="00D56CE6" w:rsidRDefault="00E83E01" w:rsidP="00834149">
      <w:pPr>
        <w:pStyle w:val="ListParagraph"/>
        <w:numPr>
          <w:ilvl w:val="0"/>
          <w:numId w:val="2"/>
        </w:numPr>
        <w:ind w:left="0" w:firstLine="0"/>
        <w:contextualSpacing w:val="0"/>
        <w:jc w:val="both"/>
        <w:rPr>
          <w:rFonts w:cs="Times New Roman"/>
        </w:rPr>
      </w:pPr>
      <w:r w:rsidRPr="00834149">
        <w:rPr>
          <w:rFonts w:cs="Times New Roman"/>
          <w:b/>
        </w:rPr>
        <w:t>T</w:t>
      </w:r>
      <w:r w:rsidR="00E35951" w:rsidRPr="00834149">
        <w:rPr>
          <w:rFonts w:cs="Times New Roman"/>
          <w:b/>
        </w:rPr>
        <w:t>h</w:t>
      </w:r>
      <w:r w:rsidRPr="00834149">
        <w:rPr>
          <w:rFonts w:cs="Times New Roman"/>
          <w:b/>
        </w:rPr>
        <w:t xml:space="preserve">e WBG </w:t>
      </w:r>
      <w:r w:rsidR="006D043A" w:rsidRPr="00834149">
        <w:rPr>
          <w:rFonts w:cs="Times New Roman"/>
          <w:b/>
        </w:rPr>
        <w:t>seek</w:t>
      </w:r>
      <w:r w:rsidRPr="00834149">
        <w:rPr>
          <w:rFonts w:cs="Times New Roman"/>
          <w:b/>
        </w:rPr>
        <w:t>s</w:t>
      </w:r>
      <w:r w:rsidR="006D043A" w:rsidRPr="00834149">
        <w:rPr>
          <w:rFonts w:cs="Times New Roman"/>
          <w:b/>
        </w:rPr>
        <w:t xml:space="preserve"> to </w:t>
      </w:r>
      <w:r w:rsidR="00E35951" w:rsidRPr="00834149">
        <w:rPr>
          <w:rFonts w:cs="Times New Roman"/>
          <w:b/>
        </w:rPr>
        <w:t xml:space="preserve">assist Togo in </w:t>
      </w:r>
      <w:r w:rsidR="00DF70CB" w:rsidRPr="00834149">
        <w:rPr>
          <w:rFonts w:cs="Times New Roman"/>
          <w:b/>
        </w:rPr>
        <w:t xml:space="preserve">lifting </w:t>
      </w:r>
      <w:r w:rsidR="001763B7" w:rsidRPr="00834149">
        <w:rPr>
          <w:rFonts w:cs="Times New Roman"/>
          <w:b/>
        </w:rPr>
        <w:t xml:space="preserve">these constraints </w:t>
      </w:r>
      <w:r w:rsidRPr="00834149">
        <w:rPr>
          <w:rFonts w:cs="Times New Roman"/>
          <w:b/>
        </w:rPr>
        <w:t xml:space="preserve">to foster a more competitive sector with </w:t>
      </w:r>
      <w:r w:rsidR="001763B7" w:rsidRPr="00834149">
        <w:rPr>
          <w:rFonts w:cs="Times New Roman"/>
          <w:b/>
        </w:rPr>
        <w:t>higher value</w:t>
      </w:r>
      <w:r w:rsidR="00DF70CB" w:rsidRPr="00834149">
        <w:rPr>
          <w:rFonts w:cs="Times New Roman"/>
          <w:b/>
        </w:rPr>
        <w:t>-</w:t>
      </w:r>
      <w:r w:rsidRPr="00834149">
        <w:rPr>
          <w:rFonts w:cs="Times New Roman"/>
          <w:b/>
        </w:rPr>
        <w:t xml:space="preserve">added </w:t>
      </w:r>
      <w:r w:rsidR="00DF70CB" w:rsidRPr="00834149">
        <w:rPr>
          <w:rFonts w:cs="Times New Roman"/>
          <w:b/>
        </w:rPr>
        <w:t xml:space="preserve">productivity </w:t>
      </w:r>
      <w:r w:rsidRPr="00834149">
        <w:rPr>
          <w:rFonts w:cs="Times New Roman"/>
          <w:b/>
        </w:rPr>
        <w:t xml:space="preserve">and </w:t>
      </w:r>
      <w:r w:rsidR="00D744AE" w:rsidRPr="00834149">
        <w:rPr>
          <w:rFonts w:cs="Times New Roman"/>
          <w:b/>
        </w:rPr>
        <w:t>better incomes</w:t>
      </w:r>
      <w:r w:rsidR="001763B7" w:rsidRPr="00834149">
        <w:rPr>
          <w:rFonts w:cs="Times New Roman"/>
        </w:rPr>
        <w:t xml:space="preserve">. </w:t>
      </w:r>
      <w:r w:rsidR="00006F27" w:rsidRPr="00834149">
        <w:rPr>
          <w:rFonts w:cs="Times New Roman"/>
        </w:rPr>
        <w:t>Under IDA, a</w:t>
      </w:r>
      <w:r w:rsidR="006A5641" w:rsidRPr="00834149">
        <w:rPr>
          <w:rFonts w:cs="Times New Roman"/>
        </w:rPr>
        <w:t xml:space="preserve">dditional </w:t>
      </w:r>
      <w:r w:rsidRPr="00834149">
        <w:rPr>
          <w:rFonts w:cs="Times New Roman"/>
        </w:rPr>
        <w:t>f</w:t>
      </w:r>
      <w:r w:rsidR="006A5641" w:rsidRPr="00834149">
        <w:rPr>
          <w:rFonts w:cs="Times New Roman"/>
        </w:rPr>
        <w:t xml:space="preserve">inancing for </w:t>
      </w:r>
      <w:r w:rsidR="001763B7" w:rsidRPr="00834149">
        <w:rPr>
          <w:rFonts w:cs="Times New Roman"/>
        </w:rPr>
        <w:t>the Agriculture Support Project</w:t>
      </w:r>
      <w:r w:rsidR="006A5641" w:rsidRPr="00834149">
        <w:rPr>
          <w:rFonts w:cs="Times New Roman"/>
        </w:rPr>
        <w:t xml:space="preserve"> </w:t>
      </w:r>
      <w:r w:rsidR="001763B7" w:rsidRPr="00834149">
        <w:rPr>
          <w:rFonts w:cs="Times New Roman"/>
        </w:rPr>
        <w:t>(</w:t>
      </w:r>
      <w:r w:rsidR="006A5641" w:rsidRPr="00834149">
        <w:rPr>
          <w:rFonts w:cs="Times New Roman"/>
        </w:rPr>
        <w:t>PASA</w:t>
      </w:r>
      <w:r w:rsidR="001763B7" w:rsidRPr="00834149">
        <w:rPr>
          <w:rFonts w:cs="Times New Roman"/>
        </w:rPr>
        <w:t>)</w:t>
      </w:r>
      <w:r w:rsidR="006A5641" w:rsidRPr="00834149">
        <w:rPr>
          <w:rFonts w:cs="Times New Roman"/>
        </w:rPr>
        <w:t xml:space="preserve"> and </w:t>
      </w:r>
      <w:r w:rsidR="001763B7" w:rsidRPr="00834149">
        <w:rPr>
          <w:rFonts w:cs="Times New Roman"/>
        </w:rPr>
        <w:t>the West African Agriculture Productivity Project</w:t>
      </w:r>
      <w:r w:rsidRPr="00834149">
        <w:rPr>
          <w:rFonts w:cs="Times New Roman"/>
        </w:rPr>
        <w:t xml:space="preserve"> (WAAPP)</w:t>
      </w:r>
      <w:r w:rsidR="001C30C3" w:rsidRPr="00834149">
        <w:rPr>
          <w:rFonts w:cs="Times New Roman"/>
        </w:rPr>
        <w:t xml:space="preserve"> </w:t>
      </w:r>
      <w:r w:rsidRPr="00834149">
        <w:rPr>
          <w:rFonts w:cs="Times New Roman"/>
        </w:rPr>
        <w:t>in</w:t>
      </w:r>
      <w:r w:rsidR="001763B7" w:rsidRPr="00834149">
        <w:rPr>
          <w:rFonts w:cs="Times New Roman"/>
        </w:rPr>
        <w:t xml:space="preserve"> FY17 will </w:t>
      </w:r>
      <w:r w:rsidR="006D043A" w:rsidRPr="00834149">
        <w:rPr>
          <w:rFonts w:cs="Times New Roman"/>
        </w:rPr>
        <w:t xml:space="preserve">contribute to these objectives and include </w:t>
      </w:r>
      <w:r w:rsidR="001763B7" w:rsidRPr="00834149">
        <w:rPr>
          <w:rFonts w:cs="Times New Roman"/>
        </w:rPr>
        <w:t>s</w:t>
      </w:r>
      <w:r w:rsidR="006A5641" w:rsidRPr="00834149">
        <w:rPr>
          <w:rFonts w:cs="Times New Roman"/>
        </w:rPr>
        <w:t>cal</w:t>
      </w:r>
      <w:r w:rsidR="006D043A" w:rsidRPr="00834149">
        <w:rPr>
          <w:rFonts w:cs="Times New Roman"/>
        </w:rPr>
        <w:t>ing</w:t>
      </w:r>
      <w:r w:rsidR="006A5641" w:rsidRPr="00834149">
        <w:rPr>
          <w:rFonts w:cs="Times New Roman"/>
        </w:rPr>
        <w:t xml:space="preserve"> up</w:t>
      </w:r>
      <w:r w:rsidR="006D043A" w:rsidRPr="00834149">
        <w:rPr>
          <w:rFonts w:cs="Times New Roman"/>
        </w:rPr>
        <w:t xml:space="preserve"> support for</w:t>
      </w:r>
      <w:r w:rsidR="006A5641" w:rsidRPr="00834149">
        <w:rPr>
          <w:rFonts w:cs="Times New Roman"/>
        </w:rPr>
        <w:t xml:space="preserve"> agricultural productivity, value chain promotion, access to markets</w:t>
      </w:r>
      <w:r w:rsidR="009F05F6" w:rsidRPr="00834149">
        <w:rPr>
          <w:rFonts w:cs="Times New Roman"/>
        </w:rPr>
        <w:t xml:space="preserve"> and</w:t>
      </w:r>
      <w:r w:rsidR="006A5641" w:rsidRPr="00834149">
        <w:rPr>
          <w:rFonts w:cs="Times New Roman"/>
        </w:rPr>
        <w:t xml:space="preserve"> finance</w:t>
      </w:r>
      <w:r w:rsidR="009F05F6" w:rsidRPr="00834149">
        <w:rPr>
          <w:rFonts w:cs="Times New Roman"/>
        </w:rPr>
        <w:t xml:space="preserve">, and </w:t>
      </w:r>
      <w:r w:rsidRPr="00834149">
        <w:rPr>
          <w:rFonts w:cs="Times New Roman"/>
        </w:rPr>
        <w:t xml:space="preserve">efforts to attract </w:t>
      </w:r>
      <w:r w:rsidR="006A5641" w:rsidRPr="00834149">
        <w:rPr>
          <w:rFonts w:cs="Times New Roman"/>
        </w:rPr>
        <w:t xml:space="preserve">private investment </w:t>
      </w:r>
      <w:r w:rsidRPr="00834149">
        <w:rPr>
          <w:rFonts w:cs="Times New Roman"/>
        </w:rPr>
        <w:t xml:space="preserve">to </w:t>
      </w:r>
      <w:r w:rsidR="006A5641" w:rsidRPr="00834149">
        <w:rPr>
          <w:rFonts w:cs="Times New Roman"/>
        </w:rPr>
        <w:t xml:space="preserve">the agricultural sector. </w:t>
      </w:r>
      <w:r w:rsidR="001C30C3" w:rsidRPr="00834149">
        <w:rPr>
          <w:rFonts w:cs="Times New Roman"/>
        </w:rPr>
        <w:t>These additional financing</w:t>
      </w:r>
      <w:r w:rsidR="00597471" w:rsidRPr="00834149">
        <w:rPr>
          <w:rFonts w:cs="Times New Roman"/>
        </w:rPr>
        <w:t xml:space="preserve"> operation</w:t>
      </w:r>
      <w:r w:rsidR="001C30C3" w:rsidRPr="00834149">
        <w:rPr>
          <w:rFonts w:cs="Times New Roman"/>
        </w:rPr>
        <w:t xml:space="preserve">s have been prepared to consolidate the results of the original operations and provide bridge financing </w:t>
      </w:r>
      <w:r w:rsidR="00B175FD" w:rsidRPr="00834149">
        <w:rPr>
          <w:rFonts w:cs="Times New Roman"/>
        </w:rPr>
        <w:t xml:space="preserve">while a new generation of support for agriculture is defined based on proposed analytical work. </w:t>
      </w:r>
      <w:r w:rsidR="001763B7" w:rsidRPr="00834149">
        <w:rPr>
          <w:rFonts w:cs="Times New Roman"/>
        </w:rPr>
        <w:t xml:space="preserve">The </w:t>
      </w:r>
      <w:r w:rsidR="006D043A" w:rsidRPr="00834149">
        <w:rPr>
          <w:rFonts w:cs="Times New Roman"/>
        </w:rPr>
        <w:t xml:space="preserve">proposed </w:t>
      </w:r>
      <w:r w:rsidR="001763B7" w:rsidRPr="00834149">
        <w:rPr>
          <w:rFonts w:cs="Times New Roman"/>
        </w:rPr>
        <w:t>study on sources of growth and competitiveness would include a focus on rural growth</w:t>
      </w:r>
      <w:r w:rsidRPr="00834149">
        <w:rPr>
          <w:rFonts w:cs="Times New Roman"/>
        </w:rPr>
        <w:t>, examining</w:t>
      </w:r>
      <w:r w:rsidR="001763B7" w:rsidRPr="00834149">
        <w:rPr>
          <w:rFonts w:cs="Times New Roman"/>
        </w:rPr>
        <w:t xml:space="preserve"> agricultural value chains and </w:t>
      </w:r>
      <w:r w:rsidR="00FA423E" w:rsidRPr="00834149">
        <w:rPr>
          <w:rFonts w:cs="Times New Roman"/>
        </w:rPr>
        <w:t>inform</w:t>
      </w:r>
      <w:r w:rsidR="00B175FD" w:rsidRPr="00834149">
        <w:rPr>
          <w:rFonts w:cs="Times New Roman"/>
        </w:rPr>
        <w:t>ing</w:t>
      </w:r>
      <w:r w:rsidR="00FA423E" w:rsidRPr="00834149">
        <w:rPr>
          <w:rFonts w:cs="Times New Roman"/>
        </w:rPr>
        <w:t xml:space="preserve"> </w:t>
      </w:r>
      <w:r w:rsidR="00B175FD" w:rsidRPr="00834149">
        <w:rPr>
          <w:rFonts w:cs="Times New Roman"/>
        </w:rPr>
        <w:t>future</w:t>
      </w:r>
      <w:r w:rsidR="00FA423E" w:rsidRPr="00834149">
        <w:rPr>
          <w:rFonts w:cs="Times New Roman"/>
        </w:rPr>
        <w:t xml:space="preserve"> </w:t>
      </w:r>
      <w:r w:rsidR="00B175FD" w:rsidRPr="00834149">
        <w:rPr>
          <w:rFonts w:cs="Times New Roman"/>
        </w:rPr>
        <w:t xml:space="preserve">IDA </w:t>
      </w:r>
      <w:r w:rsidR="001763B7" w:rsidRPr="00834149">
        <w:rPr>
          <w:rFonts w:cs="Times New Roman"/>
        </w:rPr>
        <w:t>in</w:t>
      </w:r>
      <w:r w:rsidR="00FA423E" w:rsidRPr="00834149">
        <w:rPr>
          <w:rFonts w:cs="Times New Roman"/>
        </w:rPr>
        <w:t>vestment</w:t>
      </w:r>
      <w:r w:rsidR="00B175FD" w:rsidRPr="00834149">
        <w:rPr>
          <w:rFonts w:cs="Times New Roman"/>
        </w:rPr>
        <w:t>s</w:t>
      </w:r>
      <w:r w:rsidR="00FA423E" w:rsidRPr="00834149">
        <w:rPr>
          <w:rFonts w:cs="Times New Roman"/>
        </w:rPr>
        <w:t xml:space="preserve"> </w:t>
      </w:r>
      <w:r w:rsidR="00B175FD" w:rsidRPr="00834149">
        <w:rPr>
          <w:rFonts w:cs="Times New Roman"/>
        </w:rPr>
        <w:t>in agriculture</w:t>
      </w:r>
      <w:r w:rsidR="001763B7" w:rsidRPr="00834149">
        <w:rPr>
          <w:rFonts w:cs="Times New Roman"/>
        </w:rPr>
        <w:t xml:space="preserve">. </w:t>
      </w:r>
      <w:r w:rsidR="00B86054" w:rsidRPr="00834149">
        <w:rPr>
          <w:rFonts w:cs="Times New Roman"/>
        </w:rPr>
        <w:t>The</w:t>
      </w:r>
      <w:r w:rsidR="00B175FD" w:rsidRPr="00834149">
        <w:rPr>
          <w:rFonts w:cs="Times New Roman"/>
        </w:rPr>
        <w:t>se programs</w:t>
      </w:r>
      <w:r w:rsidR="00B86054" w:rsidRPr="00834149">
        <w:rPr>
          <w:rFonts w:cs="Times New Roman"/>
        </w:rPr>
        <w:t xml:space="preserve"> support </w:t>
      </w:r>
      <w:r w:rsidR="00B175FD" w:rsidRPr="00834149">
        <w:rPr>
          <w:rFonts w:cs="Times New Roman"/>
        </w:rPr>
        <w:t xml:space="preserve">Togo’s </w:t>
      </w:r>
      <w:r w:rsidR="00B86054" w:rsidRPr="00834149">
        <w:rPr>
          <w:rFonts w:cs="Times New Roman"/>
        </w:rPr>
        <w:t xml:space="preserve">national agriculture </w:t>
      </w:r>
      <w:r w:rsidR="00B175FD" w:rsidRPr="00834149">
        <w:rPr>
          <w:rFonts w:cs="Times New Roman"/>
        </w:rPr>
        <w:t xml:space="preserve">strategy </w:t>
      </w:r>
      <w:r w:rsidR="00B86054" w:rsidRPr="00834149">
        <w:rPr>
          <w:rFonts w:cs="Times New Roman"/>
        </w:rPr>
        <w:t>(PNIASA), which also receives support from IFAD</w:t>
      </w:r>
      <w:r w:rsidR="00B175FD" w:rsidRPr="00834149">
        <w:rPr>
          <w:rFonts w:cs="Times New Roman"/>
        </w:rPr>
        <w:t xml:space="preserve"> and GAFSP trust fund</w:t>
      </w:r>
      <w:r w:rsidR="00B86054" w:rsidRPr="00834149">
        <w:rPr>
          <w:rFonts w:cs="Times New Roman"/>
        </w:rPr>
        <w:t xml:space="preserve">. </w:t>
      </w:r>
      <w:r w:rsidR="00704141" w:rsidRPr="00834149">
        <w:rPr>
          <w:rFonts w:cs="Times New Roman"/>
        </w:rPr>
        <w:t xml:space="preserve">Under the </w:t>
      </w:r>
      <w:r w:rsidR="00006F27" w:rsidRPr="00834149">
        <w:rPr>
          <w:rFonts w:cs="Times New Roman"/>
        </w:rPr>
        <w:t>IFC</w:t>
      </w:r>
      <w:r w:rsidR="00704141" w:rsidRPr="00834149">
        <w:rPr>
          <w:rFonts w:cs="Times New Roman"/>
        </w:rPr>
        <w:t xml:space="preserve"> program</w:t>
      </w:r>
      <w:r w:rsidR="00006F27" w:rsidRPr="00834149">
        <w:rPr>
          <w:rFonts w:cs="Times New Roman"/>
        </w:rPr>
        <w:t xml:space="preserve">, an assessment of </w:t>
      </w:r>
      <w:r w:rsidR="00704141" w:rsidRPr="00834149">
        <w:rPr>
          <w:rFonts w:cs="Times New Roman"/>
        </w:rPr>
        <w:t xml:space="preserve">the </w:t>
      </w:r>
      <w:r w:rsidR="00006F27" w:rsidRPr="00834149">
        <w:rPr>
          <w:rFonts w:cs="Times New Roman"/>
        </w:rPr>
        <w:t>agriculture value chains and support needs</w:t>
      </w:r>
      <w:r w:rsidR="00704141" w:rsidRPr="00834149">
        <w:rPr>
          <w:rFonts w:cs="Times New Roman"/>
        </w:rPr>
        <w:t xml:space="preserve"> is being undertaken</w:t>
      </w:r>
      <w:r w:rsidR="00006F27" w:rsidRPr="00834149">
        <w:rPr>
          <w:rFonts w:cs="Times New Roman"/>
        </w:rPr>
        <w:t xml:space="preserve"> with a view </w:t>
      </w:r>
      <w:r w:rsidR="00B175FD" w:rsidRPr="00834149">
        <w:rPr>
          <w:rFonts w:cs="Times New Roman"/>
        </w:rPr>
        <w:t>to</w:t>
      </w:r>
      <w:r w:rsidR="00006F27" w:rsidRPr="00834149">
        <w:rPr>
          <w:rFonts w:cs="Times New Roman"/>
        </w:rPr>
        <w:t xml:space="preserve"> developing projects </w:t>
      </w:r>
      <w:r w:rsidR="00704141" w:rsidRPr="00834149">
        <w:rPr>
          <w:rFonts w:cs="Times New Roman"/>
        </w:rPr>
        <w:t xml:space="preserve">to finance </w:t>
      </w:r>
      <w:r w:rsidR="00006F27" w:rsidRPr="00834149">
        <w:rPr>
          <w:rFonts w:cs="Times New Roman"/>
        </w:rPr>
        <w:t>and provid</w:t>
      </w:r>
      <w:r w:rsidR="00704141" w:rsidRPr="00834149">
        <w:rPr>
          <w:rFonts w:cs="Times New Roman"/>
        </w:rPr>
        <w:t>e</w:t>
      </w:r>
      <w:r w:rsidR="00006F27" w:rsidRPr="00834149">
        <w:rPr>
          <w:rFonts w:cs="Times New Roman"/>
        </w:rPr>
        <w:t xml:space="preserve"> advisory services to small businesses and local banks. </w:t>
      </w:r>
      <w:r w:rsidR="00B86054" w:rsidRPr="00834149">
        <w:rPr>
          <w:rFonts w:cs="Times New Roman"/>
        </w:rPr>
        <w:t xml:space="preserve">AfDB is </w:t>
      </w:r>
      <w:r w:rsidR="00DF70CB" w:rsidRPr="00834149">
        <w:rPr>
          <w:rFonts w:cs="Times New Roman"/>
        </w:rPr>
        <w:t xml:space="preserve">recently </w:t>
      </w:r>
      <w:r w:rsidR="00B86054" w:rsidRPr="00834149">
        <w:rPr>
          <w:rFonts w:cs="Times New Roman"/>
        </w:rPr>
        <w:t>active in the sector</w:t>
      </w:r>
      <w:r w:rsidRPr="00834149">
        <w:rPr>
          <w:rFonts w:cs="Times New Roman"/>
        </w:rPr>
        <w:t>,</w:t>
      </w:r>
      <w:r w:rsidR="00B86054" w:rsidRPr="00834149">
        <w:rPr>
          <w:rFonts w:cs="Times New Roman"/>
        </w:rPr>
        <w:t xml:space="preserve"> with a new </w:t>
      </w:r>
      <w:r w:rsidR="00B86054" w:rsidRPr="00834149">
        <w:rPr>
          <w:rFonts w:cs="Times New Roman"/>
          <w:i/>
        </w:rPr>
        <w:t>Agropole</w:t>
      </w:r>
      <w:r w:rsidR="00B86054" w:rsidRPr="00834149">
        <w:rPr>
          <w:rFonts w:cs="Times New Roman"/>
        </w:rPr>
        <w:t xml:space="preserve"> project launched in 2016.</w:t>
      </w:r>
      <w:r w:rsidR="00120FFB" w:rsidRPr="00834149">
        <w:rPr>
          <w:rFonts w:cs="Times New Roman"/>
        </w:rPr>
        <w:t xml:space="preserve"> </w:t>
      </w:r>
    </w:p>
    <w:p w14:paraId="17BDFBB6" w14:textId="77777777" w:rsidR="001D3171" w:rsidRPr="00834149" w:rsidRDefault="001D3171" w:rsidP="00834149">
      <w:pPr>
        <w:pStyle w:val="ListParagraph"/>
        <w:ind w:left="0"/>
        <w:contextualSpacing w:val="0"/>
        <w:jc w:val="both"/>
        <w:rPr>
          <w:rFonts w:cs="Times New Roman"/>
        </w:rPr>
      </w:pPr>
    </w:p>
    <w:p w14:paraId="30BB3C9E" w14:textId="7460A50D" w:rsidR="00DF70CB" w:rsidRPr="00834149" w:rsidRDefault="00C50685" w:rsidP="00834149">
      <w:pPr>
        <w:pStyle w:val="ListParagraph"/>
        <w:numPr>
          <w:ilvl w:val="0"/>
          <w:numId w:val="2"/>
        </w:numPr>
        <w:ind w:left="0" w:firstLine="0"/>
        <w:contextualSpacing w:val="0"/>
        <w:jc w:val="both"/>
        <w:rPr>
          <w:rFonts w:cs="Times New Roman"/>
        </w:rPr>
      </w:pPr>
      <w:r w:rsidRPr="00834149">
        <w:rPr>
          <w:rFonts w:cs="Times New Roman"/>
          <w:b/>
        </w:rPr>
        <w:t>To harness th</w:t>
      </w:r>
      <w:r w:rsidR="00B175FD" w:rsidRPr="00834149">
        <w:rPr>
          <w:rFonts w:cs="Times New Roman"/>
          <w:b/>
        </w:rPr>
        <w:t xml:space="preserve">e </w:t>
      </w:r>
      <w:r w:rsidR="00C84D96" w:rsidRPr="00834149">
        <w:rPr>
          <w:rFonts w:cs="Times New Roman"/>
          <w:b/>
        </w:rPr>
        <w:t xml:space="preserve">mining </w:t>
      </w:r>
      <w:r w:rsidR="00B175FD" w:rsidRPr="00834149">
        <w:rPr>
          <w:rFonts w:cs="Times New Roman"/>
          <w:b/>
        </w:rPr>
        <w:t>sector’</w:t>
      </w:r>
      <w:r w:rsidRPr="00834149">
        <w:rPr>
          <w:rFonts w:cs="Times New Roman"/>
          <w:b/>
        </w:rPr>
        <w:t>s potential</w:t>
      </w:r>
      <w:r w:rsidR="00C84D96" w:rsidRPr="00834149">
        <w:rPr>
          <w:rFonts w:cs="Times New Roman"/>
          <w:b/>
        </w:rPr>
        <w:t xml:space="preserve"> as a sources of </w:t>
      </w:r>
      <w:r w:rsidR="00404536" w:rsidRPr="00834149">
        <w:rPr>
          <w:rFonts w:cs="Times New Roman"/>
          <w:b/>
        </w:rPr>
        <w:t xml:space="preserve">sustainable </w:t>
      </w:r>
      <w:r w:rsidR="00C84D96" w:rsidRPr="00834149">
        <w:rPr>
          <w:rFonts w:cs="Times New Roman"/>
          <w:b/>
        </w:rPr>
        <w:t>wealth for the country</w:t>
      </w:r>
      <w:r w:rsidRPr="00834149">
        <w:rPr>
          <w:rFonts w:cs="Times New Roman"/>
          <w:b/>
        </w:rPr>
        <w:t xml:space="preserve">, </w:t>
      </w:r>
      <w:r w:rsidR="00D56CE6" w:rsidRPr="00834149">
        <w:rPr>
          <w:rFonts w:cs="Times New Roman"/>
          <w:b/>
        </w:rPr>
        <w:t xml:space="preserve">Togo needs to </w:t>
      </w:r>
      <w:r w:rsidR="00B175FD" w:rsidRPr="00834149">
        <w:rPr>
          <w:rFonts w:cs="Times New Roman"/>
          <w:b/>
        </w:rPr>
        <w:t xml:space="preserve">strengthen </w:t>
      </w:r>
      <w:r w:rsidR="00D56CE6" w:rsidRPr="00834149">
        <w:rPr>
          <w:rFonts w:cs="Times New Roman"/>
          <w:b/>
        </w:rPr>
        <w:t>good governance practices related to transparency, accountability, and efficiency</w:t>
      </w:r>
      <w:r w:rsidR="00DF70CB" w:rsidRPr="00834149">
        <w:rPr>
          <w:rFonts w:cs="Times New Roman"/>
          <w:b/>
        </w:rPr>
        <w:t xml:space="preserve"> in the sector</w:t>
      </w:r>
      <w:r w:rsidR="00D56CE6" w:rsidRPr="00834149">
        <w:rPr>
          <w:rFonts w:cs="Times New Roman"/>
          <w:b/>
        </w:rPr>
        <w:t>.</w:t>
      </w:r>
      <w:r w:rsidR="00B175FD" w:rsidRPr="00834149">
        <w:rPr>
          <w:rFonts w:cs="Times New Roman"/>
        </w:rPr>
        <w:t xml:space="preserve"> </w:t>
      </w:r>
      <w:r w:rsidR="007C6C8E" w:rsidRPr="00834149">
        <w:rPr>
          <w:rFonts w:cs="Times New Roman"/>
        </w:rPr>
        <w:t xml:space="preserve">The </w:t>
      </w:r>
      <w:r w:rsidR="00006F27" w:rsidRPr="00834149">
        <w:rPr>
          <w:rFonts w:cs="Times New Roman"/>
        </w:rPr>
        <w:t xml:space="preserve">IDA </w:t>
      </w:r>
      <w:r w:rsidRPr="00834149">
        <w:rPr>
          <w:rFonts w:cs="Times New Roman"/>
        </w:rPr>
        <w:t>Mining Sector Governance and Development Project (</w:t>
      </w:r>
      <w:r w:rsidR="007C6C8E" w:rsidRPr="00834149">
        <w:rPr>
          <w:rFonts w:cs="Times New Roman"/>
        </w:rPr>
        <w:t>MGDP</w:t>
      </w:r>
      <w:r w:rsidRPr="00834149">
        <w:rPr>
          <w:rFonts w:cs="Times New Roman"/>
        </w:rPr>
        <w:t>), approved in FY15,</w:t>
      </w:r>
      <w:r w:rsidR="007C6C8E" w:rsidRPr="00834149">
        <w:rPr>
          <w:rFonts w:cs="Times New Roman"/>
        </w:rPr>
        <w:t xml:space="preserve"> </w:t>
      </w:r>
      <w:r w:rsidR="00D56CE6" w:rsidRPr="00834149">
        <w:rPr>
          <w:rFonts w:cs="Times New Roman"/>
        </w:rPr>
        <w:t>is</w:t>
      </w:r>
      <w:r w:rsidR="007C6C8E" w:rsidRPr="00834149">
        <w:rPr>
          <w:rFonts w:cs="Times New Roman"/>
        </w:rPr>
        <w:t xml:space="preserve"> </w:t>
      </w:r>
      <w:r w:rsidR="000D4B8B" w:rsidRPr="00834149">
        <w:rPr>
          <w:rFonts w:cs="Times New Roman"/>
        </w:rPr>
        <w:t>helping government establish</w:t>
      </w:r>
      <w:r w:rsidR="00CD10EC" w:rsidRPr="00834149">
        <w:rPr>
          <w:rFonts w:cs="Times New Roman"/>
        </w:rPr>
        <w:t xml:space="preserve"> mechanisms for monitoring extractive production data and a modernized mineral cadaster system to manage the registry of licenses and to monitor operations</w:t>
      </w:r>
      <w:r w:rsidR="007F1776" w:rsidRPr="00834149">
        <w:rPr>
          <w:rFonts w:cs="Times New Roman"/>
        </w:rPr>
        <w:t>, inter alia</w:t>
      </w:r>
      <w:r w:rsidR="00CD10EC" w:rsidRPr="00834149">
        <w:rPr>
          <w:rFonts w:cs="Times New Roman"/>
        </w:rPr>
        <w:t>.</w:t>
      </w:r>
      <w:r w:rsidR="002569DD" w:rsidRPr="00834149">
        <w:rPr>
          <w:rFonts w:cs="Times New Roman"/>
        </w:rPr>
        <w:t xml:space="preserve"> </w:t>
      </w:r>
      <w:r w:rsidRPr="00834149">
        <w:rPr>
          <w:rFonts w:cs="Times New Roman"/>
        </w:rPr>
        <w:t>Support includes</w:t>
      </w:r>
      <w:r w:rsidR="007C6C8E" w:rsidRPr="00834149">
        <w:rPr>
          <w:rFonts w:cs="Times New Roman"/>
        </w:rPr>
        <w:t xml:space="preserve"> capacity</w:t>
      </w:r>
      <w:r w:rsidR="000D4B8B" w:rsidRPr="00834149">
        <w:rPr>
          <w:rFonts w:cs="Times New Roman"/>
        </w:rPr>
        <w:t>-</w:t>
      </w:r>
      <w:r w:rsidRPr="00834149">
        <w:rPr>
          <w:rFonts w:cs="Times New Roman"/>
        </w:rPr>
        <w:t>building</w:t>
      </w:r>
      <w:r w:rsidR="007C6C8E" w:rsidRPr="00834149">
        <w:rPr>
          <w:rFonts w:cs="Times New Roman"/>
        </w:rPr>
        <w:t xml:space="preserve"> to enforce environmental and social obligations</w:t>
      </w:r>
      <w:r w:rsidRPr="00834149">
        <w:rPr>
          <w:rFonts w:cs="Times New Roman"/>
        </w:rPr>
        <w:t>,</w:t>
      </w:r>
      <w:r w:rsidR="007C6C8E" w:rsidRPr="00834149">
        <w:rPr>
          <w:rFonts w:cs="Times New Roman"/>
        </w:rPr>
        <w:t xml:space="preserve"> as well as mineral tax administration </w:t>
      </w:r>
      <w:r w:rsidR="00CD10EC" w:rsidRPr="00834149">
        <w:rPr>
          <w:rFonts w:cs="Times New Roman"/>
        </w:rPr>
        <w:t>to help ensure that natural resources are transformed into national wealth and social development</w:t>
      </w:r>
      <w:r w:rsidR="007C6C8E" w:rsidRPr="00834149">
        <w:rPr>
          <w:rFonts w:cs="Times New Roman"/>
        </w:rPr>
        <w:t>.</w:t>
      </w:r>
      <w:r w:rsidR="003D0259" w:rsidRPr="00834149">
        <w:rPr>
          <w:rFonts w:cs="Times New Roman"/>
          <w:b/>
        </w:rPr>
        <w:t xml:space="preserve"> </w:t>
      </w:r>
      <w:r w:rsidR="003D0259" w:rsidRPr="00834149">
        <w:rPr>
          <w:rFonts w:cs="Times New Roman"/>
        </w:rPr>
        <w:t>T</w:t>
      </w:r>
      <w:r w:rsidR="007C6C8E" w:rsidRPr="00834149">
        <w:rPr>
          <w:rFonts w:cs="Times New Roman"/>
        </w:rPr>
        <w:t>he MGDP also support</w:t>
      </w:r>
      <w:r w:rsidR="003D0259" w:rsidRPr="00834149">
        <w:rPr>
          <w:rFonts w:cs="Times New Roman"/>
        </w:rPr>
        <w:t>s</w:t>
      </w:r>
      <w:r w:rsidR="007C6C8E" w:rsidRPr="00834149">
        <w:rPr>
          <w:rFonts w:cs="Times New Roman"/>
        </w:rPr>
        <w:t xml:space="preserve"> the next generation of geologists and engineers through modernization of the curriculum at the University of Lomé and creation of </w:t>
      </w:r>
      <w:r w:rsidRPr="00834149">
        <w:rPr>
          <w:rFonts w:cs="Times New Roman"/>
        </w:rPr>
        <w:t xml:space="preserve">broadly accessible </w:t>
      </w:r>
      <w:r w:rsidR="007C6C8E" w:rsidRPr="00834149">
        <w:rPr>
          <w:rFonts w:cs="Times New Roman"/>
        </w:rPr>
        <w:t xml:space="preserve">information centers. The Extractive Industries Transparency Initiative (EITI) will complement sector support through annual publication of revenue flows and </w:t>
      </w:r>
      <w:r w:rsidR="00F31738" w:rsidRPr="00834149">
        <w:rPr>
          <w:rFonts w:cs="Times New Roman"/>
        </w:rPr>
        <w:t>s</w:t>
      </w:r>
      <w:r w:rsidR="007C6C8E" w:rsidRPr="00834149">
        <w:rPr>
          <w:rFonts w:cs="Times New Roman"/>
        </w:rPr>
        <w:t>ector statistics</w:t>
      </w:r>
      <w:r w:rsidR="007F1776" w:rsidRPr="00834149">
        <w:rPr>
          <w:rFonts w:cs="Times New Roman"/>
        </w:rPr>
        <w:t xml:space="preserve"> and </w:t>
      </w:r>
      <w:r w:rsidRPr="00834149">
        <w:rPr>
          <w:rFonts w:cs="Times New Roman"/>
        </w:rPr>
        <w:t xml:space="preserve">by </w:t>
      </w:r>
      <w:r w:rsidR="007F1776" w:rsidRPr="00834149">
        <w:rPr>
          <w:rFonts w:cs="Times New Roman"/>
        </w:rPr>
        <w:t>hosting an Accountability Forum, a platform for dialogue with civil society</w:t>
      </w:r>
      <w:r w:rsidR="007C6C8E" w:rsidRPr="00834149">
        <w:rPr>
          <w:rFonts w:cs="Times New Roman"/>
        </w:rPr>
        <w:t>.</w:t>
      </w:r>
    </w:p>
    <w:p w14:paraId="643C3240" w14:textId="3D5E4E6D" w:rsidR="007D24C9" w:rsidRPr="00834149" w:rsidRDefault="007D24C9" w:rsidP="001D3171">
      <w:pPr>
        <w:rPr>
          <w:rFonts w:cs="Times New Roman"/>
        </w:rPr>
      </w:pPr>
    </w:p>
    <w:p w14:paraId="140AB67A" w14:textId="3340E3A2" w:rsidR="00F91617" w:rsidRPr="00834149" w:rsidRDefault="00F91617" w:rsidP="00F91617">
      <w:pPr>
        <w:pBdr>
          <w:top w:val="single" w:sz="4" w:space="1" w:color="auto"/>
          <w:left w:val="single" w:sz="4" w:space="4" w:color="auto"/>
          <w:right w:val="single" w:sz="4" w:space="4" w:color="auto"/>
        </w:pBdr>
        <w:shd w:val="clear" w:color="auto" w:fill="D9D9D9" w:themeFill="background1" w:themeFillShade="D9"/>
        <w:jc w:val="both"/>
        <w:rPr>
          <w:rFonts w:cs="Times New Roman"/>
          <w:b/>
          <w:i/>
        </w:rPr>
      </w:pPr>
      <w:r w:rsidRPr="00834149">
        <w:rPr>
          <w:rFonts w:cs="Times New Roman"/>
          <w:b/>
          <w:i/>
        </w:rPr>
        <w:t>Results Indicators for Objective 1.</w:t>
      </w:r>
      <w:r w:rsidR="007B057A" w:rsidRPr="00834149">
        <w:rPr>
          <w:rFonts w:cs="Times New Roman"/>
          <w:b/>
          <w:i/>
        </w:rPr>
        <w:t>2</w:t>
      </w:r>
      <w:r w:rsidR="00C50685" w:rsidRPr="00834149">
        <w:rPr>
          <w:rFonts w:cs="Times New Roman"/>
          <w:b/>
          <w:i/>
        </w:rPr>
        <w:t>:</w:t>
      </w:r>
      <w:r w:rsidRPr="00834149">
        <w:rPr>
          <w:rFonts w:cs="Times New Roman"/>
          <w:b/>
          <w:i/>
        </w:rPr>
        <w:t xml:space="preserve"> Improv</w:t>
      </w:r>
      <w:r w:rsidR="00AC5BE0" w:rsidRPr="00834149">
        <w:rPr>
          <w:rFonts w:cs="Times New Roman"/>
          <w:b/>
          <w:i/>
        </w:rPr>
        <w:t>e</w:t>
      </w:r>
      <w:r w:rsidRPr="00834149">
        <w:rPr>
          <w:rFonts w:cs="Times New Roman"/>
          <w:b/>
          <w:i/>
        </w:rPr>
        <w:t xml:space="preserve"> </w:t>
      </w:r>
      <w:r w:rsidR="001E4455" w:rsidRPr="00834149">
        <w:rPr>
          <w:rFonts w:cs="Times New Roman"/>
          <w:b/>
          <w:i/>
        </w:rPr>
        <w:t>Business Environment and Employment Opportunities</w:t>
      </w:r>
    </w:p>
    <w:p w14:paraId="1B3A29C6" w14:textId="38F8917D" w:rsidR="004E2F4C" w:rsidRPr="00834149" w:rsidRDefault="00F91617" w:rsidP="0041062E">
      <w:pPr>
        <w:pBdr>
          <w:top w:val="single" w:sz="4" w:space="1" w:color="auto"/>
          <w:left w:val="single" w:sz="4" w:space="4" w:color="auto"/>
          <w:bottom w:val="single" w:sz="4" w:space="1" w:color="auto"/>
          <w:right w:val="single" w:sz="4" w:space="4" w:color="auto"/>
        </w:pBdr>
        <w:shd w:val="clear" w:color="auto" w:fill="F8F8F0" w:themeFill="background2" w:themeFillTint="33"/>
        <w:rPr>
          <w:rFonts w:cs="Times New Roman"/>
        </w:rPr>
      </w:pPr>
      <w:r w:rsidRPr="00834149">
        <w:rPr>
          <w:rFonts w:cs="Times New Roman"/>
          <w:b/>
        </w:rPr>
        <w:t xml:space="preserve">Indicator </w:t>
      </w:r>
      <w:r w:rsidR="007B057A" w:rsidRPr="00834149">
        <w:rPr>
          <w:rFonts w:cs="Times New Roman"/>
          <w:b/>
        </w:rPr>
        <w:t>1</w:t>
      </w:r>
      <w:r w:rsidRPr="00834149">
        <w:rPr>
          <w:rFonts w:cs="Times New Roman"/>
          <w:b/>
        </w:rPr>
        <w:t>:</w:t>
      </w:r>
      <w:r w:rsidRPr="00834149">
        <w:rPr>
          <w:rFonts w:cs="Times New Roman"/>
        </w:rPr>
        <w:t xml:space="preserve"> </w:t>
      </w:r>
      <w:r w:rsidR="00467712">
        <w:rPr>
          <w:rFonts w:cs="Times New Roman"/>
        </w:rPr>
        <w:t xml:space="preserve">Improved private sector regulatory performance, as measured by </w:t>
      </w:r>
      <w:r w:rsidR="00C50685" w:rsidRPr="00834149">
        <w:rPr>
          <w:rFonts w:cs="Times New Roman"/>
        </w:rPr>
        <w:t>Togo’s Doing Business “Distance to Frontier” score</w:t>
      </w:r>
      <w:r w:rsidR="004063E7" w:rsidRPr="00834149">
        <w:rPr>
          <w:rFonts w:cs="Times New Roman"/>
          <w:i/>
        </w:rPr>
        <w:t xml:space="preserve"> (improved from</w:t>
      </w:r>
      <w:r w:rsidR="00C50685" w:rsidRPr="00834149">
        <w:rPr>
          <w:rFonts w:cs="Times New Roman"/>
        </w:rPr>
        <w:t xml:space="preserve"> </w:t>
      </w:r>
      <w:r w:rsidR="00C50685" w:rsidRPr="00834149">
        <w:rPr>
          <w:rFonts w:cs="Times New Roman"/>
          <w:i/>
        </w:rPr>
        <w:t xml:space="preserve">48.57 </w:t>
      </w:r>
      <w:r w:rsidR="00C84D96" w:rsidRPr="00834149">
        <w:rPr>
          <w:rFonts w:cs="Times New Roman"/>
          <w:i/>
        </w:rPr>
        <w:t xml:space="preserve">in </w:t>
      </w:r>
      <w:r w:rsidR="00C50685" w:rsidRPr="00834149">
        <w:rPr>
          <w:rFonts w:cs="Times New Roman"/>
          <w:i/>
        </w:rPr>
        <w:t>DB17</w:t>
      </w:r>
      <w:r w:rsidR="004063E7" w:rsidRPr="00834149">
        <w:rPr>
          <w:rFonts w:cs="Times New Roman"/>
          <w:i/>
        </w:rPr>
        <w:t xml:space="preserve"> to</w:t>
      </w:r>
      <w:r w:rsidR="00C50685" w:rsidRPr="00834149">
        <w:rPr>
          <w:rFonts w:cs="Times New Roman"/>
          <w:i/>
        </w:rPr>
        <w:t xml:space="preserve"> 55.00 </w:t>
      </w:r>
      <w:r w:rsidR="00C84D96" w:rsidRPr="00834149">
        <w:rPr>
          <w:rFonts w:cs="Times New Roman"/>
          <w:i/>
        </w:rPr>
        <w:t xml:space="preserve">in </w:t>
      </w:r>
      <w:r w:rsidR="00C50685" w:rsidRPr="00834149">
        <w:rPr>
          <w:rFonts w:cs="Times New Roman"/>
          <w:i/>
        </w:rPr>
        <w:t>DB21)</w:t>
      </w:r>
    </w:p>
    <w:p w14:paraId="5F897167" w14:textId="61E5B33A" w:rsidR="00212CDA" w:rsidRPr="00834149" w:rsidRDefault="00212CDA" w:rsidP="0041062E">
      <w:pPr>
        <w:pBdr>
          <w:top w:val="single" w:sz="4" w:space="1" w:color="auto"/>
          <w:left w:val="single" w:sz="4" w:space="4" w:color="auto"/>
          <w:bottom w:val="single" w:sz="4" w:space="1" w:color="auto"/>
          <w:right w:val="single" w:sz="4" w:space="4" w:color="auto"/>
        </w:pBdr>
        <w:shd w:val="clear" w:color="auto" w:fill="F8F8F0" w:themeFill="background2" w:themeFillTint="33"/>
        <w:jc w:val="both"/>
        <w:rPr>
          <w:rFonts w:cs="Times New Roman"/>
          <w:b/>
        </w:rPr>
      </w:pPr>
      <w:r w:rsidRPr="00834149">
        <w:rPr>
          <w:rFonts w:cs="Times New Roman"/>
          <w:b/>
        </w:rPr>
        <w:t xml:space="preserve">Indicator </w:t>
      </w:r>
      <w:r w:rsidR="007B057A" w:rsidRPr="00834149">
        <w:rPr>
          <w:rFonts w:cs="Times New Roman"/>
          <w:b/>
        </w:rPr>
        <w:t>2</w:t>
      </w:r>
      <w:r w:rsidRPr="00834149">
        <w:rPr>
          <w:rFonts w:cs="Times New Roman"/>
          <w:b/>
        </w:rPr>
        <w:t>:</w:t>
      </w:r>
      <w:r w:rsidRPr="00834149">
        <w:rPr>
          <w:rFonts w:cs="Times New Roman"/>
        </w:rPr>
        <w:t xml:space="preserve"> </w:t>
      </w:r>
      <w:r w:rsidR="00C50685" w:rsidRPr="00834149">
        <w:rPr>
          <w:rFonts w:cs="Times New Roman"/>
        </w:rPr>
        <w:t>Improved employment options for Togolese youth</w:t>
      </w:r>
      <w:r w:rsidR="004063E7" w:rsidRPr="00834149">
        <w:rPr>
          <w:rFonts w:cs="Times New Roman"/>
          <w:i/>
        </w:rPr>
        <w:t xml:space="preserve"> (</w:t>
      </w:r>
      <w:r w:rsidR="00C50685" w:rsidRPr="00834149">
        <w:rPr>
          <w:rFonts w:cs="Times New Roman"/>
          <w:i/>
        </w:rPr>
        <w:t>number of youths trained and launching/expanding microenterprises</w:t>
      </w:r>
      <w:r w:rsidR="004063E7" w:rsidRPr="00834149">
        <w:rPr>
          <w:rFonts w:cs="Times New Roman"/>
          <w:i/>
        </w:rPr>
        <w:t xml:space="preserve"> increased from 0 in 2017 to 10,000 in 2020)</w:t>
      </w:r>
      <w:r w:rsidR="00F25C51" w:rsidRPr="00834149">
        <w:rPr>
          <w:rFonts w:cs="Times New Roman"/>
        </w:rPr>
        <w:t>*</w:t>
      </w:r>
    </w:p>
    <w:p w14:paraId="2AAA0691" w14:textId="4CAAB8FE" w:rsidR="00F91617" w:rsidRPr="00834149" w:rsidRDefault="004E2F4C" w:rsidP="0041062E">
      <w:pPr>
        <w:pBdr>
          <w:top w:val="single" w:sz="4" w:space="1" w:color="auto"/>
          <w:left w:val="single" w:sz="4" w:space="4" w:color="auto"/>
          <w:bottom w:val="single" w:sz="4" w:space="1" w:color="auto"/>
          <w:right w:val="single" w:sz="4" w:space="4" w:color="auto"/>
        </w:pBdr>
        <w:shd w:val="clear" w:color="auto" w:fill="F8F8F0" w:themeFill="background2" w:themeFillTint="33"/>
        <w:rPr>
          <w:rFonts w:cs="Times New Roman"/>
        </w:rPr>
      </w:pPr>
      <w:r w:rsidRPr="00834149">
        <w:rPr>
          <w:rFonts w:cs="Times New Roman"/>
          <w:b/>
        </w:rPr>
        <w:t xml:space="preserve">Indicator </w:t>
      </w:r>
      <w:r w:rsidR="007B057A" w:rsidRPr="00834149">
        <w:rPr>
          <w:rFonts w:cs="Times New Roman"/>
          <w:b/>
        </w:rPr>
        <w:t>3</w:t>
      </w:r>
      <w:r w:rsidRPr="00834149">
        <w:rPr>
          <w:rFonts w:cs="Times New Roman"/>
          <w:b/>
        </w:rPr>
        <w:t>:</w:t>
      </w:r>
      <w:r w:rsidRPr="00834149">
        <w:rPr>
          <w:rFonts w:cs="Times New Roman"/>
        </w:rPr>
        <w:t xml:space="preserve"> </w:t>
      </w:r>
      <w:r w:rsidR="00C50685" w:rsidRPr="00834149">
        <w:rPr>
          <w:rFonts w:cs="Times New Roman"/>
        </w:rPr>
        <w:t>Improved agricultural incomes</w:t>
      </w:r>
      <w:r w:rsidR="004063E7" w:rsidRPr="00834149">
        <w:rPr>
          <w:rFonts w:cs="Times New Roman"/>
          <w:i/>
        </w:rPr>
        <w:t xml:space="preserve"> (</w:t>
      </w:r>
      <w:r w:rsidR="00C50685" w:rsidRPr="00834149">
        <w:rPr>
          <w:rFonts w:cs="Times New Roman"/>
          <w:i/>
        </w:rPr>
        <w:t xml:space="preserve">average </w:t>
      </w:r>
      <w:r w:rsidR="00C56591" w:rsidRPr="00834149">
        <w:rPr>
          <w:rFonts w:cs="Times New Roman"/>
          <w:i/>
        </w:rPr>
        <w:t xml:space="preserve">income </w:t>
      </w:r>
      <w:r w:rsidR="004063E7" w:rsidRPr="00834149">
        <w:rPr>
          <w:rFonts w:cs="Times New Roman"/>
          <w:i/>
        </w:rPr>
        <w:t xml:space="preserve">of </w:t>
      </w:r>
      <w:r w:rsidR="00C56591" w:rsidRPr="00834149">
        <w:rPr>
          <w:rFonts w:cs="Times New Roman"/>
          <w:i/>
        </w:rPr>
        <w:t>direct beneficiaries</w:t>
      </w:r>
      <w:r w:rsidR="00C50685" w:rsidRPr="00834149">
        <w:rPr>
          <w:rFonts w:cs="Times New Roman"/>
          <w:i/>
        </w:rPr>
        <w:t xml:space="preserve"> of PASA</w:t>
      </w:r>
      <w:r w:rsidR="004063E7" w:rsidRPr="00834149">
        <w:rPr>
          <w:rFonts w:cs="Times New Roman"/>
          <w:i/>
        </w:rPr>
        <w:t xml:space="preserve"> increased by 25% by 2020)</w:t>
      </w:r>
    </w:p>
    <w:p w14:paraId="14814C95" w14:textId="0FDA0E3A" w:rsidR="00F25C51" w:rsidRPr="00834149" w:rsidRDefault="00F25C51" w:rsidP="00F25C51">
      <w:pPr>
        <w:rPr>
          <w:rFonts w:cs="Times New Roman"/>
          <w:i/>
        </w:rPr>
      </w:pPr>
      <w:r w:rsidRPr="00834149">
        <w:rPr>
          <w:rFonts w:cs="Times New Roman"/>
          <w:i/>
        </w:rPr>
        <w:t>*Baseline of “0” applies to the FY17 Employment Opportunities for Vulnerable Youth IDA operation.</w:t>
      </w:r>
    </w:p>
    <w:p w14:paraId="17AE6E21" w14:textId="70CB96BC" w:rsidR="00214F8F" w:rsidRPr="00834149" w:rsidRDefault="00214F8F">
      <w:pPr>
        <w:rPr>
          <w:rFonts w:cs="Times New Roman"/>
        </w:rPr>
      </w:pPr>
    </w:p>
    <w:p w14:paraId="26B5019E" w14:textId="7B748683" w:rsidR="00155E1C" w:rsidRPr="00834149" w:rsidRDefault="00155E1C" w:rsidP="00FE63E3">
      <w:pPr>
        <w:rPr>
          <w:rFonts w:cs="Times New Roman"/>
          <w:b/>
          <w:smallCaps/>
        </w:rPr>
      </w:pPr>
      <w:r w:rsidRPr="00834149">
        <w:rPr>
          <w:rFonts w:cs="Times New Roman"/>
          <w:b/>
          <w:smallCaps/>
        </w:rPr>
        <w:t>Objective 1.</w:t>
      </w:r>
      <w:r w:rsidR="00142488" w:rsidRPr="00834149">
        <w:rPr>
          <w:rFonts w:cs="Times New Roman"/>
          <w:b/>
          <w:smallCaps/>
        </w:rPr>
        <w:t>3</w:t>
      </w:r>
      <w:r w:rsidR="00662D28" w:rsidRPr="00834149">
        <w:rPr>
          <w:rFonts w:cs="Times New Roman"/>
          <w:b/>
          <w:smallCaps/>
        </w:rPr>
        <w:t>:</w:t>
      </w:r>
      <w:r w:rsidRPr="00834149">
        <w:rPr>
          <w:rFonts w:cs="Times New Roman"/>
          <w:b/>
          <w:smallCaps/>
        </w:rPr>
        <w:t xml:space="preserve"> </w:t>
      </w:r>
      <w:r w:rsidR="00DE12E8" w:rsidRPr="00834149">
        <w:rPr>
          <w:rFonts w:cs="Times New Roman"/>
          <w:b/>
          <w:smallCaps/>
        </w:rPr>
        <w:t xml:space="preserve">Strengthen </w:t>
      </w:r>
      <w:r w:rsidR="001E4455" w:rsidRPr="00834149">
        <w:rPr>
          <w:rFonts w:cs="Times New Roman"/>
          <w:b/>
          <w:smallCaps/>
        </w:rPr>
        <w:t>Energy, ICT and Logistics Services</w:t>
      </w:r>
    </w:p>
    <w:p w14:paraId="090BE032" w14:textId="77777777" w:rsidR="00BA5003" w:rsidRPr="00834149" w:rsidRDefault="00BA5003" w:rsidP="00541C07">
      <w:pPr>
        <w:pStyle w:val="Default"/>
        <w:jc w:val="both"/>
        <w:rPr>
          <w:rFonts w:asciiTheme="minorHAnsi" w:hAnsiTheme="minorHAnsi"/>
          <w:b/>
          <w:bCs/>
          <w:sz w:val="22"/>
          <w:szCs w:val="22"/>
        </w:rPr>
      </w:pPr>
    </w:p>
    <w:p w14:paraId="3814B036" w14:textId="654ACFDB" w:rsidR="0042298F" w:rsidRDefault="0042298F" w:rsidP="00834149">
      <w:pPr>
        <w:pStyle w:val="ListParagraph"/>
        <w:numPr>
          <w:ilvl w:val="0"/>
          <w:numId w:val="2"/>
        </w:numPr>
        <w:ind w:left="0" w:firstLine="0"/>
        <w:contextualSpacing w:val="0"/>
        <w:jc w:val="both"/>
        <w:rPr>
          <w:rFonts w:cs="Times New Roman"/>
        </w:rPr>
      </w:pPr>
      <w:r w:rsidRPr="00834149">
        <w:rPr>
          <w:rFonts w:cs="Times New Roman"/>
          <w:b/>
        </w:rPr>
        <w:t xml:space="preserve">Low effectiveness in the allocation of public investments and in </w:t>
      </w:r>
      <w:r w:rsidR="00244A8F" w:rsidRPr="00834149">
        <w:rPr>
          <w:rFonts w:cs="Times New Roman"/>
          <w:b/>
        </w:rPr>
        <w:t xml:space="preserve">the </w:t>
      </w:r>
      <w:r w:rsidRPr="00834149">
        <w:rPr>
          <w:rFonts w:cs="Times New Roman"/>
          <w:b/>
        </w:rPr>
        <w:t>govern</w:t>
      </w:r>
      <w:r w:rsidR="00AF7C26" w:rsidRPr="00834149">
        <w:rPr>
          <w:rFonts w:cs="Times New Roman"/>
          <w:b/>
        </w:rPr>
        <w:t>ance of</w:t>
      </w:r>
      <w:r w:rsidRPr="00834149">
        <w:rPr>
          <w:rFonts w:cs="Times New Roman"/>
          <w:b/>
        </w:rPr>
        <w:t xml:space="preserve"> infrastructure sectors has adversely affected the quality of </w:t>
      </w:r>
      <w:r w:rsidR="009A0A16" w:rsidRPr="00834149">
        <w:rPr>
          <w:rFonts w:cs="Times New Roman"/>
          <w:b/>
        </w:rPr>
        <w:t>Togo’s infrastructure services</w:t>
      </w:r>
      <w:r w:rsidR="00597471" w:rsidRPr="00834149">
        <w:rPr>
          <w:rFonts w:cs="Times New Roman"/>
          <w:b/>
        </w:rPr>
        <w:t>, which in turn hampers Togo’s growth potential</w:t>
      </w:r>
      <w:r w:rsidR="00BB2FCC" w:rsidRPr="00834149">
        <w:rPr>
          <w:rFonts w:cs="Times New Roman"/>
        </w:rPr>
        <w:t>.</w:t>
      </w:r>
      <w:r w:rsidRPr="00834149">
        <w:rPr>
          <w:rFonts w:cs="Times New Roman"/>
        </w:rPr>
        <w:t xml:space="preserve"> In particular, the poor quality and high price of electricity and ICT services constrain Togo’s competitiveness and </w:t>
      </w:r>
      <w:r w:rsidR="00244A8F" w:rsidRPr="00834149">
        <w:rPr>
          <w:rFonts w:cs="Times New Roman"/>
        </w:rPr>
        <w:t xml:space="preserve">potential for </w:t>
      </w:r>
      <w:r w:rsidRPr="00834149">
        <w:rPr>
          <w:rFonts w:cs="Times New Roman"/>
        </w:rPr>
        <w:t xml:space="preserve">inclusive growth. While national and rural </w:t>
      </w:r>
      <w:r w:rsidRPr="00834149">
        <w:rPr>
          <w:rFonts w:cs="Times New Roman"/>
        </w:rPr>
        <w:lastRenderedPageBreak/>
        <w:t xml:space="preserve">road infrastructure </w:t>
      </w:r>
      <w:r w:rsidR="00597471" w:rsidRPr="00834149">
        <w:rPr>
          <w:rFonts w:cs="Times New Roman"/>
        </w:rPr>
        <w:t xml:space="preserve">is </w:t>
      </w:r>
      <w:r w:rsidR="00E35951" w:rsidRPr="00834149">
        <w:rPr>
          <w:rFonts w:cs="Times New Roman"/>
        </w:rPr>
        <w:t>comparatively adequate</w:t>
      </w:r>
      <w:r w:rsidRPr="00834149">
        <w:rPr>
          <w:rFonts w:cs="Times New Roman"/>
        </w:rPr>
        <w:t xml:space="preserve"> and Togo’s transport sector is competitive within the region, continual improvement in logistics efficiency will be important to reinforce the country’s competitive advantage as a transport hub for the region.</w:t>
      </w:r>
    </w:p>
    <w:p w14:paraId="0214ED16" w14:textId="77777777" w:rsidR="003F04D0" w:rsidRPr="00834149" w:rsidRDefault="003F04D0" w:rsidP="00834149">
      <w:pPr>
        <w:pStyle w:val="ListParagraph"/>
        <w:ind w:left="0"/>
        <w:contextualSpacing w:val="0"/>
        <w:jc w:val="both"/>
        <w:rPr>
          <w:rFonts w:cs="Times New Roman"/>
        </w:rPr>
      </w:pPr>
    </w:p>
    <w:p w14:paraId="627E1D86" w14:textId="16B7C395" w:rsidR="0042298F" w:rsidRDefault="00D87D8F" w:rsidP="00834149">
      <w:pPr>
        <w:pStyle w:val="ListParagraph"/>
        <w:numPr>
          <w:ilvl w:val="0"/>
          <w:numId w:val="2"/>
        </w:numPr>
        <w:ind w:left="0" w:firstLine="0"/>
        <w:contextualSpacing w:val="0"/>
        <w:jc w:val="both"/>
        <w:rPr>
          <w:rFonts w:eastAsia="Times New Roman" w:cs="Times New Roman"/>
        </w:rPr>
      </w:pPr>
      <w:r w:rsidRPr="00834149">
        <w:rPr>
          <w:rFonts w:cs="Times New Roman"/>
          <w:b/>
        </w:rPr>
        <w:t>Poor governance of Togo’s electricity distribution company and a lack of independent regulation of the sector have undermined its ability to operate efficiently and in a</w:t>
      </w:r>
      <w:r w:rsidR="00BC7CCE">
        <w:rPr>
          <w:rFonts w:cs="Times New Roman"/>
          <w:b/>
        </w:rPr>
        <w:t xml:space="preserve"> financially sustainable manner</w:t>
      </w:r>
      <w:r w:rsidRPr="00834149">
        <w:rPr>
          <w:rFonts w:cs="Times New Roman"/>
        </w:rPr>
        <w:t xml:space="preserve">. </w:t>
      </w:r>
      <w:r w:rsidR="007D4F3B" w:rsidRPr="00834149">
        <w:rPr>
          <w:rFonts w:eastAsia="Times New Roman" w:cs="Times New Roman"/>
        </w:rPr>
        <w:t>The average tariff is less than the cost of service</w:t>
      </w:r>
      <w:r w:rsidR="00BB6DAA" w:rsidRPr="00834149">
        <w:rPr>
          <w:rFonts w:eastAsia="Times New Roman" w:cs="Times New Roman"/>
        </w:rPr>
        <w:t>,</w:t>
      </w:r>
      <w:r w:rsidR="007D4F3B" w:rsidRPr="00834149">
        <w:rPr>
          <w:rFonts w:eastAsia="Times New Roman" w:cs="Times New Roman"/>
        </w:rPr>
        <w:t xml:space="preserve"> leading to a financially unsustainable situation. </w:t>
      </w:r>
      <w:r w:rsidRPr="00834149">
        <w:rPr>
          <w:rFonts w:cs="Times New Roman"/>
        </w:rPr>
        <w:t>In addition, lack of investment</w:t>
      </w:r>
      <w:r w:rsidR="00ED56B0" w:rsidRPr="00834149">
        <w:rPr>
          <w:rFonts w:cs="Times New Roman"/>
        </w:rPr>
        <w:t xml:space="preserve"> in</w:t>
      </w:r>
      <w:r w:rsidRPr="00834149">
        <w:rPr>
          <w:rFonts w:cs="Times New Roman"/>
        </w:rPr>
        <w:t xml:space="preserve"> and maintenance of the distribution system have resulted in severe voltage drops and system losses (technical and commercial) of as high as 20 percent. </w:t>
      </w:r>
      <w:r w:rsidR="00C72A68" w:rsidRPr="00834149">
        <w:rPr>
          <w:rFonts w:cs="Times New Roman"/>
        </w:rPr>
        <w:t>Meanwhile, Togo’s electrification rates are estimated at 30 percent, with 56 percent of households having access in urban areas compared to 6 percent in rural areas. A relatively high share of Togolese firms consider problems with electricity (both cost and reliability) to be a major constraint</w:t>
      </w:r>
      <w:r w:rsidR="00C72A68" w:rsidRPr="00834149">
        <w:rPr>
          <w:rFonts w:cs="Times New Roman"/>
          <w:bCs/>
        </w:rPr>
        <w:t>.</w:t>
      </w:r>
      <w:r w:rsidR="00C72A68" w:rsidRPr="00834149">
        <w:rPr>
          <w:rFonts w:cs="Times New Roman"/>
          <w:b/>
          <w:bCs/>
        </w:rPr>
        <w:t xml:space="preserve"> </w:t>
      </w:r>
      <w:r w:rsidR="007D4F3B" w:rsidRPr="00834149">
        <w:rPr>
          <w:rFonts w:cs="Times New Roman"/>
        </w:rPr>
        <w:t xml:space="preserve">Although supply is stable today, </w:t>
      </w:r>
      <w:r w:rsidRPr="00834149">
        <w:rPr>
          <w:rFonts w:cs="Times New Roman"/>
        </w:rPr>
        <w:t>demand is growing</w:t>
      </w:r>
      <w:r w:rsidR="00ED56B0" w:rsidRPr="00834149">
        <w:rPr>
          <w:rFonts w:cs="Times New Roman"/>
        </w:rPr>
        <w:t xml:space="preserve"> and</w:t>
      </w:r>
      <w:r w:rsidR="007D4F3B" w:rsidRPr="00834149">
        <w:rPr>
          <w:rFonts w:cs="Times New Roman"/>
        </w:rPr>
        <w:t xml:space="preserve"> Togo will need </w:t>
      </w:r>
      <w:r w:rsidRPr="00834149">
        <w:rPr>
          <w:rFonts w:cs="Times New Roman"/>
        </w:rPr>
        <w:t>to upgrade and rehabilitate the distribution system and install greater capacity</w:t>
      </w:r>
      <w:r w:rsidR="007D4F3B" w:rsidRPr="00834149">
        <w:rPr>
          <w:rFonts w:cs="Times New Roman"/>
        </w:rPr>
        <w:t xml:space="preserve"> to avoid future shortages by 2021</w:t>
      </w:r>
      <w:r w:rsidRPr="00834149">
        <w:rPr>
          <w:rFonts w:cs="Times New Roman"/>
        </w:rPr>
        <w:t>.</w:t>
      </w:r>
      <w:r w:rsidR="003007C2" w:rsidRPr="00834149">
        <w:rPr>
          <w:rFonts w:cs="Times New Roman"/>
        </w:rPr>
        <w:t xml:space="preserve"> The </w:t>
      </w:r>
      <w:r w:rsidR="00C622A7" w:rsidRPr="00834149">
        <w:rPr>
          <w:rFonts w:cs="Times New Roman"/>
        </w:rPr>
        <w:t>G</w:t>
      </w:r>
      <w:r w:rsidR="003007C2" w:rsidRPr="00834149">
        <w:rPr>
          <w:rFonts w:cs="Times New Roman"/>
        </w:rPr>
        <w:t>overnment estim</w:t>
      </w:r>
      <w:r w:rsidR="00BC7CCE">
        <w:rPr>
          <w:rFonts w:cs="Times New Roman"/>
        </w:rPr>
        <w:t>ates it will need another 100MW</w:t>
      </w:r>
      <w:r w:rsidR="003007C2" w:rsidRPr="00834149">
        <w:rPr>
          <w:rFonts w:cs="Times New Roman"/>
        </w:rPr>
        <w:t xml:space="preserve"> by 2018</w:t>
      </w:r>
      <w:r w:rsidR="00BC7CCE">
        <w:rPr>
          <w:rFonts w:cs="Times New Roman"/>
        </w:rPr>
        <w:t xml:space="preserve"> to adequately meet demand</w:t>
      </w:r>
      <w:r w:rsidR="003007C2" w:rsidRPr="00834149">
        <w:rPr>
          <w:rFonts w:cs="Times New Roman"/>
        </w:rPr>
        <w:t xml:space="preserve">. </w:t>
      </w:r>
      <w:r w:rsidR="007C3D9F" w:rsidRPr="00834149">
        <w:rPr>
          <w:rFonts w:cs="Times New Roman"/>
        </w:rPr>
        <w:t>T</w:t>
      </w:r>
      <w:r w:rsidR="00BC7CCE">
        <w:rPr>
          <w:rFonts w:cs="Times New Roman"/>
        </w:rPr>
        <w:t>ogo</w:t>
      </w:r>
      <w:r w:rsidR="007D4F3B" w:rsidRPr="00834149">
        <w:rPr>
          <w:rFonts w:cs="Times New Roman"/>
        </w:rPr>
        <w:t xml:space="preserve"> also needs to invest in </w:t>
      </w:r>
      <w:r w:rsidR="007D4F3B" w:rsidRPr="00834149">
        <w:rPr>
          <w:rFonts w:eastAsia="Times New Roman" w:cs="Times New Roman"/>
        </w:rPr>
        <w:t>cheaper and cleaner electricity.</w:t>
      </w:r>
    </w:p>
    <w:p w14:paraId="567B05A3" w14:textId="77777777" w:rsidR="003F04D0" w:rsidRPr="00834149" w:rsidRDefault="003F04D0" w:rsidP="00834149">
      <w:pPr>
        <w:pStyle w:val="ListParagraph"/>
        <w:ind w:left="0"/>
        <w:contextualSpacing w:val="0"/>
        <w:jc w:val="both"/>
        <w:rPr>
          <w:rFonts w:eastAsia="Times New Roman" w:cs="Times New Roman"/>
        </w:rPr>
      </w:pPr>
    </w:p>
    <w:p w14:paraId="4F97AE60" w14:textId="23EE9571" w:rsidR="00CB2B1D" w:rsidRPr="00834149" w:rsidRDefault="00E72F96" w:rsidP="00834149">
      <w:pPr>
        <w:pStyle w:val="ListParagraph"/>
        <w:numPr>
          <w:ilvl w:val="0"/>
          <w:numId w:val="2"/>
        </w:numPr>
        <w:ind w:left="0" w:firstLine="0"/>
        <w:contextualSpacing w:val="0"/>
        <w:jc w:val="both"/>
        <w:rPr>
          <w:rFonts w:eastAsia="Times New Roman" w:cs="Times New Roman"/>
        </w:rPr>
      </w:pPr>
      <w:r w:rsidRPr="00834149">
        <w:rPr>
          <w:rFonts w:cs="Times New Roman"/>
          <w:b/>
        </w:rPr>
        <w:t xml:space="preserve">Resolving the governance and financial crisis in Togo’s electricity sector is a key priority for </w:t>
      </w:r>
      <w:r w:rsidR="00935EA3" w:rsidRPr="00834149">
        <w:rPr>
          <w:rFonts w:cs="Times New Roman"/>
          <w:b/>
        </w:rPr>
        <w:t xml:space="preserve">the </w:t>
      </w:r>
      <w:r w:rsidR="00C622A7" w:rsidRPr="00834149">
        <w:rPr>
          <w:rFonts w:cs="Times New Roman"/>
          <w:b/>
        </w:rPr>
        <w:t>G</w:t>
      </w:r>
      <w:r w:rsidRPr="00834149">
        <w:rPr>
          <w:rFonts w:cs="Times New Roman"/>
          <w:b/>
        </w:rPr>
        <w:t>overnment, as is upgrading the old distribution network and bringing electricity to rural communities</w:t>
      </w:r>
      <w:r w:rsidR="00A261DC" w:rsidRPr="00834149">
        <w:rPr>
          <w:rFonts w:cs="Times New Roman"/>
          <w:b/>
        </w:rPr>
        <w:t>;</w:t>
      </w:r>
      <w:r w:rsidR="007327A2" w:rsidRPr="00834149">
        <w:rPr>
          <w:rFonts w:cs="Times New Roman"/>
          <w:b/>
        </w:rPr>
        <w:t xml:space="preserve"> the </w:t>
      </w:r>
      <w:r w:rsidR="006A6B5F" w:rsidRPr="00834149">
        <w:rPr>
          <w:rFonts w:cs="Times New Roman"/>
          <w:b/>
        </w:rPr>
        <w:t xml:space="preserve">World </w:t>
      </w:r>
      <w:r w:rsidR="007327A2" w:rsidRPr="00834149">
        <w:rPr>
          <w:rFonts w:cs="Times New Roman"/>
          <w:b/>
        </w:rPr>
        <w:t>Bank, IFC and MIGA plan to work together (in collaboration with other development partners) to deliver a comprehensive program</w:t>
      </w:r>
      <w:r w:rsidRPr="00834149">
        <w:rPr>
          <w:rFonts w:cs="Times New Roman"/>
        </w:rPr>
        <w:t>. To support the</w:t>
      </w:r>
      <w:r w:rsidR="007327A2" w:rsidRPr="00834149">
        <w:rPr>
          <w:rFonts w:cs="Times New Roman"/>
        </w:rPr>
        <w:t xml:space="preserve"> required sector reforms and create an environment that would attract top-notch private sector operators that could be supported by IFC and MIGA</w:t>
      </w:r>
      <w:r w:rsidRPr="00834149">
        <w:rPr>
          <w:rFonts w:cs="Times New Roman"/>
        </w:rPr>
        <w:t>, a</w:t>
      </w:r>
      <w:r w:rsidR="007D4F3B" w:rsidRPr="00834149">
        <w:rPr>
          <w:rFonts w:cs="Times New Roman"/>
        </w:rPr>
        <w:t xml:space="preserve">n IDA </w:t>
      </w:r>
      <w:r w:rsidR="00834149">
        <w:rPr>
          <w:rFonts w:cs="Times New Roman"/>
        </w:rPr>
        <w:t>Energy Sector Governance and Access operation</w:t>
      </w:r>
      <w:r w:rsidR="009712ED" w:rsidRPr="00834149">
        <w:rPr>
          <w:rFonts w:cs="Times New Roman"/>
        </w:rPr>
        <w:t xml:space="preserve"> </w:t>
      </w:r>
      <w:r w:rsidR="007D4F3B" w:rsidRPr="00834149">
        <w:rPr>
          <w:rFonts w:cs="Times New Roman"/>
        </w:rPr>
        <w:t xml:space="preserve">(FY18) </w:t>
      </w:r>
      <w:r w:rsidR="009712ED" w:rsidRPr="00834149">
        <w:rPr>
          <w:rFonts w:cs="Times New Roman"/>
        </w:rPr>
        <w:t xml:space="preserve">will assist the government </w:t>
      </w:r>
      <w:r w:rsidR="00935EA3" w:rsidRPr="00834149">
        <w:rPr>
          <w:rFonts w:cs="Times New Roman"/>
        </w:rPr>
        <w:t>in developing</w:t>
      </w:r>
      <w:r w:rsidR="009712ED" w:rsidRPr="00834149">
        <w:rPr>
          <w:rFonts w:cs="Times New Roman"/>
        </w:rPr>
        <w:t xml:space="preserve"> a Least</w:t>
      </w:r>
      <w:r w:rsidR="007D4F3B" w:rsidRPr="00834149">
        <w:rPr>
          <w:rFonts w:cs="Times New Roman"/>
        </w:rPr>
        <w:t xml:space="preserve"> </w:t>
      </w:r>
      <w:r w:rsidR="009712ED" w:rsidRPr="00834149">
        <w:rPr>
          <w:rFonts w:cs="Times New Roman"/>
          <w:bCs/>
        </w:rPr>
        <w:t>Cost Plan</w:t>
      </w:r>
      <w:r w:rsidR="007D4F3B" w:rsidRPr="00834149">
        <w:rPr>
          <w:rFonts w:cs="Times New Roman"/>
          <w:bCs/>
        </w:rPr>
        <w:t xml:space="preserve"> </w:t>
      </w:r>
      <w:r w:rsidR="009712ED" w:rsidRPr="00834149">
        <w:rPr>
          <w:rFonts w:cs="Times New Roman"/>
          <w:bCs/>
        </w:rPr>
        <w:t xml:space="preserve">for generation and a master plan for </w:t>
      </w:r>
      <w:r w:rsidR="00935EA3" w:rsidRPr="00834149">
        <w:rPr>
          <w:rFonts w:cs="Times New Roman"/>
          <w:bCs/>
        </w:rPr>
        <w:t xml:space="preserve">electricity </w:t>
      </w:r>
      <w:r w:rsidR="009712ED" w:rsidRPr="00834149">
        <w:rPr>
          <w:rFonts w:cs="Times New Roman"/>
          <w:bCs/>
        </w:rPr>
        <w:t>transmission, distribution</w:t>
      </w:r>
      <w:r w:rsidR="00935EA3" w:rsidRPr="00834149">
        <w:rPr>
          <w:rFonts w:cs="Times New Roman"/>
          <w:bCs/>
        </w:rPr>
        <w:t>,</w:t>
      </w:r>
      <w:r w:rsidR="009712ED" w:rsidRPr="00834149">
        <w:rPr>
          <w:rFonts w:cs="Times New Roman"/>
          <w:bCs/>
        </w:rPr>
        <w:t xml:space="preserve"> and access.</w:t>
      </w:r>
      <w:r w:rsidRPr="00834149">
        <w:rPr>
          <w:rFonts w:cs="Times New Roman"/>
        </w:rPr>
        <w:t xml:space="preserve"> </w:t>
      </w:r>
      <w:r w:rsidR="009712ED" w:rsidRPr="00834149">
        <w:rPr>
          <w:rFonts w:cs="Times New Roman"/>
        </w:rPr>
        <w:t xml:space="preserve">The project </w:t>
      </w:r>
      <w:r w:rsidR="007D4F3B" w:rsidRPr="00834149">
        <w:rPr>
          <w:rFonts w:cs="Times New Roman"/>
        </w:rPr>
        <w:t>will seek to improve the governance and</w:t>
      </w:r>
      <w:r w:rsidR="009712ED" w:rsidRPr="00834149">
        <w:rPr>
          <w:rFonts w:cs="Times New Roman"/>
        </w:rPr>
        <w:t xml:space="preserve"> management of the distribution utility</w:t>
      </w:r>
      <w:r w:rsidR="007D4F3B" w:rsidRPr="00834149">
        <w:rPr>
          <w:rFonts w:cs="Times New Roman"/>
        </w:rPr>
        <w:t xml:space="preserve">, </w:t>
      </w:r>
      <w:r w:rsidR="00935EA3" w:rsidRPr="00834149">
        <w:rPr>
          <w:rFonts w:cs="Times New Roman"/>
        </w:rPr>
        <w:t>and</w:t>
      </w:r>
      <w:r w:rsidR="007D4F3B" w:rsidRPr="00834149">
        <w:rPr>
          <w:rFonts w:cs="Times New Roman"/>
        </w:rPr>
        <w:t xml:space="preserve"> undertake a study</w:t>
      </w:r>
      <w:r w:rsidRPr="00834149">
        <w:rPr>
          <w:rFonts w:cs="Times New Roman"/>
        </w:rPr>
        <w:t xml:space="preserve"> </w:t>
      </w:r>
      <w:r w:rsidRPr="00834149">
        <w:rPr>
          <w:rFonts w:cs="Times New Roman"/>
          <w:color w:val="000000"/>
        </w:rPr>
        <w:t xml:space="preserve">to establish </w:t>
      </w:r>
      <w:r w:rsidR="00935EA3" w:rsidRPr="00834149">
        <w:rPr>
          <w:rFonts w:cs="Times New Roman"/>
          <w:color w:val="000000"/>
        </w:rPr>
        <w:t xml:space="preserve">appropriate tariff and subsidy </w:t>
      </w:r>
      <w:r w:rsidRPr="00834149">
        <w:rPr>
          <w:rFonts w:cs="Times New Roman"/>
          <w:color w:val="000000"/>
        </w:rPr>
        <w:t>level</w:t>
      </w:r>
      <w:r w:rsidR="00935EA3" w:rsidRPr="00834149">
        <w:rPr>
          <w:rFonts w:cs="Times New Roman"/>
          <w:color w:val="000000"/>
        </w:rPr>
        <w:t>s</w:t>
      </w:r>
      <w:r w:rsidRPr="00834149">
        <w:rPr>
          <w:rFonts w:cs="Times New Roman"/>
          <w:color w:val="000000"/>
        </w:rPr>
        <w:t xml:space="preserve"> to achieve financial equilibrium </w:t>
      </w:r>
      <w:r w:rsidR="00935EA3" w:rsidRPr="00834149">
        <w:rPr>
          <w:rFonts w:cs="Times New Roman"/>
          <w:color w:val="000000"/>
        </w:rPr>
        <w:t xml:space="preserve">in </w:t>
      </w:r>
      <w:r w:rsidRPr="00834149">
        <w:rPr>
          <w:rFonts w:cs="Times New Roman"/>
          <w:color w:val="000000"/>
        </w:rPr>
        <w:t>the sector.</w:t>
      </w:r>
      <w:r w:rsidR="004119E6" w:rsidRPr="00834149">
        <w:rPr>
          <w:rFonts w:cs="Times New Roman"/>
          <w:color w:val="000000"/>
        </w:rPr>
        <w:t xml:space="preserve"> The project is closely coordinated with the EU, AFD, A</w:t>
      </w:r>
      <w:r w:rsidR="00935EA3" w:rsidRPr="00834149">
        <w:rPr>
          <w:rFonts w:cs="Times New Roman"/>
          <w:color w:val="000000"/>
        </w:rPr>
        <w:t>f</w:t>
      </w:r>
      <w:r w:rsidR="004119E6" w:rsidRPr="00834149">
        <w:rPr>
          <w:rFonts w:cs="Times New Roman"/>
          <w:color w:val="000000"/>
        </w:rPr>
        <w:t>DB</w:t>
      </w:r>
      <w:r w:rsidR="00935EA3" w:rsidRPr="00834149">
        <w:rPr>
          <w:rFonts w:cs="Times New Roman"/>
          <w:color w:val="000000"/>
        </w:rPr>
        <w:t>,</w:t>
      </w:r>
      <w:r w:rsidR="004119E6" w:rsidRPr="00834149">
        <w:rPr>
          <w:rFonts w:cs="Times New Roman"/>
          <w:color w:val="000000"/>
        </w:rPr>
        <w:t xml:space="preserve"> and KFW.</w:t>
      </w:r>
      <w:r w:rsidRPr="00834149">
        <w:rPr>
          <w:rFonts w:cs="Times New Roman"/>
          <w:color w:val="000000"/>
        </w:rPr>
        <w:t xml:space="preserve"> </w:t>
      </w:r>
      <w:r w:rsidR="007327A2" w:rsidRPr="00834149">
        <w:rPr>
          <w:rFonts w:cs="Times New Roman"/>
          <w:color w:val="000000"/>
        </w:rPr>
        <w:t xml:space="preserve">IFC and MIGA would then seek to support independent power producer projects to increase Togo’s generation capacity and access. For example, </w:t>
      </w:r>
      <w:r w:rsidR="007327A2" w:rsidRPr="00834149">
        <w:rPr>
          <w:rFonts w:cs="Times New Roman"/>
        </w:rPr>
        <w:t>IFC is considering financing the expansion of the Contour Global plant (which is currently operating at full capacity and providing baseload for the country</w:t>
      </w:r>
      <w:r w:rsidR="00E427C0" w:rsidRPr="00834149">
        <w:rPr>
          <w:rFonts w:cs="Times New Roman"/>
        </w:rPr>
        <w:t>)</w:t>
      </w:r>
      <w:r w:rsidR="007327A2" w:rsidRPr="00834149">
        <w:rPr>
          <w:rFonts w:cs="Times New Roman"/>
        </w:rPr>
        <w:t>.</w:t>
      </w:r>
      <w:r w:rsidR="007327A2" w:rsidRPr="00834149">
        <w:rPr>
          <w:rFonts w:cs="Times New Roman"/>
          <w:color w:val="000000"/>
        </w:rPr>
        <w:t xml:space="preserve"> </w:t>
      </w:r>
      <w:r w:rsidR="00A134D1" w:rsidRPr="00834149">
        <w:rPr>
          <w:rFonts w:cs="Times New Roman"/>
          <w:color w:val="000000"/>
        </w:rPr>
        <w:t xml:space="preserve">Contour Global is </w:t>
      </w:r>
      <w:r w:rsidR="00A134D1" w:rsidRPr="00834149">
        <w:rPr>
          <w:rFonts w:cs="Times New Roman"/>
        </w:rPr>
        <w:t>the country’s first and only IPP</w:t>
      </w:r>
      <w:r w:rsidR="00E427C0" w:rsidRPr="00834149">
        <w:rPr>
          <w:rFonts w:cs="Times New Roman"/>
        </w:rPr>
        <w:t>,</w:t>
      </w:r>
      <w:r w:rsidR="00A134D1" w:rsidRPr="00834149">
        <w:rPr>
          <w:rFonts w:cs="Times New Roman"/>
        </w:rPr>
        <w:t xml:space="preserve"> which started operations in 2010 and in which IFC invested equity. </w:t>
      </w:r>
      <w:r w:rsidR="00CB2B1D" w:rsidRPr="00834149">
        <w:rPr>
          <w:rFonts w:cs="Times New Roman"/>
        </w:rPr>
        <w:t xml:space="preserve">IFC is also exploring a Scaling Solar program with the </w:t>
      </w:r>
      <w:r w:rsidR="00C622A7" w:rsidRPr="00834149">
        <w:rPr>
          <w:rFonts w:cs="Times New Roman"/>
        </w:rPr>
        <w:t>G</w:t>
      </w:r>
      <w:r w:rsidR="00CB2B1D" w:rsidRPr="00834149">
        <w:rPr>
          <w:rFonts w:cs="Times New Roman"/>
        </w:rPr>
        <w:t>overnment. In addition, IFC could</w:t>
      </w:r>
      <w:r w:rsidR="00A134D1" w:rsidRPr="00834149">
        <w:rPr>
          <w:rFonts w:cs="Times New Roman"/>
        </w:rPr>
        <w:t xml:space="preserve"> contribute to sector reform work through its PPP advisory team, by supporting the </w:t>
      </w:r>
      <w:r w:rsidR="00C622A7" w:rsidRPr="00834149">
        <w:rPr>
          <w:rFonts w:cs="Times New Roman"/>
        </w:rPr>
        <w:t>G</w:t>
      </w:r>
      <w:r w:rsidR="00A134D1" w:rsidRPr="00834149">
        <w:rPr>
          <w:rFonts w:cs="Times New Roman"/>
        </w:rPr>
        <w:t>overnment in improving financial and operational performance in the electricity utility by bringing in private sector participation</w:t>
      </w:r>
      <w:r w:rsidR="00A134D1" w:rsidRPr="00834149">
        <w:rPr>
          <w:rFonts w:eastAsia="Times New Roman" w:cs="Times New Roman"/>
        </w:rPr>
        <w:t>.</w:t>
      </w:r>
      <w:r w:rsidR="00CB2B1D" w:rsidRPr="00834149">
        <w:rPr>
          <w:rFonts w:cs="Times New Roman"/>
        </w:rPr>
        <w:t xml:space="preserve"> </w:t>
      </w:r>
      <w:r w:rsidR="00FB37FD" w:rsidRPr="00834149">
        <w:rPr>
          <w:rFonts w:cs="Times New Roman"/>
        </w:rPr>
        <w:t xml:space="preserve">The proposed DPO series could include measures to </w:t>
      </w:r>
      <w:r w:rsidR="00114100">
        <w:rPr>
          <w:rFonts w:cs="Times New Roman"/>
        </w:rPr>
        <w:t xml:space="preserve">strengthen governance and </w:t>
      </w:r>
      <w:r w:rsidR="00FB37FD" w:rsidRPr="00834149">
        <w:rPr>
          <w:rFonts w:cs="Times New Roman"/>
          <w:bCs/>
          <w:iCs/>
        </w:rPr>
        <w:t>consolidate the financial viability of</w:t>
      </w:r>
      <w:r w:rsidR="00114100">
        <w:rPr>
          <w:rFonts w:cs="Times New Roman"/>
          <w:bCs/>
          <w:iCs/>
        </w:rPr>
        <w:t xml:space="preserve"> the energy sector</w:t>
      </w:r>
      <w:r w:rsidR="00FB37FD" w:rsidRPr="00834149">
        <w:rPr>
          <w:rFonts w:cs="Times New Roman"/>
          <w:bCs/>
          <w:iCs/>
        </w:rPr>
        <w:t>.</w:t>
      </w:r>
    </w:p>
    <w:p w14:paraId="2EE00AAE" w14:textId="77777777" w:rsidR="003F04D0" w:rsidRPr="00834149" w:rsidRDefault="003F04D0" w:rsidP="00834149">
      <w:pPr>
        <w:pStyle w:val="ListParagraph"/>
        <w:ind w:left="0"/>
        <w:contextualSpacing w:val="0"/>
        <w:jc w:val="both"/>
        <w:rPr>
          <w:rFonts w:eastAsia="Times New Roman" w:cs="Times New Roman"/>
        </w:rPr>
      </w:pPr>
    </w:p>
    <w:p w14:paraId="5DF314E3" w14:textId="2041AAE1" w:rsidR="0042298F" w:rsidRPr="00834149" w:rsidRDefault="00E427C0" w:rsidP="00834149">
      <w:pPr>
        <w:pStyle w:val="ListParagraph"/>
        <w:numPr>
          <w:ilvl w:val="0"/>
          <w:numId w:val="2"/>
        </w:numPr>
        <w:ind w:left="0" w:firstLine="0"/>
        <w:contextualSpacing w:val="0"/>
        <w:jc w:val="both"/>
        <w:rPr>
          <w:rFonts w:eastAsia="Times New Roman" w:cs="Times New Roman"/>
        </w:rPr>
      </w:pPr>
      <w:r w:rsidRPr="00834149">
        <w:rPr>
          <w:rFonts w:cs="Times New Roman"/>
          <w:b/>
        </w:rPr>
        <w:t xml:space="preserve">The </w:t>
      </w:r>
      <w:r w:rsidR="00CB2B1D" w:rsidRPr="00834149">
        <w:rPr>
          <w:rFonts w:cs="Times New Roman"/>
          <w:b/>
        </w:rPr>
        <w:t xml:space="preserve">WBG will </w:t>
      </w:r>
      <w:r w:rsidR="00DF70CB" w:rsidRPr="00834149">
        <w:rPr>
          <w:rFonts w:cs="Times New Roman"/>
          <w:b/>
        </w:rPr>
        <w:t xml:space="preserve">also </w:t>
      </w:r>
      <w:r w:rsidR="00CB2B1D" w:rsidRPr="00834149">
        <w:rPr>
          <w:rFonts w:cs="Times New Roman"/>
          <w:b/>
        </w:rPr>
        <w:t>pursue options to achieve universal access through rural electrification</w:t>
      </w:r>
      <w:r w:rsidR="00CB2B1D" w:rsidRPr="00834149">
        <w:rPr>
          <w:rFonts w:cs="Times New Roman"/>
        </w:rPr>
        <w:t>. Achieving universal access through both on-grid and off-grid electrification to begin connecting more rural households could be included under an IDA additional financing operation</w:t>
      </w:r>
      <w:r w:rsidR="00D53149" w:rsidRPr="00834149">
        <w:rPr>
          <w:rFonts w:cs="Times New Roman"/>
        </w:rPr>
        <w:t>, and IFC is seeking to provide financing for private sector options.</w:t>
      </w:r>
    </w:p>
    <w:p w14:paraId="12454E43" w14:textId="4841F5C6" w:rsidR="003F04D0" w:rsidRPr="00834149" w:rsidRDefault="003F04D0" w:rsidP="00834149">
      <w:pPr>
        <w:pStyle w:val="ListParagraph"/>
        <w:ind w:left="0"/>
        <w:contextualSpacing w:val="0"/>
        <w:jc w:val="both"/>
        <w:rPr>
          <w:rFonts w:eastAsia="Times New Roman" w:cs="Times New Roman"/>
        </w:rPr>
      </w:pPr>
    </w:p>
    <w:p w14:paraId="1DB3891F" w14:textId="014D681E" w:rsidR="00A134D1" w:rsidRPr="00ED344E" w:rsidRDefault="00CB2B1D" w:rsidP="00834149">
      <w:pPr>
        <w:pStyle w:val="ListParagraph"/>
        <w:numPr>
          <w:ilvl w:val="0"/>
          <w:numId w:val="2"/>
        </w:numPr>
        <w:ind w:left="0" w:firstLine="0"/>
        <w:contextualSpacing w:val="0"/>
        <w:jc w:val="both"/>
        <w:rPr>
          <w:rFonts w:eastAsia="Times New Roman" w:cs="Times New Roman"/>
        </w:rPr>
      </w:pPr>
      <w:r w:rsidRPr="00834149">
        <w:rPr>
          <w:rFonts w:cs="Times New Roman"/>
          <w:b/>
          <w:color w:val="000000"/>
        </w:rPr>
        <w:t>WBG instruments will be used to de-risk power projects in Togo</w:t>
      </w:r>
      <w:r w:rsidRPr="00834149">
        <w:rPr>
          <w:rFonts w:cs="Times New Roman"/>
          <w:color w:val="000000"/>
        </w:rPr>
        <w:t>.</w:t>
      </w:r>
      <w:r w:rsidRPr="00834149">
        <w:rPr>
          <w:rFonts w:cs="Times New Roman"/>
          <w:b/>
          <w:color w:val="000000"/>
        </w:rPr>
        <w:t xml:space="preserve"> </w:t>
      </w:r>
      <w:r w:rsidR="00EF5B4C" w:rsidRPr="00834149">
        <w:rPr>
          <w:rFonts w:cs="Times New Roman"/>
        </w:rPr>
        <w:t xml:space="preserve">IDA could provide </w:t>
      </w:r>
      <w:r w:rsidRPr="00834149">
        <w:rPr>
          <w:rFonts w:cs="Times New Roman"/>
        </w:rPr>
        <w:t xml:space="preserve">its traditional </w:t>
      </w:r>
      <w:r w:rsidR="00EF5B4C" w:rsidRPr="00834149">
        <w:rPr>
          <w:rFonts w:cs="Times New Roman"/>
        </w:rPr>
        <w:t>Partial Risk/Credit Guaranties or</w:t>
      </w:r>
      <w:r w:rsidR="00E427C0" w:rsidRPr="00834149">
        <w:rPr>
          <w:rFonts w:cs="Times New Roman"/>
        </w:rPr>
        <w:t>,</w:t>
      </w:r>
      <w:r w:rsidR="00EF5B4C" w:rsidRPr="00834149">
        <w:rPr>
          <w:rFonts w:cs="Times New Roman"/>
        </w:rPr>
        <w:t xml:space="preserve"> </w:t>
      </w:r>
      <w:r w:rsidRPr="00834149">
        <w:rPr>
          <w:rFonts w:cs="Times New Roman"/>
        </w:rPr>
        <w:t xml:space="preserve">if there are country envelope </w:t>
      </w:r>
      <w:r w:rsidRPr="00ED344E">
        <w:rPr>
          <w:rFonts w:cs="Times New Roman"/>
        </w:rPr>
        <w:t>constraints</w:t>
      </w:r>
      <w:r w:rsidR="00E427C0" w:rsidRPr="00ED344E">
        <w:rPr>
          <w:rFonts w:cs="Times New Roman"/>
        </w:rPr>
        <w:t>,</w:t>
      </w:r>
      <w:r w:rsidRPr="00ED344E">
        <w:rPr>
          <w:rFonts w:cs="Times New Roman"/>
        </w:rPr>
        <w:t xml:space="preserve"> </w:t>
      </w:r>
      <w:r w:rsidR="00834149" w:rsidRPr="00ED344E">
        <w:rPr>
          <w:rFonts w:cs="Times New Roman"/>
        </w:rPr>
        <w:t>IFC could use the IDA Private Sector Window’s Risk Mitigation Facility (RMF) and/or MIGA could use the IDA Private Sector Window’s MIGA Guarantee Facility (MGF)</w:t>
      </w:r>
      <w:r w:rsidR="00834149" w:rsidRPr="00ED344E">
        <w:rPr>
          <w:rStyle w:val="FootnoteReference"/>
          <w:rFonts w:cs="Times New Roman"/>
        </w:rPr>
        <w:footnoteReference w:id="9"/>
      </w:r>
      <w:r w:rsidR="00834149" w:rsidRPr="00ED344E">
        <w:rPr>
          <w:rFonts w:cs="Times New Roman"/>
        </w:rPr>
        <w:t xml:space="preserve"> to partner with investors in the sector</w:t>
      </w:r>
      <w:r w:rsidR="00DF70CB" w:rsidRPr="00ED344E">
        <w:rPr>
          <w:rFonts w:cs="Times New Roman"/>
        </w:rPr>
        <w:t>.</w:t>
      </w:r>
    </w:p>
    <w:p w14:paraId="289A4640" w14:textId="0B2504B4" w:rsidR="00EC607C" w:rsidRPr="00834149" w:rsidRDefault="00EC607C" w:rsidP="00834149">
      <w:pPr>
        <w:pStyle w:val="ListParagraph"/>
        <w:ind w:left="0"/>
        <w:contextualSpacing w:val="0"/>
        <w:jc w:val="both"/>
        <w:rPr>
          <w:rFonts w:eastAsia="Times New Roman" w:cs="Times New Roman"/>
        </w:rPr>
      </w:pPr>
    </w:p>
    <w:p w14:paraId="4E52D231" w14:textId="500060AA" w:rsidR="0042298F" w:rsidRPr="00834149" w:rsidRDefault="00DF70CB" w:rsidP="00834149">
      <w:pPr>
        <w:pStyle w:val="ListParagraph"/>
        <w:numPr>
          <w:ilvl w:val="0"/>
          <w:numId w:val="2"/>
        </w:numPr>
        <w:ind w:left="0" w:firstLine="0"/>
        <w:jc w:val="both"/>
        <w:rPr>
          <w:rFonts w:cs="Times New Roman"/>
        </w:rPr>
      </w:pPr>
      <w:r w:rsidRPr="00834149">
        <w:rPr>
          <w:rFonts w:cs="Times New Roman"/>
          <w:b/>
        </w:rPr>
        <w:lastRenderedPageBreak/>
        <w:t xml:space="preserve">Improving the performance of Togo’s ICT sector is fundamental </w:t>
      </w:r>
      <w:r w:rsidR="00375A57" w:rsidRPr="00834149">
        <w:rPr>
          <w:rFonts w:cs="Times New Roman"/>
          <w:b/>
        </w:rPr>
        <w:t>if Togo wants to improve the business environment, unleash job opportunities, and achieve its ambition of being a logistics platform for the sub-region</w:t>
      </w:r>
      <w:r w:rsidRPr="00834149">
        <w:rPr>
          <w:rFonts w:cs="Times New Roman"/>
          <w:b/>
        </w:rPr>
        <w:t xml:space="preserve">. </w:t>
      </w:r>
      <w:r w:rsidRPr="00834149">
        <w:rPr>
          <w:rFonts w:cs="Times New Roman"/>
        </w:rPr>
        <w:t xml:space="preserve">Togo’s </w:t>
      </w:r>
      <w:r w:rsidR="008756C2" w:rsidRPr="00834149">
        <w:rPr>
          <w:rFonts w:cs="Times New Roman"/>
        </w:rPr>
        <w:t xml:space="preserve">ICT </w:t>
      </w:r>
      <w:r w:rsidR="003B4CBD" w:rsidRPr="00834149">
        <w:rPr>
          <w:rFonts w:cs="Times New Roman"/>
        </w:rPr>
        <w:t xml:space="preserve">sector is hampered by poor telephony and </w:t>
      </w:r>
      <w:r w:rsidR="00A1033A" w:rsidRPr="00834149">
        <w:rPr>
          <w:rFonts w:cs="Times New Roman"/>
        </w:rPr>
        <w:t>I</w:t>
      </w:r>
      <w:r w:rsidR="003B4CBD" w:rsidRPr="00834149">
        <w:rPr>
          <w:rFonts w:cs="Times New Roman"/>
        </w:rPr>
        <w:t>nternet services provided at high cost in a context of policies that are unfavorable to private investment</w:t>
      </w:r>
      <w:r w:rsidR="00883FB5" w:rsidRPr="00834149">
        <w:rPr>
          <w:rFonts w:cs="Times New Roman"/>
        </w:rPr>
        <w:t xml:space="preserve">. </w:t>
      </w:r>
      <w:r w:rsidRPr="00834149">
        <w:rPr>
          <w:rFonts w:cs="Times New Roman"/>
        </w:rPr>
        <w:t xml:space="preserve">Various global indexes rank Togo’s ICT services as among the weakest. </w:t>
      </w:r>
      <w:r w:rsidR="00780919" w:rsidRPr="00834149">
        <w:rPr>
          <w:rFonts w:cs="Times New Roman"/>
        </w:rPr>
        <w:t>Togo is ranked 159</w:t>
      </w:r>
      <w:r w:rsidR="00272CFC" w:rsidRPr="00834149">
        <w:rPr>
          <w:rFonts w:cs="Times New Roman"/>
          <w:vertAlign w:val="superscript"/>
        </w:rPr>
        <w:t>th</w:t>
      </w:r>
      <w:r w:rsidR="00780919" w:rsidRPr="00834149">
        <w:rPr>
          <w:rFonts w:cs="Times New Roman"/>
        </w:rPr>
        <w:t xml:space="preserve"> out of 175 countries </w:t>
      </w:r>
      <w:r w:rsidR="00272CFC" w:rsidRPr="00834149">
        <w:rPr>
          <w:rFonts w:cs="Times New Roman"/>
        </w:rPr>
        <w:t>o</w:t>
      </w:r>
      <w:r w:rsidR="00780919" w:rsidRPr="00834149">
        <w:rPr>
          <w:rFonts w:cs="Times New Roman"/>
        </w:rPr>
        <w:t xml:space="preserve">n the global </w:t>
      </w:r>
      <w:r w:rsidR="00E427C0" w:rsidRPr="00834149">
        <w:rPr>
          <w:rFonts w:cs="Times New Roman"/>
        </w:rPr>
        <w:t>ICT Development Index (</w:t>
      </w:r>
      <w:r w:rsidR="00780919" w:rsidRPr="00834149">
        <w:rPr>
          <w:rFonts w:cs="Times New Roman"/>
        </w:rPr>
        <w:t>IDI</w:t>
      </w:r>
      <w:r w:rsidR="00E427C0" w:rsidRPr="00834149">
        <w:rPr>
          <w:rFonts w:cs="Times New Roman"/>
        </w:rPr>
        <w:t>),</w:t>
      </w:r>
      <w:r w:rsidR="00E427C0" w:rsidRPr="00834149">
        <w:rPr>
          <w:rFonts w:cs="Times New Roman"/>
          <w:vertAlign w:val="superscript"/>
        </w:rPr>
        <w:footnoteReference w:id="10"/>
      </w:r>
      <w:r w:rsidR="00780919" w:rsidRPr="00834149">
        <w:rPr>
          <w:rFonts w:cs="Times New Roman"/>
        </w:rPr>
        <w:t xml:space="preserve"> 160</w:t>
      </w:r>
      <w:r w:rsidR="00272CFC" w:rsidRPr="00834149">
        <w:rPr>
          <w:rFonts w:cs="Times New Roman"/>
          <w:vertAlign w:val="superscript"/>
        </w:rPr>
        <w:t>th</w:t>
      </w:r>
      <w:r w:rsidR="00272CFC" w:rsidRPr="00834149">
        <w:rPr>
          <w:rFonts w:cs="Times New Roman"/>
        </w:rPr>
        <w:t xml:space="preserve"> on</w:t>
      </w:r>
      <w:r w:rsidR="00780919" w:rsidRPr="00834149">
        <w:rPr>
          <w:rFonts w:cs="Times New Roman"/>
        </w:rPr>
        <w:t xml:space="preserve"> the IDI Access sub</w:t>
      </w:r>
      <w:r w:rsidR="00272CFC" w:rsidRPr="00834149">
        <w:rPr>
          <w:rFonts w:cs="Times New Roman"/>
        </w:rPr>
        <w:t>-</w:t>
      </w:r>
      <w:r w:rsidR="00780919" w:rsidRPr="00834149">
        <w:rPr>
          <w:rFonts w:cs="Times New Roman"/>
        </w:rPr>
        <w:t>index,</w:t>
      </w:r>
      <w:r w:rsidR="00272CFC" w:rsidRPr="00834149">
        <w:rPr>
          <w:rFonts w:cs="Times New Roman"/>
        </w:rPr>
        <w:t xml:space="preserve"> and</w:t>
      </w:r>
      <w:r w:rsidR="00780919" w:rsidRPr="00834149">
        <w:rPr>
          <w:rFonts w:cs="Times New Roman"/>
        </w:rPr>
        <w:t xml:space="preserve"> 165</w:t>
      </w:r>
      <w:r w:rsidR="00272CFC" w:rsidRPr="00834149">
        <w:rPr>
          <w:rFonts w:cs="Times New Roman"/>
          <w:vertAlign w:val="superscript"/>
        </w:rPr>
        <w:t>th</w:t>
      </w:r>
      <w:r w:rsidR="00272CFC" w:rsidRPr="00834149">
        <w:rPr>
          <w:rFonts w:cs="Times New Roman"/>
        </w:rPr>
        <w:t xml:space="preserve"> on</w:t>
      </w:r>
      <w:r w:rsidR="00780919" w:rsidRPr="00834149">
        <w:rPr>
          <w:rFonts w:cs="Times New Roman"/>
        </w:rPr>
        <w:t xml:space="preserve"> the IDI Use sub</w:t>
      </w:r>
      <w:r w:rsidR="00272CFC" w:rsidRPr="00834149">
        <w:rPr>
          <w:rFonts w:cs="Times New Roman"/>
        </w:rPr>
        <w:t>-</w:t>
      </w:r>
      <w:r w:rsidR="00780919" w:rsidRPr="00834149">
        <w:rPr>
          <w:rFonts w:cs="Times New Roman"/>
        </w:rPr>
        <w:t>index. In 2015, Togo ranked 179</w:t>
      </w:r>
      <w:r w:rsidR="00780919" w:rsidRPr="00834149">
        <w:rPr>
          <w:rFonts w:cs="Times New Roman"/>
          <w:vertAlign w:val="superscript"/>
        </w:rPr>
        <w:t>th</w:t>
      </w:r>
      <w:r w:rsidR="00780919" w:rsidRPr="00834149">
        <w:rPr>
          <w:rFonts w:cs="Times New Roman"/>
        </w:rPr>
        <w:t xml:space="preserve"> out of 184 </w:t>
      </w:r>
      <w:r w:rsidR="00272CFC" w:rsidRPr="00834149">
        <w:rPr>
          <w:rFonts w:cs="Times New Roman"/>
        </w:rPr>
        <w:t xml:space="preserve">countries </w:t>
      </w:r>
      <w:r w:rsidR="00780919" w:rsidRPr="00834149">
        <w:rPr>
          <w:rFonts w:cs="Times New Roman"/>
        </w:rPr>
        <w:t xml:space="preserve">on the </w:t>
      </w:r>
      <w:r w:rsidR="00272CFC" w:rsidRPr="00834149">
        <w:rPr>
          <w:rFonts w:cs="Times New Roman"/>
        </w:rPr>
        <w:t>m</w:t>
      </w:r>
      <w:r w:rsidR="00780919" w:rsidRPr="00834149">
        <w:rPr>
          <w:rFonts w:cs="Times New Roman"/>
        </w:rPr>
        <w:t>obile-</w:t>
      </w:r>
      <w:r w:rsidR="00272CFC" w:rsidRPr="00834149">
        <w:rPr>
          <w:rFonts w:cs="Times New Roman"/>
        </w:rPr>
        <w:t>c</w:t>
      </w:r>
      <w:r w:rsidR="00780919" w:rsidRPr="00834149">
        <w:rPr>
          <w:rFonts w:cs="Times New Roman"/>
        </w:rPr>
        <w:t>ellular price basket, 172</w:t>
      </w:r>
      <w:r w:rsidR="00780919" w:rsidRPr="00834149">
        <w:rPr>
          <w:rFonts w:cs="Times New Roman"/>
          <w:vertAlign w:val="superscript"/>
        </w:rPr>
        <w:t>nd</w:t>
      </w:r>
      <w:r w:rsidR="00780919" w:rsidRPr="00834149">
        <w:rPr>
          <w:rFonts w:cs="Times New Roman"/>
        </w:rPr>
        <w:t xml:space="preserve"> on the </w:t>
      </w:r>
      <w:r w:rsidR="00272CFC" w:rsidRPr="00834149">
        <w:rPr>
          <w:rFonts w:cs="Times New Roman"/>
        </w:rPr>
        <w:t>f</w:t>
      </w:r>
      <w:r w:rsidR="00780919" w:rsidRPr="00834149">
        <w:rPr>
          <w:rFonts w:cs="Times New Roman"/>
        </w:rPr>
        <w:t>ixed-</w:t>
      </w:r>
      <w:r w:rsidR="00272CFC" w:rsidRPr="00834149">
        <w:rPr>
          <w:rFonts w:cs="Times New Roman"/>
        </w:rPr>
        <w:t>b</w:t>
      </w:r>
      <w:r w:rsidR="00780919" w:rsidRPr="00834149">
        <w:rPr>
          <w:rFonts w:cs="Times New Roman"/>
        </w:rPr>
        <w:t>roadband price basket</w:t>
      </w:r>
      <w:r w:rsidR="00272CFC" w:rsidRPr="00834149">
        <w:rPr>
          <w:rFonts w:cs="Times New Roman"/>
        </w:rPr>
        <w:t>,</w:t>
      </w:r>
      <w:r w:rsidR="00780919" w:rsidRPr="00834149">
        <w:rPr>
          <w:rFonts w:cs="Times New Roman"/>
        </w:rPr>
        <w:t xml:space="preserve"> and 169</w:t>
      </w:r>
      <w:r w:rsidR="00780919" w:rsidRPr="00834149">
        <w:rPr>
          <w:rFonts w:cs="Times New Roman"/>
          <w:vertAlign w:val="superscript"/>
        </w:rPr>
        <w:t>th</w:t>
      </w:r>
      <w:r w:rsidR="00780919" w:rsidRPr="00834149">
        <w:rPr>
          <w:rFonts w:cs="Times New Roman"/>
        </w:rPr>
        <w:t xml:space="preserve"> on the </w:t>
      </w:r>
      <w:r w:rsidR="00272CFC" w:rsidRPr="00834149">
        <w:rPr>
          <w:rFonts w:cs="Times New Roman"/>
        </w:rPr>
        <w:t>m</w:t>
      </w:r>
      <w:r w:rsidR="00780919" w:rsidRPr="00834149">
        <w:rPr>
          <w:rFonts w:cs="Times New Roman"/>
        </w:rPr>
        <w:t>obile-</w:t>
      </w:r>
      <w:r w:rsidR="00272CFC" w:rsidRPr="00834149">
        <w:rPr>
          <w:rFonts w:cs="Times New Roman"/>
        </w:rPr>
        <w:t>b</w:t>
      </w:r>
      <w:r w:rsidR="00780919" w:rsidRPr="00834149">
        <w:rPr>
          <w:rFonts w:cs="Times New Roman"/>
        </w:rPr>
        <w:t xml:space="preserve">roadband price basket. </w:t>
      </w:r>
      <w:r w:rsidR="00FC4070" w:rsidRPr="00834149">
        <w:rPr>
          <w:rFonts w:cs="Times New Roman"/>
        </w:rPr>
        <w:t>More firms rate the quality of Internet and telecom</w:t>
      </w:r>
      <w:r w:rsidR="00272CFC" w:rsidRPr="00834149">
        <w:rPr>
          <w:rFonts w:cs="Times New Roman"/>
        </w:rPr>
        <w:t>munications</w:t>
      </w:r>
      <w:r w:rsidR="00FC4070" w:rsidRPr="00834149">
        <w:rPr>
          <w:rFonts w:cs="Times New Roman"/>
        </w:rPr>
        <w:t xml:space="preserve"> services as a major or severe problem than any other constraint</w:t>
      </w:r>
      <w:r w:rsidR="00495B43">
        <w:rPr>
          <w:rFonts w:cs="Times New Roman"/>
        </w:rPr>
        <w:t>.</w:t>
      </w:r>
    </w:p>
    <w:p w14:paraId="403D425F" w14:textId="77777777" w:rsidR="006D6F9A" w:rsidRPr="00834149" w:rsidRDefault="006D6F9A" w:rsidP="00834149">
      <w:pPr>
        <w:pStyle w:val="ListParagraph"/>
        <w:ind w:left="0"/>
        <w:jc w:val="both"/>
        <w:rPr>
          <w:rFonts w:cs="Times New Roman"/>
        </w:rPr>
      </w:pPr>
    </w:p>
    <w:p w14:paraId="505EA902" w14:textId="7738152E" w:rsidR="0042298F" w:rsidRDefault="00E427C0" w:rsidP="00834149">
      <w:pPr>
        <w:pStyle w:val="ListParagraph"/>
        <w:numPr>
          <w:ilvl w:val="0"/>
          <w:numId w:val="2"/>
        </w:numPr>
        <w:ind w:left="0" w:firstLine="0"/>
        <w:contextualSpacing w:val="0"/>
        <w:jc w:val="both"/>
        <w:rPr>
          <w:rFonts w:cs="Times New Roman"/>
        </w:rPr>
      </w:pPr>
      <w:r w:rsidRPr="00834149">
        <w:rPr>
          <w:rFonts w:cs="Times New Roman"/>
          <w:b/>
        </w:rPr>
        <w:t xml:space="preserve">The </w:t>
      </w:r>
      <w:r w:rsidR="00E13AC2" w:rsidRPr="00834149">
        <w:rPr>
          <w:rFonts w:cs="Times New Roman"/>
          <w:b/>
        </w:rPr>
        <w:t xml:space="preserve">WBG is working on a joint response to </w:t>
      </w:r>
      <w:r w:rsidR="00375A57" w:rsidRPr="00834149">
        <w:rPr>
          <w:rFonts w:cs="Times New Roman"/>
          <w:b/>
        </w:rPr>
        <w:t xml:space="preserve">support </w:t>
      </w:r>
      <w:r w:rsidR="00E13AC2" w:rsidRPr="00834149">
        <w:rPr>
          <w:rFonts w:cs="Times New Roman"/>
          <w:b/>
        </w:rPr>
        <w:t>Togo</w:t>
      </w:r>
      <w:r w:rsidR="00375A57" w:rsidRPr="00834149">
        <w:rPr>
          <w:rFonts w:cs="Times New Roman"/>
          <w:b/>
        </w:rPr>
        <w:t>’s</w:t>
      </w:r>
      <w:r w:rsidR="00E13AC2" w:rsidRPr="00834149">
        <w:rPr>
          <w:rFonts w:cs="Times New Roman"/>
          <w:b/>
        </w:rPr>
        <w:t xml:space="preserve"> </w:t>
      </w:r>
      <w:r w:rsidR="00375A57" w:rsidRPr="00834149">
        <w:rPr>
          <w:rFonts w:cs="Times New Roman"/>
          <w:b/>
        </w:rPr>
        <w:t xml:space="preserve">efforts to build a more competitive and functional </w:t>
      </w:r>
      <w:r w:rsidR="00E13AC2" w:rsidRPr="00834149">
        <w:rPr>
          <w:rFonts w:cs="Times New Roman"/>
          <w:b/>
        </w:rPr>
        <w:t xml:space="preserve">ICT </w:t>
      </w:r>
      <w:r w:rsidR="00375A57" w:rsidRPr="00834149">
        <w:rPr>
          <w:rFonts w:cs="Times New Roman"/>
          <w:b/>
        </w:rPr>
        <w:t>sector</w:t>
      </w:r>
      <w:r w:rsidR="00E13AC2" w:rsidRPr="00834149">
        <w:rPr>
          <w:rFonts w:cs="Times New Roman"/>
        </w:rPr>
        <w:t>.</w:t>
      </w:r>
      <w:r w:rsidR="00E13AC2" w:rsidRPr="00834149">
        <w:rPr>
          <w:rFonts w:cs="Times New Roman"/>
          <w:b/>
        </w:rPr>
        <w:t xml:space="preserve"> </w:t>
      </w:r>
      <w:r w:rsidR="00883FB5" w:rsidRPr="00834149">
        <w:rPr>
          <w:rFonts w:cs="Times New Roman"/>
        </w:rPr>
        <w:t>The IDA West Africa Regional Communications and Information Project (WARCIP)</w:t>
      </w:r>
      <w:r w:rsidR="003E2C0F" w:rsidRPr="00834149">
        <w:rPr>
          <w:rFonts w:cs="Times New Roman"/>
        </w:rPr>
        <w:t>,</w:t>
      </w:r>
      <w:r w:rsidR="00883FB5" w:rsidRPr="00834149">
        <w:rPr>
          <w:rFonts w:cs="Times New Roman"/>
        </w:rPr>
        <w:t xml:space="preserve"> approved in 2013</w:t>
      </w:r>
      <w:r w:rsidR="00375A57" w:rsidRPr="00834149">
        <w:rPr>
          <w:rFonts w:cs="Times New Roman"/>
        </w:rPr>
        <w:t xml:space="preserve">, was designed to facilitate connectivity through the establishment of a carrier hotel (data center) to improve access to international broadband network and reduce the cost of communication services in Togo. Activities include strengthening policies, regulations and institutions in the sector. </w:t>
      </w:r>
      <w:r w:rsidR="00AB7A59" w:rsidRPr="00834149">
        <w:rPr>
          <w:rFonts w:cs="Times New Roman"/>
        </w:rPr>
        <w:t xml:space="preserve">Under the CPF, the </w:t>
      </w:r>
      <w:r w:rsidR="00375A57" w:rsidRPr="00834149">
        <w:rPr>
          <w:rFonts w:cs="Times New Roman"/>
        </w:rPr>
        <w:t>WARCIP</w:t>
      </w:r>
      <w:r w:rsidR="00AB7A59" w:rsidRPr="00834149">
        <w:rPr>
          <w:rFonts w:cs="Times New Roman"/>
        </w:rPr>
        <w:t xml:space="preserve"> would be restructured </w:t>
      </w:r>
      <w:r w:rsidR="00883FB5" w:rsidRPr="00834149">
        <w:rPr>
          <w:rFonts w:cs="Times New Roman"/>
        </w:rPr>
        <w:t xml:space="preserve">to </w:t>
      </w:r>
      <w:r w:rsidR="00A74413" w:rsidRPr="00834149">
        <w:rPr>
          <w:rFonts w:cs="Times New Roman"/>
        </w:rPr>
        <w:t xml:space="preserve">better </w:t>
      </w:r>
      <w:r w:rsidR="00375A57" w:rsidRPr="00834149">
        <w:rPr>
          <w:rFonts w:cs="Times New Roman"/>
        </w:rPr>
        <w:t xml:space="preserve">accompany </w:t>
      </w:r>
      <w:r w:rsidR="007D6FC9" w:rsidRPr="00834149">
        <w:rPr>
          <w:rFonts w:cs="Times New Roman"/>
        </w:rPr>
        <w:t xml:space="preserve">possible measures </w:t>
      </w:r>
      <w:r w:rsidR="00A74413" w:rsidRPr="00834149">
        <w:rPr>
          <w:rFonts w:cs="Times New Roman"/>
        </w:rPr>
        <w:t>under the</w:t>
      </w:r>
      <w:r w:rsidR="00883FB5" w:rsidRPr="00834149">
        <w:rPr>
          <w:rFonts w:cs="Times New Roman"/>
        </w:rPr>
        <w:t xml:space="preserve"> new DPO series </w:t>
      </w:r>
      <w:r w:rsidR="00A74413" w:rsidRPr="00834149">
        <w:rPr>
          <w:rFonts w:cs="Times New Roman"/>
        </w:rPr>
        <w:t xml:space="preserve">to </w:t>
      </w:r>
      <w:r w:rsidR="00883FB5" w:rsidRPr="00834149">
        <w:rPr>
          <w:rFonts w:cs="Times New Roman"/>
        </w:rPr>
        <w:t>strengthen</w:t>
      </w:r>
      <w:r w:rsidR="00A74413" w:rsidRPr="00834149">
        <w:rPr>
          <w:rFonts w:cs="Times New Roman"/>
        </w:rPr>
        <w:t xml:space="preserve"> </w:t>
      </w:r>
      <w:r w:rsidR="00883FB5" w:rsidRPr="00834149">
        <w:rPr>
          <w:rFonts w:cs="Times New Roman"/>
        </w:rPr>
        <w:t>the</w:t>
      </w:r>
      <w:r w:rsidR="009B43C4" w:rsidRPr="00834149">
        <w:rPr>
          <w:rFonts w:cs="Times New Roman"/>
        </w:rPr>
        <w:t xml:space="preserve"> </w:t>
      </w:r>
      <w:r w:rsidR="007D6FC9" w:rsidRPr="00834149">
        <w:rPr>
          <w:rFonts w:cs="Times New Roman"/>
        </w:rPr>
        <w:t xml:space="preserve">governance of the sector </w:t>
      </w:r>
      <w:r w:rsidR="009B43C4" w:rsidRPr="00834149">
        <w:rPr>
          <w:rFonts w:cs="Times New Roman"/>
        </w:rPr>
        <w:t>an</w:t>
      </w:r>
      <w:r w:rsidR="00883FB5" w:rsidRPr="00834149">
        <w:rPr>
          <w:rFonts w:cs="Times New Roman"/>
        </w:rPr>
        <w:t xml:space="preserve">d promote </w:t>
      </w:r>
      <w:r w:rsidR="007D6FC9" w:rsidRPr="00834149">
        <w:rPr>
          <w:rFonts w:cs="Times New Roman"/>
        </w:rPr>
        <w:t>greater</w:t>
      </w:r>
      <w:r w:rsidR="00A74413" w:rsidRPr="00834149">
        <w:rPr>
          <w:rFonts w:cs="Times New Roman"/>
        </w:rPr>
        <w:t xml:space="preserve"> </w:t>
      </w:r>
      <w:r w:rsidR="00883FB5" w:rsidRPr="00834149">
        <w:rPr>
          <w:rFonts w:cs="Times New Roman"/>
        </w:rPr>
        <w:t>competition.</w:t>
      </w:r>
      <w:r w:rsidR="0094148A" w:rsidRPr="00834149">
        <w:rPr>
          <w:rFonts w:cs="Times New Roman"/>
        </w:rPr>
        <w:t xml:space="preserve"> </w:t>
      </w:r>
      <w:r w:rsidR="00E13AC2" w:rsidRPr="00834149">
        <w:rPr>
          <w:rFonts w:cs="Times New Roman"/>
        </w:rPr>
        <w:t xml:space="preserve">IFC, through its PPP advisory team, </w:t>
      </w:r>
      <w:r w:rsidR="00A74413" w:rsidRPr="00834149">
        <w:rPr>
          <w:rFonts w:cs="Times New Roman"/>
        </w:rPr>
        <w:t>is</w:t>
      </w:r>
      <w:r w:rsidR="00E13AC2" w:rsidRPr="00834149">
        <w:rPr>
          <w:rFonts w:cs="Times New Roman"/>
        </w:rPr>
        <w:t xml:space="preserve"> explor</w:t>
      </w:r>
      <w:r w:rsidR="00A74413" w:rsidRPr="00834149">
        <w:rPr>
          <w:rFonts w:cs="Times New Roman"/>
        </w:rPr>
        <w:t>ing</w:t>
      </w:r>
      <w:r w:rsidR="00E13AC2" w:rsidRPr="00834149">
        <w:rPr>
          <w:rFonts w:cs="Times New Roman"/>
        </w:rPr>
        <w:t xml:space="preserve"> </w:t>
      </w:r>
      <w:r w:rsidR="00A74413" w:rsidRPr="00834149">
        <w:rPr>
          <w:rFonts w:cs="Times New Roman"/>
        </w:rPr>
        <w:t>opportunities to help</w:t>
      </w:r>
      <w:r w:rsidR="00E13AC2" w:rsidRPr="00834149">
        <w:rPr>
          <w:rFonts w:cs="Times New Roman"/>
        </w:rPr>
        <w:t xml:space="preserve"> improv</w:t>
      </w:r>
      <w:r w:rsidR="00A74413" w:rsidRPr="00834149">
        <w:rPr>
          <w:rFonts w:cs="Times New Roman"/>
        </w:rPr>
        <w:t>e the</w:t>
      </w:r>
      <w:r w:rsidR="00E13AC2" w:rsidRPr="00834149">
        <w:rPr>
          <w:rFonts w:cs="Times New Roman"/>
        </w:rPr>
        <w:t xml:space="preserve"> operational and financial performance of Togo Telecom by bringing in private sector participation</w:t>
      </w:r>
      <w:r w:rsidR="0094148A" w:rsidRPr="00834149">
        <w:rPr>
          <w:rFonts w:cs="Times New Roman"/>
        </w:rPr>
        <w:t>.</w:t>
      </w:r>
      <w:r w:rsidR="00E13AC2" w:rsidRPr="00834149">
        <w:rPr>
          <w:rFonts w:cs="Times New Roman"/>
        </w:rPr>
        <w:t xml:space="preserve"> Furthermore, IFC could consider providing acquisition financing (equity and/or debt) for </w:t>
      </w:r>
      <w:r w:rsidR="001527E4" w:rsidRPr="00834149">
        <w:rPr>
          <w:rFonts w:cs="Times New Roman"/>
        </w:rPr>
        <w:t>the new</w:t>
      </w:r>
      <w:r w:rsidR="00E13AC2" w:rsidRPr="00834149">
        <w:rPr>
          <w:rFonts w:cs="Times New Roman"/>
        </w:rPr>
        <w:t xml:space="preserve"> </w:t>
      </w:r>
      <w:r w:rsidR="001527E4" w:rsidRPr="00834149">
        <w:rPr>
          <w:rFonts w:cs="Times New Roman"/>
        </w:rPr>
        <w:t>potential participants,</w:t>
      </w:r>
      <w:r w:rsidR="00E13AC2" w:rsidRPr="00834149">
        <w:rPr>
          <w:rFonts w:cs="Times New Roman"/>
        </w:rPr>
        <w:t xml:space="preserve"> subject to IFC’s investment criteria and procedures. </w:t>
      </w:r>
    </w:p>
    <w:p w14:paraId="3D916DF0" w14:textId="4CD79BDD" w:rsidR="0070224A" w:rsidRPr="00834149" w:rsidRDefault="0070224A" w:rsidP="00834149">
      <w:pPr>
        <w:pStyle w:val="ListParagraph"/>
        <w:ind w:left="0"/>
        <w:contextualSpacing w:val="0"/>
        <w:jc w:val="both"/>
        <w:rPr>
          <w:rFonts w:cs="Times New Roman"/>
        </w:rPr>
      </w:pPr>
    </w:p>
    <w:p w14:paraId="3FAE9CD2" w14:textId="0F020EB2" w:rsidR="0042298F" w:rsidRPr="00834149" w:rsidRDefault="00397017" w:rsidP="00834149">
      <w:pPr>
        <w:pStyle w:val="ListParagraph"/>
        <w:numPr>
          <w:ilvl w:val="0"/>
          <w:numId w:val="2"/>
        </w:numPr>
        <w:ind w:left="0" w:firstLine="0"/>
        <w:contextualSpacing w:val="0"/>
        <w:jc w:val="both"/>
        <w:rPr>
          <w:rFonts w:eastAsia="Times New Roman" w:cs="Times New Roman"/>
        </w:rPr>
      </w:pPr>
      <w:r w:rsidRPr="00834149">
        <w:rPr>
          <w:rFonts w:cs="Times New Roman"/>
          <w:b/>
          <w:bCs/>
        </w:rPr>
        <w:t xml:space="preserve">The quality of Togo’s transport and logistics services </w:t>
      </w:r>
      <w:r w:rsidR="00495B43">
        <w:rPr>
          <w:rFonts w:cs="Times New Roman"/>
          <w:b/>
          <w:bCs/>
        </w:rPr>
        <w:t xml:space="preserve">is also pivotal </w:t>
      </w:r>
      <w:r w:rsidRPr="00834149">
        <w:rPr>
          <w:rFonts w:cs="Times New Roman"/>
          <w:b/>
          <w:bCs/>
        </w:rPr>
        <w:t xml:space="preserve">to leverage its geographic position and </w:t>
      </w:r>
      <w:r w:rsidR="00495B43">
        <w:rPr>
          <w:rFonts w:cs="Times New Roman"/>
          <w:b/>
          <w:bCs/>
        </w:rPr>
        <w:t xml:space="preserve">effectively </w:t>
      </w:r>
      <w:r w:rsidRPr="00834149">
        <w:rPr>
          <w:rFonts w:cs="Times New Roman"/>
          <w:b/>
          <w:bCs/>
        </w:rPr>
        <w:t>connect people to markets, public services, and employment opportunities</w:t>
      </w:r>
      <w:r w:rsidRPr="00834149">
        <w:rPr>
          <w:rFonts w:cs="Times New Roman"/>
          <w:bCs/>
        </w:rPr>
        <w:t xml:space="preserve">. </w:t>
      </w:r>
      <w:r w:rsidR="006A1190" w:rsidRPr="00834149">
        <w:rPr>
          <w:rFonts w:cs="Times New Roman"/>
          <w:bCs/>
        </w:rPr>
        <w:t>Togo can maximize the impact of</w:t>
      </w:r>
      <w:r w:rsidR="00F608A0" w:rsidRPr="00834149">
        <w:rPr>
          <w:rFonts w:cs="Times New Roman"/>
          <w:bCs/>
        </w:rPr>
        <w:t xml:space="preserve"> significant recent</w:t>
      </w:r>
      <w:r w:rsidR="003F7342" w:rsidRPr="00834149">
        <w:rPr>
          <w:rFonts w:cs="Times New Roman"/>
        </w:rPr>
        <w:t xml:space="preserve"> investments </w:t>
      </w:r>
      <w:r w:rsidR="00F608A0" w:rsidRPr="00834149">
        <w:rPr>
          <w:rFonts w:cs="Times New Roman"/>
        </w:rPr>
        <w:t>and expansion</w:t>
      </w:r>
      <w:r w:rsidR="006A1190" w:rsidRPr="00834149">
        <w:rPr>
          <w:rFonts w:cs="Times New Roman"/>
        </w:rPr>
        <w:t>s</w:t>
      </w:r>
      <w:r w:rsidR="00495B43">
        <w:rPr>
          <w:rFonts w:cs="Times New Roman"/>
        </w:rPr>
        <w:t xml:space="preserve"> in transport infrastructure</w:t>
      </w:r>
      <w:r w:rsidR="00F608A0" w:rsidRPr="00834149">
        <w:rPr>
          <w:rFonts w:cs="Times New Roman"/>
        </w:rPr>
        <w:t xml:space="preserve"> by strengthening the quality of transport and logistics services</w:t>
      </w:r>
      <w:r w:rsidR="00495B43">
        <w:rPr>
          <w:rFonts w:cs="Times New Roman"/>
        </w:rPr>
        <w:t xml:space="preserve"> </w:t>
      </w:r>
      <w:r w:rsidR="006A1190" w:rsidRPr="00834149">
        <w:rPr>
          <w:rFonts w:cs="Times New Roman"/>
          <w:bCs/>
        </w:rPr>
        <w:t xml:space="preserve">at the port, </w:t>
      </w:r>
      <w:r w:rsidR="00F608A0" w:rsidRPr="00834149">
        <w:rPr>
          <w:rFonts w:cs="Times New Roman"/>
          <w:bCs/>
        </w:rPr>
        <w:t>air terminals and land border</w:t>
      </w:r>
      <w:r w:rsidR="006A1190" w:rsidRPr="00834149">
        <w:rPr>
          <w:rFonts w:cs="Times New Roman"/>
          <w:bCs/>
        </w:rPr>
        <w:t xml:space="preserve"> areas</w:t>
      </w:r>
      <w:r w:rsidR="00F608A0" w:rsidRPr="00834149">
        <w:rPr>
          <w:rFonts w:cs="Times New Roman"/>
          <w:bCs/>
        </w:rPr>
        <w:t xml:space="preserve">, as well as </w:t>
      </w:r>
      <w:r w:rsidR="006A1190" w:rsidRPr="00834149">
        <w:rPr>
          <w:rFonts w:cs="Times New Roman"/>
          <w:bCs/>
        </w:rPr>
        <w:t xml:space="preserve">by </w:t>
      </w:r>
      <w:r w:rsidR="00F608A0" w:rsidRPr="00834149">
        <w:rPr>
          <w:rFonts w:cs="Times New Roman"/>
          <w:bCs/>
        </w:rPr>
        <w:t>easing passage on roads within the country</w:t>
      </w:r>
      <w:r w:rsidR="003F7342" w:rsidRPr="00834149">
        <w:rPr>
          <w:rFonts w:cs="Times New Roman"/>
        </w:rPr>
        <w:t>.</w:t>
      </w:r>
      <w:r w:rsidRPr="00834149">
        <w:rPr>
          <w:rFonts w:cs="Times New Roman"/>
        </w:rPr>
        <w:t xml:space="preserve"> </w:t>
      </w:r>
      <w:r w:rsidR="003F7342" w:rsidRPr="00834149">
        <w:rPr>
          <w:rFonts w:cs="Times New Roman"/>
        </w:rPr>
        <w:t>T</w:t>
      </w:r>
      <w:r w:rsidR="00F608A0" w:rsidRPr="00834149">
        <w:rPr>
          <w:rFonts w:cs="Times New Roman"/>
        </w:rPr>
        <w:t xml:space="preserve">his would require </w:t>
      </w:r>
      <w:r w:rsidR="003F7342" w:rsidRPr="00834149">
        <w:rPr>
          <w:rFonts w:cs="Times New Roman"/>
        </w:rPr>
        <w:t xml:space="preserve">improving regulation of trucking services, enhancing port efficiency, and reducing unnecessary roadblocks. </w:t>
      </w:r>
    </w:p>
    <w:p w14:paraId="4130A634" w14:textId="60840199" w:rsidR="0070224A" w:rsidRPr="00834149" w:rsidRDefault="0070224A" w:rsidP="00834149">
      <w:pPr>
        <w:pStyle w:val="ListParagraph"/>
        <w:ind w:left="0"/>
        <w:contextualSpacing w:val="0"/>
        <w:jc w:val="both"/>
        <w:rPr>
          <w:rFonts w:eastAsia="Times New Roman" w:cs="Times New Roman"/>
        </w:rPr>
      </w:pPr>
    </w:p>
    <w:p w14:paraId="1D347BAB" w14:textId="659AAE22" w:rsidR="004F6DC5" w:rsidRPr="00834149" w:rsidRDefault="006A1190" w:rsidP="00834149">
      <w:pPr>
        <w:pStyle w:val="ListParagraph"/>
        <w:numPr>
          <w:ilvl w:val="0"/>
          <w:numId w:val="2"/>
        </w:numPr>
        <w:ind w:left="0" w:firstLine="0"/>
        <w:contextualSpacing w:val="0"/>
        <w:jc w:val="both"/>
        <w:rPr>
          <w:rFonts w:eastAsia="Times New Roman" w:cs="Times New Roman"/>
        </w:rPr>
      </w:pPr>
      <w:r w:rsidRPr="00834149">
        <w:rPr>
          <w:rFonts w:cs="Times New Roman"/>
          <w:b/>
        </w:rPr>
        <w:t xml:space="preserve">To help Togo strengthen and maintain its comparative advantage in transport and logistics services, </w:t>
      </w:r>
      <w:r w:rsidR="001527E4" w:rsidRPr="00834149">
        <w:rPr>
          <w:rFonts w:cs="Times New Roman"/>
          <w:b/>
        </w:rPr>
        <w:t xml:space="preserve">the </w:t>
      </w:r>
      <w:r w:rsidR="006A6B5F" w:rsidRPr="00834149">
        <w:rPr>
          <w:rFonts w:cs="Times New Roman"/>
          <w:b/>
        </w:rPr>
        <w:t xml:space="preserve">World </w:t>
      </w:r>
      <w:r w:rsidR="001527E4" w:rsidRPr="00834149">
        <w:rPr>
          <w:rFonts w:cs="Times New Roman"/>
          <w:b/>
        </w:rPr>
        <w:t>Bank and IFC will work together on the IDA</w:t>
      </w:r>
      <w:r w:rsidRPr="00834149">
        <w:rPr>
          <w:rFonts w:cs="Times New Roman"/>
          <w:b/>
        </w:rPr>
        <w:t xml:space="preserve"> </w:t>
      </w:r>
      <w:r w:rsidR="00076682" w:rsidRPr="00834149">
        <w:rPr>
          <w:rFonts w:cs="Times New Roman"/>
          <w:b/>
        </w:rPr>
        <w:t>Transport and Logistics Facilitation investment project (FY1</w:t>
      </w:r>
      <w:r w:rsidR="00E35951" w:rsidRPr="00834149">
        <w:rPr>
          <w:rFonts w:cs="Times New Roman"/>
          <w:b/>
        </w:rPr>
        <w:t>7</w:t>
      </w:r>
      <w:r w:rsidR="00076682" w:rsidRPr="00834149">
        <w:rPr>
          <w:rFonts w:cs="Times New Roman"/>
          <w:b/>
        </w:rPr>
        <w:t xml:space="preserve">) </w:t>
      </w:r>
      <w:r w:rsidR="001527E4" w:rsidRPr="00834149">
        <w:rPr>
          <w:rFonts w:cs="Times New Roman"/>
          <w:b/>
        </w:rPr>
        <w:t>designed</w:t>
      </w:r>
      <w:r w:rsidRPr="00834149">
        <w:rPr>
          <w:rFonts w:cs="Times New Roman"/>
          <w:b/>
        </w:rPr>
        <w:t xml:space="preserve"> to strengthen the quality of trade logistics and trucking services, increas</w:t>
      </w:r>
      <w:r w:rsidR="006D677E" w:rsidRPr="00834149">
        <w:rPr>
          <w:rFonts w:cs="Times New Roman"/>
          <w:b/>
        </w:rPr>
        <w:t>ing</w:t>
      </w:r>
      <w:r w:rsidRPr="00834149">
        <w:rPr>
          <w:rFonts w:cs="Times New Roman"/>
          <w:b/>
        </w:rPr>
        <w:t xml:space="preserve"> </w:t>
      </w:r>
      <w:r w:rsidR="00050AAC" w:rsidRPr="00834149">
        <w:rPr>
          <w:rFonts w:cs="Times New Roman"/>
          <w:b/>
        </w:rPr>
        <w:t>efficiency and reduc</w:t>
      </w:r>
      <w:r w:rsidR="006D677E" w:rsidRPr="00834149">
        <w:rPr>
          <w:rFonts w:cs="Times New Roman"/>
          <w:b/>
        </w:rPr>
        <w:t>ing</w:t>
      </w:r>
      <w:r w:rsidR="00050AAC" w:rsidRPr="00834149">
        <w:rPr>
          <w:rFonts w:cs="Times New Roman"/>
          <w:b/>
        </w:rPr>
        <w:t xml:space="preserve"> the cost</w:t>
      </w:r>
      <w:r w:rsidRPr="00834149">
        <w:rPr>
          <w:rFonts w:cs="Times New Roman"/>
          <w:b/>
        </w:rPr>
        <w:t>s</w:t>
      </w:r>
      <w:r w:rsidR="00050AAC" w:rsidRPr="00834149">
        <w:rPr>
          <w:rFonts w:cs="Times New Roman"/>
          <w:b/>
        </w:rPr>
        <w:t xml:space="preserve"> of trade</w:t>
      </w:r>
      <w:r w:rsidRPr="00834149">
        <w:rPr>
          <w:rFonts w:cs="Times New Roman"/>
          <w:b/>
        </w:rPr>
        <w:t xml:space="preserve"> in Togo</w:t>
      </w:r>
      <w:r w:rsidR="00050AAC" w:rsidRPr="00834149">
        <w:rPr>
          <w:rFonts w:cs="Times New Roman"/>
        </w:rPr>
        <w:t xml:space="preserve">. </w:t>
      </w:r>
      <w:r w:rsidR="003E2C0F" w:rsidRPr="00834149">
        <w:rPr>
          <w:rFonts w:cs="Times New Roman"/>
        </w:rPr>
        <w:t>These improvements</w:t>
      </w:r>
      <w:r w:rsidR="00050AAC" w:rsidRPr="00834149">
        <w:rPr>
          <w:rFonts w:cs="Times New Roman"/>
        </w:rPr>
        <w:t xml:space="preserve"> </w:t>
      </w:r>
      <w:r w:rsidRPr="00834149">
        <w:rPr>
          <w:rFonts w:cs="Times New Roman"/>
        </w:rPr>
        <w:t>w</w:t>
      </w:r>
      <w:r w:rsidR="00050AAC" w:rsidRPr="00834149">
        <w:rPr>
          <w:rFonts w:cs="Times New Roman"/>
        </w:rPr>
        <w:t>ould have a positive impact on private sector development and competiti</w:t>
      </w:r>
      <w:r w:rsidRPr="00834149">
        <w:rPr>
          <w:rFonts w:cs="Times New Roman"/>
        </w:rPr>
        <w:t>on</w:t>
      </w:r>
      <w:r w:rsidR="00050AAC" w:rsidRPr="00834149">
        <w:rPr>
          <w:rFonts w:cs="Times New Roman"/>
        </w:rPr>
        <w:t xml:space="preserve"> by</w:t>
      </w:r>
      <w:r w:rsidR="00F201E9">
        <w:rPr>
          <w:rFonts w:cs="Times New Roman"/>
        </w:rPr>
        <w:t>, among other things,</w:t>
      </w:r>
      <w:r w:rsidR="00050AAC" w:rsidRPr="00834149">
        <w:rPr>
          <w:rFonts w:cs="Times New Roman"/>
        </w:rPr>
        <w:t xml:space="preserve"> reducing the cost of doing business</w:t>
      </w:r>
      <w:r w:rsidRPr="00834149">
        <w:rPr>
          <w:rFonts w:cs="Times New Roman"/>
        </w:rPr>
        <w:t xml:space="preserve"> in Togo.</w:t>
      </w:r>
      <w:r w:rsidR="008E5F7B" w:rsidRPr="00834149">
        <w:rPr>
          <w:rFonts w:cs="Times New Roman"/>
        </w:rPr>
        <w:t xml:space="preserve"> </w:t>
      </w:r>
      <w:r w:rsidR="00F555FA" w:rsidRPr="00834149">
        <w:rPr>
          <w:rFonts w:cs="Times New Roman"/>
        </w:rPr>
        <w:t>W</w:t>
      </w:r>
      <w:r w:rsidR="00050AAC" w:rsidRPr="00834149">
        <w:rPr>
          <w:rFonts w:cs="Times New Roman"/>
        </w:rPr>
        <w:t xml:space="preserve">here possible, the project will </w:t>
      </w:r>
      <w:r w:rsidR="003E2C0F" w:rsidRPr="00834149">
        <w:rPr>
          <w:rFonts w:cs="Times New Roman"/>
        </w:rPr>
        <w:t>emphasize</w:t>
      </w:r>
      <w:r w:rsidR="00050AAC" w:rsidRPr="00834149">
        <w:rPr>
          <w:rFonts w:cs="Times New Roman"/>
        </w:rPr>
        <w:t xml:space="preserve"> female </w:t>
      </w:r>
      <w:r w:rsidR="003E2C0F" w:rsidRPr="00834149">
        <w:rPr>
          <w:rFonts w:cs="Times New Roman"/>
        </w:rPr>
        <w:t xml:space="preserve">participation in </w:t>
      </w:r>
      <w:r w:rsidR="00050AAC" w:rsidRPr="00834149">
        <w:rPr>
          <w:rFonts w:cs="Times New Roman"/>
        </w:rPr>
        <w:t>capacity building programs</w:t>
      </w:r>
      <w:r w:rsidR="00F555FA" w:rsidRPr="00834149">
        <w:rPr>
          <w:rFonts w:cs="Times New Roman"/>
        </w:rPr>
        <w:t>. To promote jobs, t</w:t>
      </w:r>
      <w:r w:rsidR="00050AAC" w:rsidRPr="00834149">
        <w:rPr>
          <w:rFonts w:cs="Times New Roman"/>
        </w:rPr>
        <w:t xml:space="preserve">he project provides various tools for micro operators of the trucking industry to </w:t>
      </w:r>
      <w:r w:rsidR="00F555FA" w:rsidRPr="00834149">
        <w:rPr>
          <w:rFonts w:cs="Times New Roman"/>
        </w:rPr>
        <w:t xml:space="preserve">create </w:t>
      </w:r>
      <w:r w:rsidR="00050AAC" w:rsidRPr="00834149">
        <w:rPr>
          <w:rFonts w:cs="Times New Roman"/>
        </w:rPr>
        <w:t>cooperati</w:t>
      </w:r>
      <w:r w:rsidR="00F555FA" w:rsidRPr="00834149">
        <w:rPr>
          <w:rFonts w:cs="Times New Roman"/>
        </w:rPr>
        <w:t>v</w:t>
      </w:r>
      <w:r w:rsidR="00050AAC" w:rsidRPr="00834149">
        <w:rPr>
          <w:rFonts w:cs="Times New Roman"/>
        </w:rPr>
        <w:t>e</w:t>
      </w:r>
      <w:r w:rsidR="00F555FA" w:rsidRPr="00834149">
        <w:rPr>
          <w:rFonts w:cs="Times New Roman"/>
        </w:rPr>
        <w:t>s</w:t>
      </w:r>
      <w:r w:rsidR="00050AAC" w:rsidRPr="00834149">
        <w:rPr>
          <w:rFonts w:cs="Times New Roman"/>
        </w:rPr>
        <w:t xml:space="preserve"> and build capacity</w:t>
      </w:r>
      <w:r w:rsidR="003E2C0F" w:rsidRPr="00834149">
        <w:rPr>
          <w:rFonts w:cs="Times New Roman"/>
        </w:rPr>
        <w:t xml:space="preserve">, while also providing existing operators with </w:t>
      </w:r>
      <w:r w:rsidR="00050AAC" w:rsidRPr="00834149">
        <w:rPr>
          <w:rFonts w:cs="Times New Roman"/>
        </w:rPr>
        <w:t>re-skilling opportunities to access better jobs.</w:t>
      </w:r>
      <w:r w:rsidR="004F6DC5" w:rsidRPr="00834149">
        <w:rPr>
          <w:rFonts w:cs="Times New Roman"/>
        </w:rPr>
        <w:t xml:space="preserve"> </w:t>
      </w:r>
      <w:r w:rsidR="00B97A66" w:rsidRPr="00834149">
        <w:rPr>
          <w:rFonts w:cs="Times New Roman"/>
        </w:rPr>
        <w:t xml:space="preserve">The project is aligned with support from </w:t>
      </w:r>
      <w:r w:rsidR="00B445AE" w:rsidRPr="00834149">
        <w:rPr>
          <w:rFonts w:cs="Times New Roman"/>
        </w:rPr>
        <w:t xml:space="preserve">the </w:t>
      </w:r>
      <w:r w:rsidR="00B97A66" w:rsidRPr="00834149">
        <w:rPr>
          <w:rFonts w:cs="Times New Roman"/>
        </w:rPr>
        <w:t>AfDB and EU (</w:t>
      </w:r>
      <w:r w:rsidR="00B445AE" w:rsidRPr="00834149">
        <w:rPr>
          <w:rFonts w:cs="Times New Roman"/>
        </w:rPr>
        <w:t>jointly financing the Abidjan Lagos Corridor project)</w:t>
      </w:r>
      <w:r w:rsidR="00B97A66" w:rsidRPr="00834149">
        <w:rPr>
          <w:rFonts w:cs="Times New Roman"/>
        </w:rPr>
        <w:t xml:space="preserve"> and </w:t>
      </w:r>
      <w:r w:rsidR="005430BF" w:rsidRPr="00834149">
        <w:rPr>
          <w:rFonts w:cs="Times New Roman"/>
        </w:rPr>
        <w:t>the Japan International Cooperation Agency (</w:t>
      </w:r>
      <w:r w:rsidR="00B97A66" w:rsidRPr="00834149">
        <w:rPr>
          <w:rFonts w:cs="Times New Roman"/>
        </w:rPr>
        <w:t>JICA</w:t>
      </w:r>
      <w:r w:rsidR="005430BF" w:rsidRPr="00834149">
        <w:rPr>
          <w:rFonts w:cs="Times New Roman"/>
        </w:rPr>
        <w:t>)</w:t>
      </w:r>
      <w:r w:rsidR="00B97A66" w:rsidRPr="00834149">
        <w:rPr>
          <w:rFonts w:cs="Times New Roman"/>
        </w:rPr>
        <w:t>.</w:t>
      </w:r>
    </w:p>
    <w:p w14:paraId="2DD8202B" w14:textId="24CF11E5" w:rsidR="0070224A" w:rsidRPr="00834149" w:rsidRDefault="0070224A" w:rsidP="00834149">
      <w:pPr>
        <w:pStyle w:val="ListParagraph"/>
        <w:ind w:left="0"/>
        <w:contextualSpacing w:val="0"/>
        <w:jc w:val="both"/>
        <w:rPr>
          <w:rFonts w:eastAsia="Times New Roman" w:cs="Times New Roman"/>
        </w:rPr>
      </w:pPr>
    </w:p>
    <w:p w14:paraId="0CF73B55" w14:textId="717FBFA0" w:rsidR="003F399A" w:rsidRPr="0070224A" w:rsidRDefault="001527E4" w:rsidP="00834149">
      <w:pPr>
        <w:pStyle w:val="ListParagraph"/>
        <w:numPr>
          <w:ilvl w:val="0"/>
          <w:numId w:val="2"/>
        </w:numPr>
        <w:ind w:left="0" w:firstLine="0"/>
        <w:contextualSpacing w:val="0"/>
        <w:jc w:val="both"/>
      </w:pPr>
      <w:r w:rsidRPr="00834149">
        <w:rPr>
          <w:rFonts w:cs="Times New Roman"/>
          <w:b/>
        </w:rPr>
        <w:t>An important component of the IDA Transport and Logistics Facilitation investment project is access to finance for small operators in the trucking sector</w:t>
      </w:r>
      <w:r w:rsidRPr="00834149">
        <w:rPr>
          <w:rFonts w:cs="Times New Roman"/>
        </w:rPr>
        <w:t>.</w:t>
      </w:r>
      <w:r w:rsidRPr="00834149">
        <w:rPr>
          <w:rFonts w:cs="Times New Roman"/>
          <w:b/>
        </w:rPr>
        <w:t xml:space="preserve"> </w:t>
      </w:r>
      <w:r w:rsidR="004F6DC5" w:rsidRPr="00834149">
        <w:rPr>
          <w:rFonts w:cs="Times New Roman"/>
        </w:rPr>
        <w:t xml:space="preserve">IFC </w:t>
      </w:r>
      <w:r w:rsidRPr="00834149">
        <w:rPr>
          <w:rFonts w:cs="Times New Roman"/>
        </w:rPr>
        <w:t>is exploring options to provide</w:t>
      </w:r>
      <w:r w:rsidR="000A3570" w:rsidRPr="00834149">
        <w:rPr>
          <w:rFonts w:cs="Times New Roman"/>
        </w:rPr>
        <w:t xml:space="preserve"> financing for the truckers to modernize their aging fleet (trucks are on average 17 years old). </w:t>
      </w:r>
      <w:r w:rsidR="005430BF" w:rsidRPr="00834149">
        <w:rPr>
          <w:rFonts w:cs="Times New Roman"/>
        </w:rPr>
        <w:t xml:space="preserve">One </w:t>
      </w:r>
      <w:r w:rsidR="000A3570" w:rsidRPr="00834149">
        <w:rPr>
          <w:rFonts w:cs="Times New Roman"/>
        </w:rPr>
        <w:t xml:space="preserve">option would be </w:t>
      </w:r>
      <w:r w:rsidR="004F6DC5" w:rsidRPr="00834149">
        <w:rPr>
          <w:rFonts w:cs="Times New Roman"/>
        </w:rPr>
        <w:t xml:space="preserve">a </w:t>
      </w:r>
      <w:r w:rsidR="000A3570" w:rsidRPr="00834149">
        <w:rPr>
          <w:rFonts w:cs="Times New Roman"/>
        </w:rPr>
        <w:t>Risk S</w:t>
      </w:r>
      <w:r w:rsidR="004F6DC5" w:rsidRPr="00834149">
        <w:rPr>
          <w:rFonts w:cs="Times New Roman"/>
        </w:rPr>
        <w:t xml:space="preserve">haring </w:t>
      </w:r>
      <w:r w:rsidR="000A3570" w:rsidRPr="00834149">
        <w:rPr>
          <w:rFonts w:cs="Times New Roman"/>
        </w:rPr>
        <w:t>F</w:t>
      </w:r>
      <w:r w:rsidR="004F6DC5" w:rsidRPr="00834149">
        <w:rPr>
          <w:rFonts w:cs="Times New Roman"/>
        </w:rPr>
        <w:t xml:space="preserve">acility </w:t>
      </w:r>
      <w:r w:rsidR="000A3570" w:rsidRPr="00834149">
        <w:rPr>
          <w:rFonts w:cs="Times New Roman"/>
        </w:rPr>
        <w:t>in a local bank</w:t>
      </w:r>
      <w:r w:rsidR="005430BF" w:rsidRPr="00834149">
        <w:rPr>
          <w:rFonts w:cs="Times New Roman"/>
        </w:rPr>
        <w:t>,</w:t>
      </w:r>
      <w:r w:rsidR="000A3570" w:rsidRPr="00834149">
        <w:rPr>
          <w:rFonts w:cs="Times New Roman"/>
        </w:rPr>
        <w:t xml:space="preserve"> </w:t>
      </w:r>
      <w:r w:rsidR="0056638D" w:rsidRPr="00834149">
        <w:rPr>
          <w:rFonts w:cs="Times New Roman"/>
        </w:rPr>
        <w:t>with potential support from</w:t>
      </w:r>
      <w:r w:rsidR="004F6DC5" w:rsidRPr="00834149">
        <w:rPr>
          <w:rFonts w:cs="Times New Roman"/>
        </w:rPr>
        <w:t xml:space="preserve"> the IDA Private Sector Window</w:t>
      </w:r>
      <w:r w:rsidR="008068BC" w:rsidRPr="00834149">
        <w:rPr>
          <w:rFonts w:cs="Times New Roman"/>
        </w:rPr>
        <w:t xml:space="preserve"> </w:t>
      </w:r>
      <w:r w:rsidR="000A3570" w:rsidRPr="00834149">
        <w:rPr>
          <w:rFonts w:cs="Times New Roman"/>
        </w:rPr>
        <w:t xml:space="preserve">to provide a “first loss” </w:t>
      </w:r>
      <w:r w:rsidR="005430BF" w:rsidRPr="00834149">
        <w:rPr>
          <w:rFonts w:cs="Times New Roman"/>
        </w:rPr>
        <w:t xml:space="preserve">that </w:t>
      </w:r>
      <w:r w:rsidR="000A3570" w:rsidRPr="00834149">
        <w:rPr>
          <w:rFonts w:cs="Times New Roman"/>
        </w:rPr>
        <w:t>would be used to reduce potential losses to the bank and IFC</w:t>
      </w:r>
      <w:r w:rsidR="007C4BB3" w:rsidRPr="00834149">
        <w:rPr>
          <w:rFonts w:cs="Times New Roman"/>
        </w:rPr>
        <w:t>.</w:t>
      </w:r>
      <w:r w:rsidR="009F52DD" w:rsidRPr="00834149">
        <w:rPr>
          <w:rFonts w:cs="Times New Roman"/>
        </w:rPr>
        <w:t xml:space="preserve"> As t</w:t>
      </w:r>
      <w:r w:rsidR="000A3570" w:rsidRPr="00834149">
        <w:rPr>
          <w:rFonts w:cs="Times New Roman"/>
        </w:rPr>
        <w:t xml:space="preserve">his type of </w:t>
      </w:r>
      <w:r w:rsidR="000A3570" w:rsidRPr="00834149">
        <w:rPr>
          <w:rFonts w:cs="Times New Roman"/>
        </w:rPr>
        <w:lastRenderedPageBreak/>
        <w:t xml:space="preserve">facility </w:t>
      </w:r>
      <w:r w:rsidR="009F52DD" w:rsidRPr="00834149">
        <w:rPr>
          <w:rFonts w:cs="Times New Roman"/>
        </w:rPr>
        <w:t xml:space="preserve">limits losses, it generally </w:t>
      </w:r>
      <w:r w:rsidR="000A3570" w:rsidRPr="00834149">
        <w:rPr>
          <w:rFonts w:cs="Times New Roman"/>
        </w:rPr>
        <w:t>encourage</w:t>
      </w:r>
      <w:r w:rsidR="009F52DD" w:rsidRPr="00834149">
        <w:rPr>
          <w:rFonts w:cs="Times New Roman"/>
        </w:rPr>
        <w:t>s</w:t>
      </w:r>
      <w:r w:rsidR="000A3570" w:rsidRPr="00834149">
        <w:rPr>
          <w:rFonts w:cs="Times New Roman"/>
        </w:rPr>
        <w:t xml:space="preserve"> banks to</w:t>
      </w:r>
      <w:r w:rsidR="009F52DD" w:rsidRPr="00834149">
        <w:rPr>
          <w:rFonts w:cs="Times New Roman"/>
        </w:rPr>
        <w:t xml:space="preserve"> lend to SMEs in sectors they have historically been </w:t>
      </w:r>
      <w:r w:rsidR="005430BF" w:rsidRPr="00834149">
        <w:rPr>
          <w:rFonts w:cs="Times New Roman"/>
        </w:rPr>
        <w:t xml:space="preserve">reluctant </w:t>
      </w:r>
      <w:r w:rsidR="007C75C7" w:rsidRPr="00834149">
        <w:rPr>
          <w:rFonts w:cs="Times New Roman"/>
        </w:rPr>
        <w:t>to enter</w:t>
      </w:r>
      <w:r w:rsidR="009F52DD" w:rsidRPr="00834149">
        <w:rPr>
          <w:rFonts w:cs="Times New Roman"/>
        </w:rPr>
        <w:t>.</w:t>
      </w:r>
      <w:r w:rsidR="000A3570" w:rsidRPr="00834149">
        <w:rPr>
          <w:rFonts w:cs="Times New Roman"/>
        </w:rPr>
        <w:t xml:space="preserve"> Another </w:t>
      </w:r>
      <w:r w:rsidR="009F52DD" w:rsidRPr="00834149">
        <w:rPr>
          <w:rFonts w:cs="Times New Roman"/>
        </w:rPr>
        <w:t xml:space="preserve">financing </w:t>
      </w:r>
      <w:r w:rsidR="000A3570" w:rsidRPr="00834149">
        <w:rPr>
          <w:rFonts w:cs="Times New Roman"/>
        </w:rPr>
        <w:t xml:space="preserve">possibility </w:t>
      </w:r>
      <w:r w:rsidR="005430BF" w:rsidRPr="00834149">
        <w:rPr>
          <w:rFonts w:cs="Times New Roman"/>
        </w:rPr>
        <w:t xml:space="preserve">would be </w:t>
      </w:r>
      <w:r w:rsidR="000A3570" w:rsidRPr="00834149">
        <w:rPr>
          <w:rFonts w:cs="Times New Roman"/>
        </w:rPr>
        <w:t>the use of leasing</w:t>
      </w:r>
      <w:r w:rsidR="009F52DD" w:rsidRPr="00834149">
        <w:rPr>
          <w:rFonts w:cs="Times New Roman"/>
        </w:rPr>
        <w:t xml:space="preserve">. </w:t>
      </w:r>
      <w:r w:rsidR="004F6DC5" w:rsidRPr="00834149">
        <w:rPr>
          <w:rFonts w:cs="Times New Roman"/>
        </w:rPr>
        <w:t xml:space="preserve">IFC could also support </w:t>
      </w:r>
      <w:r w:rsidR="009F52DD" w:rsidRPr="00834149">
        <w:rPr>
          <w:rFonts w:cs="Times New Roman"/>
        </w:rPr>
        <w:t>the project through its Global Trade Finance Program (GTFP)</w:t>
      </w:r>
      <w:r w:rsidR="005430BF" w:rsidRPr="00834149">
        <w:rPr>
          <w:rFonts w:cs="Times New Roman"/>
        </w:rPr>
        <w:t>,</w:t>
      </w:r>
      <w:r w:rsidR="00B445AE" w:rsidRPr="00834149">
        <w:rPr>
          <w:rFonts w:cs="Times New Roman"/>
        </w:rPr>
        <w:t xml:space="preserve"> which </w:t>
      </w:r>
      <w:r w:rsidR="004F6DC5" w:rsidRPr="00834149">
        <w:rPr>
          <w:rFonts w:cs="Times New Roman"/>
        </w:rPr>
        <w:t>offers banks partial or full guarantees covering payment risk on emerging market</w:t>
      </w:r>
      <w:r w:rsidR="009F52DD" w:rsidRPr="00834149">
        <w:rPr>
          <w:rFonts w:cs="Times New Roman"/>
        </w:rPr>
        <w:t xml:space="preserve"> banks</w:t>
      </w:r>
      <w:r w:rsidR="004F6DC5" w:rsidRPr="00834149">
        <w:rPr>
          <w:rFonts w:cs="Times New Roman"/>
        </w:rPr>
        <w:t xml:space="preserve"> for trade-related transactions. </w:t>
      </w:r>
    </w:p>
    <w:p w14:paraId="4CE73FCE" w14:textId="735E9AB6" w:rsidR="0070224A" w:rsidRPr="0078430C" w:rsidRDefault="0070224A" w:rsidP="00834149">
      <w:pPr>
        <w:pStyle w:val="ListParagraph"/>
        <w:ind w:left="0"/>
        <w:contextualSpacing w:val="0"/>
        <w:jc w:val="both"/>
      </w:pPr>
    </w:p>
    <w:p w14:paraId="7762CDFD" w14:textId="3B76C980" w:rsidR="00572FAB" w:rsidRPr="00834149" w:rsidRDefault="00572FAB" w:rsidP="003F04D0">
      <w:pPr>
        <w:pBdr>
          <w:top w:val="single" w:sz="4" w:space="0" w:color="auto"/>
          <w:left w:val="single" w:sz="4" w:space="4" w:color="auto"/>
          <w:right w:val="single" w:sz="4" w:space="4" w:color="auto"/>
        </w:pBdr>
        <w:shd w:val="clear" w:color="auto" w:fill="D9D9D9" w:themeFill="background1" w:themeFillShade="D9"/>
        <w:jc w:val="both"/>
        <w:rPr>
          <w:rFonts w:cs="Times New Roman"/>
          <w:b/>
          <w:i/>
        </w:rPr>
      </w:pPr>
      <w:r w:rsidRPr="00834149">
        <w:rPr>
          <w:rFonts w:cs="Times New Roman"/>
          <w:b/>
          <w:i/>
        </w:rPr>
        <w:t>Results Indicators for Objective 1.</w:t>
      </w:r>
      <w:r w:rsidR="007B057A" w:rsidRPr="00834149">
        <w:rPr>
          <w:rFonts w:cs="Times New Roman"/>
          <w:b/>
          <w:i/>
        </w:rPr>
        <w:t>3</w:t>
      </w:r>
      <w:r w:rsidR="00AC5BE0" w:rsidRPr="00834149">
        <w:rPr>
          <w:rFonts w:cs="Times New Roman"/>
          <w:b/>
          <w:i/>
        </w:rPr>
        <w:t>:</w:t>
      </w:r>
      <w:r w:rsidRPr="00834149">
        <w:rPr>
          <w:rFonts w:cs="Times New Roman"/>
          <w:b/>
          <w:i/>
        </w:rPr>
        <w:t xml:space="preserve"> </w:t>
      </w:r>
      <w:r w:rsidR="00AC5BE0" w:rsidRPr="00834149">
        <w:rPr>
          <w:rFonts w:cs="Times New Roman"/>
          <w:b/>
          <w:i/>
        </w:rPr>
        <w:t xml:space="preserve">Strengthen </w:t>
      </w:r>
      <w:r w:rsidR="001E4455" w:rsidRPr="00834149">
        <w:rPr>
          <w:rFonts w:cs="Times New Roman"/>
          <w:b/>
          <w:i/>
        </w:rPr>
        <w:t>Energy, ICT and Logistics Services</w:t>
      </w:r>
    </w:p>
    <w:p w14:paraId="24855F38" w14:textId="7B0650F9" w:rsidR="00572FAB" w:rsidRPr="00834149" w:rsidRDefault="00572FAB" w:rsidP="003F04D0">
      <w:pPr>
        <w:pBdr>
          <w:top w:val="single" w:sz="4" w:space="0" w:color="auto"/>
          <w:left w:val="single" w:sz="4" w:space="4" w:color="auto"/>
          <w:bottom w:val="single" w:sz="4" w:space="1" w:color="auto"/>
          <w:right w:val="single" w:sz="4" w:space="4" w:color="auto"/>
        </w:pBdr>
        <w:shd w:val="clear" w:color="auto" w:fill="F8F8F0" w:themeFill="background2" w:themeFillTint="33"/>
        <w:jc w:val="both"/>
        <w:rPr>
          <w:rFonts w:cs="Times New Roman"/>
        </w:rPr>
      </w:pPr>
      <w:r w:rsidRPr="00834149">
        <w:rPr>
          <w:rFonts w:cs="Times New Roman"/>
          <w:b/>
        </w:rPr>
        <w:t xml:space="preserve">Indicator 1: </w:t>
      </w:r>
      <w:r w:rsidR="00263709" w:rsidRPr="00834149">
        <w:rPr>
          <w:rFonts w:cs="Times New Roman"/>
        </w:rPr>
        <w:t>Expanded and improved electricity services</w:t>
      </w:r>
      <w:r w:rsidR="00B53AC5" w:rsidRPr="00834149">
        <w:rPr>
          <w:rFonts w:cs="Times New Roman"/>
        </w:rPr>
        <w:t xml:space="preserve"> in Lomé</w:t>
      </w:r>
      <w:r w:rsidR="00B35640" w:rsidRPr="00834149">
        <w:rPr>
          <w:rFonts w:cs="Times New Roman"/>
        </w:rPr>
        <w:t xml:space="preserve"> (</w:t>
      </w:r>
      <w:r w:rsidR="00435E50" w:rsidRPr="00834149">
        <w:rPr>
          <w:rFonts w:cs="Times New Roman"/>
          <w:i/>
        </w:rPr>
        <w:t>increase</w:t>
      </w:r>
      <w:r w:rsidR="00C66A62" w:rsidRPr="00834149">
        <w:rPr>
          <w:rFonts w:cs="Times New Roman"/>
          <w:i/>
        </w:rPr>
        <w:t>d</w:t>
      </w:r>
      <w:r w:rsidR="00435E50" w:rsidRPr="00834149">
        <w:rPr>
          <w:rFonts w:cs="Times New Roman"/>
          <w:i/>
        </w:rPr>
        <w:t xml:space="preserve"> number of people provided with new or improved electricity service</w:t>
      </w:r>
      <w:r w:rsidR="0056595B" w:rsidRPr="00834149">
        <w:rPr>
          <w:rFonts w:cs="Times New Roman"/>
          <w:i/>
        </w:rPr>
        <w:t xml:space="preserve"> from 392,000</w:t>
      </w:r>
      <w:r w:rsidR="00B53AC5" w:rsidRPr="00834149">
        <w:rPr>
          <w:rFonts w:cs="Times New Roman"/>
          <w:i/>
        </w:rPr>
        <w:t xml:space="preserve"> (22%)</w:t>
      </w:r>
      <w:r w:rsidR="0056595B" w:rsidRPr="00834149">
        <w:rPr>
          <w:rFonts w:cs="Times New Roman"/>
          <w:i/>
        </w:rPr>
        <w:t xml:space="preserve"> in 2018 to 43</w:t>
      </w:r>
      <w:r w:rsidR="00724643" w:rsidRPr="00834149">
        <w:rPr>
          <w:rFonts w:cs="Times New Roman"/>
          <w:i/>
        </w:rPr>
        <w:t xml:space="preserve">2,000 </w:t>
      </w:r>
      <w:r w:rsidR="00B53AC5" w:rsidRPr="00834149">
        <w:rPr>
          <w:rFonts w:cs="Times New Roman"/>
          <w:i/>
        </w:rPr>
        <w:t xml:space="preserve">(25%) </w:t>
      </w:r>
      <w:r w:rsidR="00724643" w:rsidRPr="00834149">
        <w:rPr>
          <w:rFonts w:cs="Times New Roman"/>
          <w:i/>
        </w:rPr>
        <w:t>in</w:t>
      </w:r>
      <w:r w:rsidR="00FC29C4" w:rsidRPr="00834149">
        <w:rPr>
          <w:rFonts w:cs="Times New Roman"/>
          <w:i/>
        </w:rPr>
        <w:t xml:space="preserve"> 2020</w:t>
      </w:r>
      <w:r w:rsidR="00435E50" w:rsidRPr="00834149">
        <w:rPr>
          <w:rFonts w:cs="Times New Roman"/>
        </w:rPr>
        <w:t>)</w:t>
      </w:r>
      <w:r w:rsidR="00B35640" w:rsidRPr="00834149">
        <w:rPr>
          <w:rFonts w:cs="Times New Roman"/>
          <w:b/>
        </w:rPr>
        <w:t xml:space="preserve"> </w:t>
      </w:r>
      <w:r w:rsidR="00B35640" w:rsidRPr="00834149">
        <w:rPr>
          <w:rFonts w:cs="Times New Roman"/>
        </w:rPr>
        <w:t>and</w:t>
      </w:r>
      <w:r w:rsidR="00FC29C4" w:rsidRPr="00834149">
        <w:rPr>
          <w:rFonts w:cs="Times New Roman"/>
        </w:rPr>
        <w:t xml:space="preserve"> </w:t>
      </w:r>
      <w:r w:rsidR="00C43C0C" w:rsidRPr="00834149">
        <w:rPr>
          <w:rFonts w:cs="Times New Roman"/>
        </w:rPr>
        <w:t>(</w:t>
      </w:r>
      <w:r w:rsidR="00FC29C4" w:rsidRPr="00834149">
        <w:rPr>
          <w:rFonts w:cs="Times New Roman"/>
          <w:i/>
        </w:rPr>
        <w:t>increased energy capacity</w:t>
      </w:r>
      <w:r w:rsidR="00FC29C4" w:rsidRPr="00834149">
        <w:rPr>
          <w:rFonts w:cs="Times New Roman"/>
        </w:rPr>
        <w:t xml:space="preserve"> </w:t>
      </w:r>
      <w:r w:rsidR="00FC29C4" w:rsidRPr="00834149">
        <w:rPr>
          <w:rFonts w:cs="Times New Roman"/>
          <w:i/>
        </w:rPr>
        <w:t>by 50 MWh/year by 2020</w:t>
      </w:r>
      <w:r w:rsidR="00FC29C4" w:rsidRPr="00834149">
        <w:rPr>
          <w:rFonts w:cs="Times New Roman"/>
        </w:rPr>
        <w:t>)</w:t>
      </w:r>
    </w:p>
    <w:p w14:paraId="2BA2A802" w14:textId="3AC1C0FF" w:rsidR="00572FAB" w:rsidRPr="00834149" w:rsidRDefault="00572FAB" w:rsidP="003F04D0">
      <w:pPr>
        <w:pBdr>
          <w:top w:val="single" w:sz="4" w:space="0" w:color="auto"/>
          <w:left w:val="single" w:sz="4" w:space="4" w:color="auto"/>
          <w:bottom w:val="single" w:sz="4" w:space="1" w:color="auto"/>
          <w:right w:val="single" w:sz="4" w:space="4" w:color="auto"/>
        </w:pBdr>
        <w:shd w:val="clear" w:color="auto" w:fill="F8F8F0" w:themeFill="background2" w:themeFillTint="33"/>
        <w:jc w:val="both"/>
        <w:rPr>
          <w:rFonts w:cs="Times New Roman"/>
        </w:rPr>
      </w:pPr>
      <w:r w:rsidRPr="00834149">
        <w:rPr>
          <w:rFonts w:cs="Times New Roman"/>
          <w:b/>
        </w:rPr>
        <w:t>Indicator 2:</w:t>
      </w:r>
      <w:r w:rsidR="008940D4" w:rsidRPr="00834149">
        <w:rPr>
          <w:rFonts w:cs="Times New Roman"/>
          <w:b/>
        </w:rPr>
        <w:t xml:space="preserve"> </w:t>
      </w:r>
      <w:r w:rsidR="00435E50" w:rsidRPr="00834149">
        <w:rPr>
          <w:rFonts w:cs="Times New Roman"/>
        </w:rPr>
        <w:t>Reduced t</w:t>
      </w:r>
      <w:r w:rsidR="008940D4" w:rsidRPr="00834149">
        <w:rPr>
          <w:rFonts w:cs="Times New Roman"/>
        </w:rPr>
        <w:t xml:space="preserve">elecommunications </w:t>
      </w:r>
      <w:r w:rsidR="0070224A">
        <w:rPr>
          <w:rFonts w:cs="Times New Roman"/>
        </w:rPr>
        <w:t xml:space="preserve">services </w:t>
      </w:r>
      <w:r w:rsidR="008940D4" w:rsidRPr="00834149">
        <w:rPr>
          <w:rFonts w:cs="Times New Roman"/>
        </w:rPr>
        <w:t>costs</w:t>
      </w:r>
      <w:r w:rsidR="00FC29C4" w:rsidRPr="00834149">
        <w:rPr>
          <w:rFonts w:cs="Times New Roman"/>
        </w:rPr>
        <w:t xml:space="preserve"> (</w:t>
      </w:r>
      <w:r w:rsidR="00D44575" w:rsidRPr="00834149">
        <w:rPr>
          <w:rFonts w:cs="Times New Roman"/>
          <w:i/>
        </w:rPr>
        <w:t>the cost of international wholesale capacity bandwidth price in euro/Mbps/month from 113 in 2016 to 50 in 2020</w:t>
      </w:r>
      <w:r w:rsidR="00FC29C4" w:rsidRPr="00834149">
        <w:rPr>
          <w:rFonts w:cs="Times New Roman"/>
        </w:rPr>
        <w:t>)</w:t>
      </w:r>
    </w:p>
    <w:p w14:paraId="6D7D0FDD" w14:textId="738EF4D3" w:rsidR="00CB5571" w:rsidRPr="00834149" w:rsidRDefault="00213C8C" w:rsidP="003F04D0">
      <w:pPr>
        <w:pBdr>
          <w:top w:val="single" w:sz="4" w:space="0" w:color="auto"/>
          <w:left w:val="single" w:sz="4" w:space="4" w:color="auto"/>
          <w:bottom w:val="single" w:sz="4" w:space="1" w:color="auto"/>
          <w:right w:val="single" w:sz="4" w:space="4" w:color="auto"/>
        </w:pBdr>
        <w:shd w:val="clear" w:color="auto" w:fill="F8F8F0" w:themeFill="background2" w:themeFillTint="33"/>
        <w:rPr>
          <w:rFonts w:cs="Times New Roman"/>
        </w:rPr>
      </w:pPr>
      <w:r w:rsidRPr="00834149">
        <w:rPr>
          <w:rFonts w:cs="Times New Roman"/>
          <w:b/>
        </w:rPr>
        <w:t>Indicator 3:</w:t>
      </w:r>
      <w:r w:rsidRPr="00834149">
        <w:rPr>
          <w:rFonts w:cs="Times New Roman"/>
        </w:rPr>
        <w:t xml:space="preserve"> </w:t>
      </w:r>
      <w:r w:rsidR="004063E7" w:rsidRPr="00834149">
        <w:rPr>
          <w:rFonts w:cs="Times New Roman"/>
        </w:rPr>
        <w:t>Improved transport efficiency (</w:t>
      </w:r>
      <w:r w:rsidR="00FA71CD" w:rsidRPr="00834149">
        <w:rPr>
          <w:rFonts w:cs="Times New Roman"/>
          <w:i/>
        </w:rPr>
        <w:t>median transit time from Port of Lomé to Cinkansé border with Burkina Faso</w:t>
      </w:r>
      <w:r w:rsidR="00FC29C4" w:rsidRPr="00834149">
        <w:rPr>
          <w:rFonts w:cs="Times New Roman"/>
          <w:i/>
        </w:rPr>
        <w:t xml:space="preserve"> </w:t>
      </w:r>
      <w:r w:rsidR="006C1EB2">
        <w:rPr>
          <w:rFonts w:cs="Times New Roman"/>
          <w:i/>
        </w:rPr>
        <w:t xml:space="preserve">reduced </w:t>
      </w:r>
      <w:r w:rsidR="00D42EC2">
        <w:rPr>
          <w:rFonts w:cs="Times New Roman"/>
          <w:i/>
        </w:rPr>
        <w:t>from 8 days in 2016 to 6 day</w:t>
      </w:r>
      <w:r w:rsidR="00834149">
        <w:rPr>
          <w:rFonts w:cs="Times New Roman"/>
          <w:i/>
        </w:rPr>
        <w:t xml:space="preserve"> </w:t>
      </w:r>
      <w:r w:rsidR="00D42EC2">
        <w:rPr>
          <w:rFonts w:cs="Times New Roman"/>
          <w:i/>
        </w:rPr>
        <w:t xml:space="preserve">in </w:t>
      </w:r>
      <w:r w:rsidR="00FC29C4" w:rsidRPr="00834149">
        <w:rPr>
          <w:rFonts w:cs="Times New Roman"/>
          <w:i/>
        </w:rPr>
        <w:t>202</w:t>
      </w:r>
      <w:r w:rsidR="00FA71CD" w:rsidRPr="00834149">
        <w:rPr>
          <w:rFonts w:cs="Times New Roman"/>
          <w:i/>
        </w:rPr>
        <w:t>0</w:t>
      </w:r>
      <w:r w:rsidR="00FA71CD" w:rsidRPr="00834149">
        <w:rPr>
          <w:rFonts w:cs="Times New Roman"/>
        </w:rPr>
        <w:t>)</w:t>
      </w:r>
      <w:r w:rsidR="009B71C1" w:rsidRPr="00834149">
        <w:rPr>
          <w:rFonts w:cs="Times New Roman"/>
        </w:rPr>
        <w:t xml:space="preserve"> and (</w:t>
      </w:r>
      <w:r w:rsidR="009B71C1" w:rsidRPr="00834149">
        <w:rPr>
          <w:rFonts w:cs="Times New Roman"/>
          <w:i/>
        </w:rPr>
        <w:t>Number of containers handled (M TEU Containers) from 0.5 in 2016 to 1.0 in 2020</w:t>
      </w:r>
      <w:r w:rsidR="009B71C1" w:rsidRPr="00834149">
        <w:rPr>
          <w:rFonts w:cs="Times New Roman"/>
        </w:rPr>
        <w:t>)</w:t>
      </w:r>
    </w:p>
    <w:p w14:paraId="30452211" w14:textId="7CE08331" w:rsidR="002627F2" w:rsidRPr="00834149" w:rsidRDefault="002627F2" w:rsidP="00CB5571">
      <w:pPr>
        <w:rPr>
          <w:rFonts w:cs="Times New Roman"/>
          <w:b/>
          <w:caps/>
        </w:rPr>
      </w:pPr>
    </w:p>
    <w:p w14:paraId="6100084D" w14:textId="77777777" w:rsidR="001751FF" w:rsidRPr="00834149" w:rsidRDefault="001751FF">
      <w:pPr>
        <w:rPr>
          <w:rFonts w:cs="Times New Roman"/>
          <w:b/>
          <w:caps/>
        </w:rPr>
      </w:pPr>
      <w:r w:rsidRPr="00834149">
        <w:rPr>
          <w:rFonts w:cs="Times New Roman"/>
          <w:b/>
          <w:caps/>
        </w:rPr>
        <w:br w:type="page"/>
      </w:r>
    </w:p>
    <w:p w14:paraId="3C1BD722" w14:textId="4F99F95B" w:rsidR="005715C8" w:rsidRPr="00834149" w:rsidRDefault="007F24B5" w:rsidP="00A50430">
      <w:pPr>
        <w:jc w:val="both"/>
        <w:rPr>
          <w:rFonts w:cs="Times New Roman"/>
          <w:b/>
          <w:caps/>
        </w:rPr>
      </w:pPr>
      <w:r w:rsidRPr="00834149">
        <w:rPr>
          <w:rFonts w:cs="Times New Roman"/>
          <w:b/>
          <w:caps/>
        </w:rPr>
        <w:lastRenderedPageBreak/>
        <w:t xml:space="preserve">Focus Area 2: </w:t>
      </w:r>
      <w:r w:rsidR="00EC4BC3" w:rsidRPr="00834149">
        <w:rPr>
          <w:rFonts w:cs="Times New Roman"/>
          <w:b/>
          <w:caps/>
        </w:rPr>
        <w:t xml:space="preserve">INCLUSIVE </w:t>
      </w:r>
      <w:r w:rsidR="00E94D37" w:rsidRPr="00834149">
        <w:rPr>
          <w:rFonts w:cs="Times New Roman"/>
          <w:b/>
          <w:caps/>
        </w:rPr>
        <w:t>PUBLIC SERVICE DELIVERY</w:t>
      </w:r>
    </w:p>
    <w:p w14:paraId="36994B17" w14:textId="77777777" w:rsidR="007F24B5" w:rsidRPr="00834149" w:rsidRDefault="007F24B5" w:rsidP="00A50430">
      <w:pPr>
        <w:jc w:val="both"/>
        <w:rPr>
          <w:rFonts w:cs="Times New Roman"/>
        </w:rPr>
      </w:pPr>
    </w:p>
    <w:p w14:paraId="08F8689C" w14:textId="5EB99200" w:rsidR="007F2265" w:rsidRDefault="007F2265" w:rsidP="00834149">
      <w:pPr>
        <w:pStyle w:val="ListParagraph"/>
        <w:numPr>
          <w:ilvl w:val="0"/>
          <w:numId w:val="2"/>
        </w:numPr>
        <w:ind w:left="0" w:firstLine="0"/>
        <w:contextualSpacing w:val="0"/>
        <w:jc w:val="both"/>
        <w:rPr>
          <w:rFonts w:cs="Times New Roman"/>
        </w:rPr>
      </w:pPr>
      <w:r w:rsidRPr="00834149">
        <w:rPr>
          <w:rFonts w:cs="Times New Roman"/>
          <w:b/>
        </w:rPr>
        <w:t xml:space="preserve">The </w:t>
      </w:r>
      <w:r w:rsidR="006667DB" w:rsidRPr="00834149">
        <w:rPr>
          <w:rFonts w:cs="Times New Roman"/>
          <w:b/>
        </w:rPr>
        <w:t xml:space="preserve">SCD and other analytical work highlight challenges </w:t>
      </w:r>
      <w:r w:rsidR="004A66FE" w:rsidRPr="00834149">
        <w:rPr>
          <w:rFonts w:cs="Times New Roman"/>
          <w:b/>
        </w:rPr>
        <w:t>in</w:t>
      </w:r>
      <w:r w:rsidR="006667DB" w:rsidRPr="00834149">
        <w:rPr>
          <w:rFonts w:cs="Times New Roman"/>
          <w:b/>
        </w:rPr>
        <w:t xml:space="preserve"> public service delivery </w:t>
      </w:r>
      <w:r w:rsidR="00046E8E" w:rsidRPr="00834149">
        <w:rPr>
          <w:rFonts w:cs="Times New Roman"/>
          <w:b/>
        </w:rPr>
        <w:t xml:space="preserve">that </w:t>
      </w:r>
      <w:r w:rsidR="006667DB" w:rsidRPr="00834149">
        <w:rPr>
          <w:rFonts w:cs="Times New Roman"/>
          <w:b/>
        </w:rPr>
        <w:t xml:space="preserve">result in </w:t>
      </w:r>
      <w:r w:rsidR="004A66FE" w:rsidRPr="00834149">
        <w:rPr>
          <w:rFonts w:cs="Times New Roman"/>
          <w:b/>
        </w:rPr>
        <w:t>weak</w:t>
      </w:r>
      <w:r w:rsidR="006667DB" w:rsidRPr="00834149">
        <w:rPr>
          <w:rFonts w:cs="Times New Roman"/>
          <w:b/>
        </w:rPr>
        <w:t xml:space="preserve"> human development outcomes </w:t>
      </w:r>
      <w:r w:rsidR="008C3F65" w:rsidRPr="00834149">
        <w:rPr>
          <w:rFonts w:cs="Times New Roman"/>
          <w:b/>
        </w:rPr>
        <w:t>and</w:t>
      </w:r>
      <w:r w:rsidR="00046E8E" w:rsidRPr="00834149">
        <w:rPr>
          <w:rFonts w:cs="Times New Roman"/>
          <w:b/>
        </w:rPr>
        <w:t>,</w:t>
      </w:r>
      <w:r w:rsidR="008C3F65" w:rsidRPr="00834149">
        <w:rPr>
          <w:rFonts w:cs="Times New Roman"/>
          <w:b/>
        </w:rPr>
        <w:t xml:space="preserve"> consequently</w:t>
      </w:r>
      <w:r w:rsidR="00046E8E" w:rsidRPr="00834149">
        <w:rPr>
          <w:rFonts w:cs="Times New Roman"/>
          <w:b/>
        </w:rPr>
        <w:t>,</w:t>
      </w:r>
      <w:r w:rsidR="008C3F65" w:rsidRPr="00834149">
        <w:rPr>
          <w:rFonts w:cs="Times New Roman"/>
          <w:b/>
        </w:rPr>
        <w:t xml:space="preserve"> </w:t>
      </w:r>
      <w:r w:rsidR="00046E8E" w:rsidRPr="00834149">
        <w:rPr>
          <w:rFonts w:cs="Times New Roman"/>
          <w:b/>
        </w:rPr>
        <w:t xml:space="preserve">limited </w:t>
      </w:r>
      <w:r w:rsidR="008C3F65" w:rsidRPr="00834149">
        <w:rPr>
          <w:rFonts w:cs="Times New Roman"/>
          <w:b/>
        </w:rPr>
        <w:t>inclusion</w:t>
      </w:r>
      <w:r w:rsidR="006667DB" w:rsidRPr="00834149">
        <w:rPr>
          <w:rFonts w:cs="Times New Roman"/>
        </w:rPr>
        <w:t>.</w:t>
      </w:r>
      <w:r w:rsidR="006667DB" w:rsidRPr="00834149">
        <w:rPr>
          <w:rFonts w:cs="Times New Roman"/>
          <w:b/>
        </w:rPr>
        <w:t xml:space="preserve"> </w:t>
      </w:r>
      <w:r w:rsidR="006667DB" w:rsidRPr="00834149">
        <w:rPr>
          <w:rFonts w:cs="Times New Roman"/>
        </w:rPr>
        <w:t xml:space="preserve">The </w:t>
      </w:r>
      <w:r w:rsidR="000F5595" w:rsidRPr="00834149">
        <w:rPr>
          <w:rFonts w:cs="Times New Roman"/>
        </w:rPr>
        <w:t>G</w:t>
      </w:r>
      <w:r w:rsidR="006667DB" w:rsidRPr="00834149">
        <w:rPr>
          <w:rFonts w:cs="Times New Roman"/>
        </w:rPr>
        <w:t xml:space="preserve">overnment has </w:t>
      </w:r>
      <w:r w:rsidR="004A66FE" w:rsidRPr="00834149">
        <w:rPr>
          <w:rFonts w:cs="Times New Roman"/>
        </w:rPr>
        <w:t>made</w:t>
      </w:r>
      <w:r w:rsidR="006667DB" w:rsidRPr="00834149">
        <w:rPr>
          <w:rFonts w:cs="Times New Roman"/>
        </w:rPr>
        <w:t xml:space="preserve"> improving service delivery at the local</w:t>
      </w:r>
      <w:r w:rsidR="008C3F65" w:rsidRPr="00834149">
        <w:rPr>
          <w:rFonts w:cs="Times New Roman"/>
        </w:rPr>
        <w:t xml:space="preserve"> level</w:t>
      </w:r>
      <w:r w:rsidR="00D159D8" w:rsidRPr="00834149">
        <w:rPr>
          <w:rFonts w:cs="Times New Roman"/>
        </w:rPr>
        <w:t xml:space="preserve"> a top priority</w:t>
      </w:r>
      <w:r w:rsidR="006667DB" w:rsidRPr="00834149">
        <w:rPr>
          <w:rFonts w:cs="Times New Roman"/>
        </w:rPr>
        <w:t>, in particular to promote basic social and infrastructure services and improve their quality</w:t>
      </w:r>
      <w:r w:rsidRPr="00834149">
        <w:rPr>
          <w:rFonts w:cs="Times New Roman"/>
        </w:rPr>
        <w:t xml:space="preserve">. </w:t>
      </w:r>
      <w:r w:rsidR="006667DB" w:rsidRPr="00834149">
        <w:rPr>
          <w:rFonts w:cs="Times New Roman"/>
        </w:rPr>
        <w:t xml:space="preserve">Under Focus Area 2, </w:t>
      </w:r>
      <w:r w:rsidR="00E94D37" w:rsidRPr="00834149">
        <w:rPr>
          <w:rFonts w:cs="Times New Roman"/>
        </w:rPr>
        <w:t>IDA</w:t>
      </w:r>
      <w:r w:rsidRPr="00834149">
        <w:rPr>
          <w:rFonts w:cs="Times New Roman"/>
        </w:rPr>
        <w:t xml:space="preserve"> will </w:t>
      </w:r>
      <w:r w:rsidR="004A66FE" w:rsidRPr="00834149">
        <w:rPr>
          <w:rFonts w:cs="Times New Roman"/>
        </w:rPr>
        <w:t xml:space="preserve">support these efforts by </w:t>
      </w:r>
      <w:r w:rsidRPr="00834149">
        <w:rPr>
          <w:rFonts w:cs="Times New Roman"/>
        </w:rPr>
        <w:t>s</w:t>
      </w:r>
      <w:r w:rsidR="006667DB" w:rsidRPr="00834149">
        <w:rPr>
          <w:rFonts w:cs="Times New Roman"/>
        </w:rPr>
        <w:t>cal</w:t>
      </w:r>
      <w:r w:rsidR="004A66FE" w:rsidRPr="00834149">
        <w:rPr>
          <w:rFonts w:cs="Times New Roman"/>
        </w:rPr>
        <w:t>ing</w:t>
      </w:r>
      <w:r w:rsidR="006667DB" w:rsidRPr="00834149">
        <w:rPr>
          <w:rFonts w:cs="Times New Roman"/>
        </w:rPr>
        <w:t xml:space="preserve"> up its support for social services</w:t>
      </w:r>
      <w:r w:rsidR="004A66FE" w:rsidRPr="00834149">
        <w:rPr>
          <w:rFonts w:cs="Times New Roman"/>
        </w:rPr>
        <w:t>—</w:t>
      </w:r>
      <w:r w:rsidR="008C3F65" w:rsidRPr="00834149">
        <w:rPr>
          <w:rFonts w:cs="Times New Roman"/>
        </w:rPr>
        <w:t xml:space="preserve">with a particular focus on </w:t>
      </w:r>
      <w:r w:rsidR="006667DB" w:rsidRPr="00834149">
        <w:rPr>
          <w:rFonts w:cs="Times New Roman"/>
        </w:rPr>
        <w:t>strengthen</w:t>
      </w:r>
      <w:r w:rsidR="008C3F65" w:rsidRPr="00834149">
        <w:rPr>
          <w:rFonts w:cs="Times New Roman"/>
        </w:rPr>
        <w:t>ing</w:t>
      </w:r>
      <w:r w:rsidR="006667DB" w:rsidRPr="00834149">
        <w:rPr>
          <w:rFonts w:cs="Times New Roman"/>
        </w:rPr>
        <w:t xml:space="preserve"> health systems</w:t>
      </w:r>
      <w:r w:rsidR="008C3F65" w:rsidRPr="00834149">
        <w:rPr>
          <w:rFonts w:cs="Times New Roman"/>
        </w:rPr>
        <w:t>,</w:t>
      </w:r>
      <w:r w:rsidR="006667DB" w:rsidRPr="00834149">
        <w:rPr>
          <w:rFonts w:cs="Times New Roman"/>
        </w:rPr>
        <w:t xml:space="preserve"> </w:t>
      </w:r>
      <w:r w:rsidR="008C3F65" w:rsidRPr="00834149">
        <w:rPr>
          <w:rFonts w:cs="Times New Roman"/>
        </w:rPr>
        <w:t xml:space="preserve">including </w:t>
      </w:r>
      <w:r w:rsidRPr="00834149">
        <w:rPr>
          <w:rFonts w:cs="Times New Roman"/>
        </w:rPr>
        <w:t>maternal and child health services</w:t>
      </w:r>
      <w:r w:rsidR="008C3F65" w:rsidRPr="00834149">
        <w:rPr>
          <w:rFonts w:cs="Times New Roman"/>
        </w:rPr>
        <w:t xml:space="preserve"> and</w:t>
      </w:r>
      <w:r w:rsidRPr="00834149">
        <w:rPr>
          <w:rFonts w:cs="Times New Roman"/>
        </w:rPr>
        <w:t xml:space="preserve"> disease surveillance</w:t>
      </w:r>
      <w:r w:rsidR="004A66FE" w:rsidRPr="00834149">
        <w:rPr>
          <w:rFonts w:cs="Times New Roman"/>
        </w:rPr>
        <w:t>—</w:t>
      </w:r>
      <w:r w:rsidR="006667DB" w:rsidRPr="00834149">
        <w:rPr>
          <w:rFonts w:cs="Times New Roman"/>
        </w:rPr>
        <w:t>and empowerment of local government and communities in selecting and delivering</w:t>
      </w:r>
      <w:r w:rsidR="008C3F65" w:rsidRPr="00834149">
        <w:rPr>
          <w:rFonts w:cs="Times New Roman"/>
        </w:rPr>
        <w:t xml:space="preserve"> basic</w:t>
      </w:r>
      <w:r w:rsidR="006667DB" w:rsidRPr="00834149">
        <w:rPr>
          <w:rFonts w:cs="Times New Roman"/>
        </w:rPr>
        <w:t xml:space="preserve"> services. </w:t>
      </w:r>
      <w:r w:rsidR="00F3257C" w:rsidRPr="00834149">
        <w:rPr>
          <w:rFonts w:cs="Times New Roman"/>
        </w:rPr>
        <w:t>Interventions s</w:t>
      </w:r>
      <w:r w:rsidR="00B44BE2" w:rsidRPr="00834149">
        <w:rPr>
          <w:rFonts w:cs="Times New Roman"/>
        </w:rPr>
        <w:t xml:space="preserve">upporting actors and </w:t>
      </w:r>
      <w:r w:rsidR="00F3257C" w:rsidRPr="00834149">
        <w:rPr>
          <w:rFonts w:cs="Times New Roman"/>
        </w:rPr>
        <w:t xml:space="preserve">services </w:t>
      </w:r>
      <w:r w:rsidR="00B44BE2" w:rsidRPr="00834149">
        <w:rPr>
          <w:rFonts w:cs="Times New Roman"/>
        </w:rPr>
        <w:t xml:space="preserve">at the local and regional level </w:t>
      </w:r>
      <w:r w:rsidR="00F3257C" w:rsidRPr="00834149">
        <w:rPr>
          <w:rFonts w:cs="Times New Roman"/>
        </w:rPr>
        <w:t xml:space="preserve">seek to also address issues around </w:t>
      </w:r>
      <w:r w:rsidR="00B44BE2" w:rsidRPr="00834149">
        <w:rPr>
          <w:rFonts w:cs="Times New Roman"/>
        </w:rPr>
        <w:t xml:space="preserve">the inequitable distribution of resources across regions. </w:t>
      </w:r>
      <w:r w:rsidR="006667DB" w:rsidRPr="00834149">
        <w:rPr>
          <w:rFonts w:cs="Times New Roman"/>
        </w:rPr>
        <w:t xml:space="preserve">This focus area </w:t>
      </w:r>
      <w:r w:rsidR="008C3F65" w:rsidRPr="00834149">
        <w:rPr>
          <w:rFonts w:cs="Times New Roman"/>
        </w:rPr>
        <w:t>emphasizes</w:t>
      </w:r>
      <w:r w:rsidR="006667DB" w:rsidRPr="00834149">
        <w:rPr>
          <w:rFonts w:cs="Times New Roman"/>
        </w:rPr>
        <w:t xml:space="preserve"> </w:t>
      </w:r>
      <w:r w:rsidR="00A72B65" w:rsidRPr="00834149">
        <w:rPr>
          <w:rFonts w:cs="Times New Roman"/>
        </w:rPr>
        <w:t xml:space="preserve">decentralized service delivery, </w:t>
      </w:r>
      <w:r w:rsidR="006667DB" w:rsidRPr="00834149">
        <w:rPr>
          <w:rFonts w:cs="Times New Roman"/>
        </w:rPr>
        <w:t xml:space="preserve">citizen engagement and </w:t>
      </w:r>
      <w:r w:rsidR="008C3F65" w:rsidRPr="00834149">
        <w:rPr>
          <w:rFonts w:cs="Times New Roman"/>
        </w:rPr>
        <w:t>capacity</w:t>
      </w:r>
      <w:r w:rsidR="00046E8E" w:rsidRPr="00834149">
        <w:rPr>
          <w:rFonts w:cs="Times New Roman"/>
        </w:rPr>
        <w:t xml:space="preserve"> </w:t>
      </w:r>
      <w:r w:rsidR="006667DB" w:rsidRPr="00834149">
        <w:rPr>
          <w:rFonts w:cs="Times New Roman"/>
        </w:rPr>
        <w:t>building</w:t>
      </w:r>
      <w:r w:rsidRPr="00834149">
        <w:rPr>
          <w:rFonts w:cs="Times New Roman"/>
        </w:rPr>
        <w:t xml:space="preserve"> for: (i) local authorities in secondary cities to upgrade, expand, or build critical basic infrastructure services</w:t>
      </w:r>
      <w:r w:rsidR="009231E9" w:rsidRPr="00834149">
        <w:rPr>
          <w:rFonts w:cs="Times New Roman"/>
        </w:rPr>
        <w:t>;</w:t>
      </w:r>
      <w:r w:rsidRPr="00834149">
        <w:rPr>
          <w:rFonts w:cs="Times New Roman"/>
        </w:rPr>
        <w:t xml:space="preserve"> and (ii) community organizations to select and deliver small-scale basic services.</w:t>
      </w:r>
      <w:r w:rsidR="00A72B65" w:rsidRPr="00834149">
        <w:rPr>
          <w:rFonts w:cs="Times New Roman"/>
        </w:rPr>
        <w:t xml:space="preserve"> This Focus Area is consistent with the World Bank’s 2015 Fragility Assessment </w:t>
      </w:r>
      <w:r w:rsidR="005B4EF7" w:rsidRPr="00834149">
        <w:rPr>
          <w:rFonts w:cs="Times New Roman"/>
        </w:rPr>
        <w:t xml:space="preserve">for Togo which </w:t>
      </w:r>
      <w:r w:rsidR="00A72B65" w:rsidRPr="00834149">
        <w:rPr>
          <w:rFonts w:cs="Times New Roman"/>
        </w:rPr>
        <w:t>recommend</w:t>
      </w:r>
      <w:r w:rsidR="005B4EF7" w:rsidRPr="00834149">
        <w:rPr>
          <w:rFonts w:cs="Times New Roman"/>
        </w:rPr>
        <w:t>s</w:t>
      </w:r>
      <w:r w:rsidR="00A72B65" w:rsidRPr="00834149">
        <w:rPr>
          <w:rFonts w:cs="Times New Roman"/>
        </w:rPr>
        <w:t xml:space="preserve"> decentralized decision-making.</w:t>
      </w:r>
      <w:r w:rsidRPr="00834149">
        <w:rPr>
          <w:rFonts w:cs="Times New Roman"/>
        </w:rPr>
        <w:t xml:space="preserve"> </w:t>
      </w:r>
      <w:r w:rsidR="006667DB" w:rsidRPr="00834149">
        <w:rPr>
          <w:rFonts w:cs="Times New Roman"/>
        </w:rPr>
        <w:t>IDA</w:t>
      </w:r>
      <w:r w:rsidRPr="00834149">
        <w:rPr>
          <w:rFonts w:cs="Times New Roman"/>
        </w:rPr>
        <w:t xml:space="preserve"> will </w:t>
      </w:r>
      <w:r w:rsidR="006667DB" w:rsidRPr="00834149">
        <w:rPr>
          <w:rFonts w:cs="Times New Roman"/>
        </w:rPr>
        <w:t xml:space="preserve">also scale up its </w:t>
      </w:r>
      <w:r w:rsidRPr="00834149">
        <w:rPr>
          <w:rFonts w:cs="Times New Roman"/>
        </w:rPr>
        <w:t xml:space="preserve">support </w:t>
      </w:r>
      <w:r w:rsidR="006667DB" w:rsidRPr="00834149">
        <w:rPr>
          <w:rFonts w:cs="Times New Roman"/>
        </w:rPr>
        <w:t xml:space="preserve">for successful </w:t>
      </w:r>
      <w:r w:rsidRPr="00834149">
        <w:rPr>
          <w:rFonts w:cs="Times New Roman"/>
        </w:rPr>
        <w:t>safety net programs in the poorest communities in all five regions of the country</w:t>
      </w:r>
      <w:r w:rsidR="006667DB" w:rsidRPr="00834149">
        <w:rPr>
          <w:rFonts w:cs="Times New Roman"/>
        </w:rPr>
        <w:t xml:space="preserve"> to ensure that the most vulnerable receive assistance </w:t>
      </w:r>
      <w:r w:rsidR="00046E8E" w:rsidRPr="00834149">
        <w:rPr>
          <w:rFonts w:cs="Times New Roman"/>
        </w:rPr>
        <w:t>in the effort to promote</w:t>
      </w:r>
      <w:r w:rsidR="004A66FE" w:rsidRPr="00834149">
        <w:rPr>
          <w:rFonts w:cs="Times New Roman"/>
        </w:rPr>
        <w:t xml:space="preserve"> inclusion and</w:t>
      </w:r>
      <w:r w:rsidR="006667DB" w:rsidRPr="00834149">
        <w:rPr>
          <w:rFonts w:cs="Times New Roman"/>
        </w:rPr>
        <w:t xml:space="preserve"> well-being</w:t>
      </w:r>
      <w:r w:rsidR="00046E8E" w:rsidRPr="00834149">
        <w:rPr>
          <w:rFonts w:cs="Times New Roman"/>
        </w:rPr>
        <w:t xml:space="preserve"> of Togolese citizens around the country</w:t>
      </w:r>
      <w:r w:rsidRPr="00834149">
        <w:rPr>
          <w:rFonts w:cs="Times New Roman"/>
        </w:rPr>
        <w:t>.</w:t>
      </w:r>
    </w:p>
    <w:p w14:paraId="44C009C8" w14:textId="77777777" w:rsidR="00A50430" w:rsidRPr="00834149" w:rsidRDefault="00A50430" w:rsidP="00834149">
      <w:pPr>
        <w:pStyle w:val="ListParagraph"/>
        <w:ind w:left="0"/>
        <w:contextualSpacing w:val="0"/>
        <w:jc w:val="both"/>
        <w:rPr>
          <w:rFonts w:cs="Times New Roman"/>
        </w:rPr>
      </w:pPr>
    </w:p>
    <w:tbl>
      <w:tblPr>
        <w:tblStyle w:val="TableGrid"/>
        <w:tblW w:w="0" w:type="auto"/>
        <w:tblLook w:val="04A0" w:firstRow="1" w:lastRow="0" w:firstColumn="1" w:lastColumn="0" w:noHBand="0" w:noVBand="1"/>
      </w:tblPr>
      <w:tblGrid>
        <w:gridCol w:w="2232"/>
        <w:gridCol w:w="7118"/>
      </w:tblGrid>
      <w:tr w:rsidR="00C62CC3" w:rsidRPr="00A50430" w14:paraId="2FB01271" w14:textId="77777777" w:rsidTr="003D1909">
        <w:tc>
          <w:tcPr>
            <w:tcW w:w="2232" w:type="dxa"/>
            <w:shd w:val="clear" w:color="auto" w:fill="D9D9D9" w:themeFill="background1" w:themeFillShade="D9"/>
          </w:tcPr>
          <w:p w14:paraId="3F646D48" w14:textId="77777777" w:rsidR="00C62CC3" w:rsidRPr="00834149" w:rsidRDefault="00C62CC3" w:rsidP="00A50430">
            <w:pPr>
              <w:jc w:val="both"/>
              <w:rPr>
                <w:rFonts w:cs="Times New Roman"/>
                <w:b/>
              </w:rPr>
            </w:pPr>
            <w:r w:rsidRPr="00834149">
              <w:rPr>
                <w:rFonts w:cs="Times New Roman"/>
                <w:b/>
              </w:rPr>
              <w:t>Focus Area 2</w:t>
            </w:r>
          </w:p>
        </w:tc>
        <w:tc>
          <w:tcPr>
            <w:tcW w:w="7118" w:type="dxa"/>
            <w:shd w:val="clear" w:color="auto" w:fill="D9D9D9" w:themeFill="background1" w:themeFillShade="D9"/>
          </w:tcPr>
          <w:p w14:paraId="0AC12B8A" w14:textId="056E963F" w:rsidR="00C62CC3" w:rsidRPr="00834149" w:rsidRDefault="00EC4BC3" w:rsidP="00A50430">
            <w:pPr>
              <w:jc w:val="both"/>
              <w:rPr>
                <w:rFonts w:cs="Times New Roman"/>
                <w:b/>
              </w:rPr>
            </w:pPr>
            <w:r w:rsidRPr="00834149">
              <w:rPr>
                <w:rFonts w:cs="Times New Roman"/>
                <w:b/>
              </w:rPr>
              <w:t xml:space="preserve">Inclusive </w:t>
            </w:r>
            <w:r w:rsidR="000807D9" w:rsidRPr="00834149">
              <w:rPr>
                <w:rFonts w:cs="Times New Roman"/>
                <w:b/>
              </w:rPr>
              <w:t>Public Service Delivery</w:t>
            </w:r>
          </w:p>
        </w:tc>
      </w:tr>
      <w:tr w:rsidR="00C62CC3" w:rsidRPr="00A50430" w14:paraId="18D9492A" w14:textId="77777777" w:rsidTr="00560403">
        <w:tc>
          <w:tcPr>
            <w:tcW w:w="2232" w:type="dxa"/>
            <w:shd w:val="clear" w:color="auto" w:fill="F8F8F0" w:themeFill="background2" w:themeFillTint="33"/>
          </w:tcPr>
          <w:p w14:paraId="10C05391" w14:textId="77777777" w:rsidR="00C62CC3" w:rsidRPr="00834149" w:rsidRDefault="00C62CC3" w:rsidP="00A50430">
            <w:pPr>
              <w:jc w:val="both"/>
              <w:rPr>
                <w:rFonts w:cs="Times New Roman"/>
              </w:rPr>
            </w:pPr>
            <w:r w:rsidRPr="00834149">
              <w:rPr>
                <w:rFonts w:cs="Times New Roman"/>
              </w:rPr>
              <w:t>CPF Objectives</w:t>
            </w:r>
          </w:p>
          <w:p w14:paraId="3D52A556" w14:textId="77777777" w:rsidR="00C62CC3" w:rsidRPr="00834149" w:rsidRDefault="00C62CC3" w:rsidP="00A50430">
            <w:pPr>
              <w:jc w:val="both"/>
              <w:rPr>
                <w:rFonts w:cs="Times New Roman"/>
              </w:rPr>
            </w:pPr>
          </w:p>
        </w:tc>
        <w:tc>
          <w:tcPr>
            <w:tcW w:w="7118" w:type="dxa"/>
            <w:shd w:val="clear" w:color="auto" w:fill="F8F8F0" w:themeFill="background2" w:themeFillTint="33"/>
          </w:tcPr>
          <w:p w14:paraId="60E12CD9" w14:textId="1022E677" w:rsidR="00391F4F" w:rsidRPr="00834149" w:rsidRDefault="00A50430" w:rsidP="00A50430">
            <w:pPr>
              <w:pStyle w:val="ListParagraph"/>
              <w:numPr>
                <w:ilvl w:val="1"/>
                <w:numId w:val="5"/>
              </w:numPr>
              <w:jc w:val="both"/>
              <w:rPr>
                <w:rFonts w:cs="Times New Roman"/>
              </w:rPr>
            </w:pPr>
            <w:r>
              <w:rPr>
                <w:rFonts w:cs="Times New Roman"/>
              </w:rPr>
              <w:t>Strengthen</w:t>
            </w:r>
            <w:r w:rsidRPr="00834149">
              <w:rPr>
                <w:rFonts w:cs="Times New Roman"/>
              </w:rPr>
              <w:t xml:space="preserve"> </w:t>
            </w:r>
            <w:r w:rsidR="00D44575" w:rsidRPr="00834149">
              <w:rPr>
                <w:rFonts w:cs="Times New Roman"/>
              </w:rPr>
              <w:t xml:space="preserve">health </w:t>
            </w:r>
            <w:r w:rsidR="00C62CC3" w:rsidRPr="00834149">
              <w:rPr>
                <w:rFonts w:cs="Times New Roman"/>
              </w:rPr>
              <w:t>services</w:t>
            </w:r>
          </w:p>
          <w:p w14:paraId="269DAEE8" w14:textId="25F01C41" w:rsidR="00C62CC3" w:rsidRPr="00834149" w:rsidRDefault="00A50430" w:rsidP="00A50430">
            <w:pPr>
              <w:pStyle w:val="ListParagraph"/>
              <w:numPr>
                <w:ilvl w:val="1"/>
                <w:numId w:val="5"/>
              </w:numPr>
              <w:jc w:val="both"/>
              <w:rPr>
                <w:rFonts w:cs="Times New Roman"/>
              </w:rPr>
            </w:pPr>
            <w:r>
              <w:rPr>
                <w:rFonts w:cs="Times New Roman"/>
              </w:rPr>
              <w:t>Strengthen</w:t>
            </w:r>
            <w:r w:rsidRPr="00834149">
              <w:rPr>
                <w:rFonts w:cs="Times New Roman"/>
              </w:rPr>
              <w:t xml:space="preserve"> </w:t>
            </w:r>
            <w:r w:rsidR="00C62CC3" w:rsidRPr="00834149">
              <w:rPr>
                <w:rFonts w:cs="Times New Roman"/>
              </w:rPr>
              <w:t xml:space="preserve">basic </w:t>
            </w:r>
            <w:r w:rsidR="00391F4F" w:rsidRPr="00834149">
              <w:rPr>
                <w:rFonts w:cs="Times New Roman"/>
              </w:rPr>
              <w:t>services at the local level</w:t>
            </w:r>
          </w:p>
          <w:p w14:paraId="0A4BCBE2" w14:textId="11405BF2" w:rsidR="00C62CC3" w:rsidRPr="00834149" w:rsidRDefault="00C62CC3" w:rsidP="00A50430">
            <w:pPr>
              <w:pStyle w:val="ListParagraph"/>
              <w:numPr>
                <w:ilvl w:val="1"/>
                <w:numId w:val="5"/>
              </w:numPr>
              <w:jc w:val="both"/>
              <w:rPr>
                <w:rFonts w:cs="Times New Roman"/>
              </w:rPr>
            </w:pPr>
            <w:r w:rsidRPr="00834149">
              <w:rPr>
                <w:rFonts w:cs="Times New Roman"/>
              </w:rPr>
              <w:t>Strengthen social safety nets for the most vulnerable</w:t>
            </w:r>
          </w:p>
        </w:tc>
      </w:tr>
    </w:tbl>
    <w:p w14:paraId="62D87C3D" w14:textId="77777777" w:rsidR="00C62CC3" w:rsidRPr="00834149" w:rsidRDefault="00C62CC3" w:rsidP="00A50430">
      <w:pPr>
        <w:jc w:val="both"/>
        <w:rPr>
          <w:rFonts w:cs="Times New Roman"/>
        </w:rPr>
      </w:pPr>
    </w:p>
    <w:p w14:paraId="262321E7" w14:textId="0EC0DB5B" w:rsidR="006E6997" w:rsidRPr="00834149" w:rsidRDefault="006E6997" w:rsidP="00A50430">
      <w:pPr>
        <w:jc w:val="both"/>
        <w:rPr>
          <w:rFonts w:cs="Times New Roman"/>
          <w:b/>
          <w:smallCaps/>
        </w:rPr>
      </w:pPr>
      <w:r w:rsidRPr="00834149">
        <w:rPr>
          <w:rFonts w:cs="Times New Roman"/>
          <w:b/>
          <w:smallCaps/>
        </w:rPr>
        <w:t>Objective 2</w:t>
      </w:r>
      <w:r w:rsidR="00C62CC3" w:rsidRPr="00834149">
        <w:rPr>
          <w:rFonts w:cs="Times New Roman"/>
          <w:b/>
          <w:smallCaps/>
        </w:rPr>
        <w:t xml:space="preserve">.1: </w:t>
      </w:r>
      <w:r w:rsidR="00A50430">
        <w:rPr>
          <w:rFonts w:cs="Times New Roman"/>
          <w:b/>
          <w:smallCaps/>
        </w:rPr>
        <w:t>Strengthen</w:t>
      </w:r>
      <w:r w:rsidR="00A50430" w:rsidRPr="00834149">
        <w:rPr>
          <w:rFonts w:cs="Times New Roman"/>
          <w:b/>
          <w:smallCaps/>
        </w:rPr>
        <w:t xml:space="preserve"> </w:t>
      </w:r>
      <w:r w:rsidR="00D44575" w:rsidRPr="00834149">
        <w:rPr>
          <w:rFonts w:cs="Times New Roman"/>
          <w:b/>
          <w:smallCaps/>
        </w:rPr>
        <w:t xml:space="preserve">Health </w:t>
      </w:r>
      <w:r w:rsidR="00046E8E" w:rsidRPr="00834149">
        <w:rPr>
          <w:rFonts w:cs="Times New Roman"/>
          <w:b/>
          <w:smallCaps/>
        </w:rPr>
        <w:t>S</w:t>
      </w:r>
      <w:r w:rsidRPr="00834149">
        <w:rPr>
          <w:rFonts w:cs="Times New Roman"/>
          <w:b/>
          <w:smallCaps/>
        </w:rPr>
        <w:t xml:space="preserve">ervices </w:t>
      </w:r>
    </w:p>
    <w:p w14:paraId="4C0508B2" w14:textId="77777777" w:rsidR="002F1C40" w:rsidRPr="00834149" w:rsidRDefault="002F1C40" w:rsidP="00A50430">
      <w:pPr>
        <w:autoSpaceDE w:val="0"/>
        <w:autoSpaceDN w:val="0"/>
        <w:adjustRightInd w:val="0"/>
        <w:rPr>
          <w:rFonts w:cs="Times New Roman"/>
          <w:color w:val="000000"/>
        </w:rPr>
      </w:pPr>
    </w:p>
    <w:p w14:paraId="245E8426" w14:textId="21E726FC" w:rsidR="0042298F" w:rsidRPr="00834149" w:rsidRDefault="0042298F" w:rsidP="00834149">
      <w:pPr>
        <w:pStyle w:val="ListParagraph"/>
        <w:numPr>
          <w:ilvl w:val="0"/>
          <w:numId w:val="2"/>
        </w:numPr>
        <w:ind w:left="0" w:firstLine="0"/>
        <w:contextualSpacing w:val="0"/>
        <w:jc w:val="both"/>
        <w:rPr>
          <w:rFonts w:eastAsia="Times New Roman" w:cs="Times New Roman"/>
        </w:rPr>
      </w:pPr>
      <w:r w:rsidRPr="00834149">
        <w:rPr>
          <w:rFonts w:cs="Times New Roman"/>
          <w:b/>
        </w:rPr>
        <w:t xml:space="preserve">Weak disease prevention and health care services </w:t>
      </w:r>
      <w:r w:rsidR="00494EE5" w:rsidRPr="00834149">
        <w:rPr>
          <w:rFonts w:cs="Times New Roman"/>
          <w:b/>
        </w:rPr>
        <w:t>are highlighted as a key constraint to inclusiveness and well-being due to the disproportionate impact on poor women and children</w:t>
      </w:r>
      <w:r w:rsidR="00494EE5" w:rsidRPr="00834149">
        <w:rPr>
          <w:rFonts w:cs="Times New Roman"/>
        </w:rPr>
        <w:t>.</w:t>
      </w:r>
      <w:r w:rsidR="00494EE5" w:rsidRPr="00834149">
        <w:rPr>
          <w:rFonts w:cs="Times New Roman"/>
          <w:b/>
        </w:rPr>
        <w:t xml:space="preserve"> </w:t>
      </w:r>
      <w:r w:rsidR="00804553" w:rsidRPr="00834149">
        <w:rPr>
          <w:rFonts w:cs="Times New Roman"/>
        </w:rPr>
        <w:t>B</w:t>
      </w:r>
      <w:r w:rsidRPr="00834149">
        <w:rPr>
          <w:rFonts w:cs="Times New Roman"/>
        </w:rPr>
        <w:t>etween 1998 and 2014</w:t>
      </w:r>
      <w:r w:rsidR="00804553" w:rsidRPr="00834149">
        <w:rPr>
          <w:rFonts w:cs="Times New Roman"/>
        </w:rPr>
        <w:t xml:space="preserve">, Togo made important progress in </w:t>
      </w:r>
      <w:r w:rsidRPr="00834149">
        <w:rPr>
          <w:rFonts w:cs="Times New Roman"/>
        </w:rPr>
        <w:t xml:space="preserve">reducing the maternal mortality rate from 478 </w:t>
      </w:r>
      <w:r w:rsidR="00804553" w:rsidRPr="00834149">
        <w:rPr>
          <w:rFonts w:cs="Times New Roman"/>
        </w:rPr>
        <w:t>per 1</w:t>
      </w:r>
      <w:r w:rsidR="0041214B" w:rsidRPr="00834149">
        <w:rPr>
          <w:rFonts w:cs="Times New Roman"/>
        </w:rPr>
        <w:t>00</w:t>
      </w:r>
      <w:r w:rsidR="00804553" w:rsidRPr="00834149">
        <w:rPr>
          <w:rFonts w:cs="Times New Roman"/>
        </w:rPr>
        <w:t xml:space="preserve">,000 births </w:t>
      </w:r>
      <w:r w:rsidRPr="00834149">
        <w:rPr>
          <w:rFonts w:cs="Times New Roman"/>
        </w:rPr>
        <w:t>to 401</w:t>
      </w:r>
      <w:r w:rsidR="00046E8E" w:rsidRPr="00834149">
        <w:rPr>
          <w:rFonts w:cs="Times New Roman"/>
        </w:rPr>
        <w:t>. However, the country fell well</w:t>
      </w:r>
      <w:r w:rsidR="00804553" w:rsidRPr="00834149">
        <w:rPr>
          <w:rFonts w:cs="Times New Roman"/>
        </w:rPr>
        <w:t xml:space="preserve"> short </w:t>
      </w:r>
      <w:r w:rsidRPr="00834149">
        <w:rPr>
          <w:rFonts w:cs="Times New Roman"/>
        </w:rPr>
        <w:t xml:space="preserve">of the 2015 MDG target of 160. The child mortality rate is high at 88 per 1,000 live births. Though severe malnutrition declined, chronic malnutrition increased from 23.7 percent to 29.7 percent between 2006 and 2010, concentrated in the northern parts of the country. </w:t>
      </w:r>
      <w:r w:rsidRPr="00834149">
        <w:rPr>
          <w:rFonts w:cs="Times New Roman"/>
          <w:color w:val="000000"/>
        </w:rPr>
        <w:t>Life expectancy at birth is low at just 59 years.</w:t>
      </w:r>
    </w:p>
    <w:p w14:paraId="3BCF6338" w14:textId="77777777" w:rsidR="00B8149F" w:rsidRPr="00834149" w:rsidRDefault="00B8149F" w:rsidP="00834149">
      <w:pPr>
        <w:pStyle w:val="ListParagraph"/>
        <w:ind w:left="0"/>
        <w:contextualSpacing w:val="0"/>
        <w:jc w:val="both"/>
        <w:rPr>
          <w:rFonts w:eastAsia="Times New Roman" w:cs="Times New Roman"/>
        </w:rPr>
      </w:pPr>
    </w:p>
    <w:p w14:paraId="19473334" w14:textId="37F9314C" w:rsidR="0041214B" w:rsidRPr="00834149" w:rsidRDefault="00B85FB6" w:rsidP="00834149">
      <w:pPr>
        <w:pStyle w:val="ListParagraph"/>
        <w:numPr>
          <w:ilvl w:val="0"/>
          <w:numId w:val="2"/>
        </w:numPr>
        <w:ind w:left="0" w:firstLine="0"/>
        <w:contextualSpacing w:val="0"/>
        <w:jc w:val="both"/>
        <w:rPr>
          <w:rFonts w:eastAsia="Times New Roman" w:cs="Times New Roman"/>
        </w:rPr>
      </w:pPr>
      <w:r w:rsidRPr="00834149">
        <w:rPr>
          <w:rFonts w:cs="Times New Roman"/>
          <w:b/>
        </w:rPr>
        <w:t>T</w:t>
      </w:r>
      <w:r w:rsidR="0041214B" w:rsidRPr="00834149">
        <w:rPr>
          <w:rFonts w:cs="Times New Roman"/>
          <w:b/>
        </w:rPr>
        <w:t xml:space="preserve">ogo’s budget allocation for health services represents nearly 8 percent of the national budget, and </w:t>
      </w:r>
      <w:r w:rsidR="00046E8E" w:rsidRPr="00834149">
        <w:rPr>
          <w:rFonts w:cs="Times New Roman"/>
          <w:b/>
        </w:rPr>
        <w:t xml:space="preserve">the </w:t>
      </w:r>
      <w:r w:rsidR="000F5595" w:rsidRPr="00834149">
        <w:rPr>
          <w:rFonts w:cs="Times New Roman"/>
          <w:b/>
        </w:rPr>
        <w:t>G</w:t>
      </w:r>
      <w:r w:rsidR="0041214B" w:rsidRPr="00834149">
        <w:rPr>
          <w:rFonts w:cs="Times New Roman"/>
          <w:b/>
        </w:rPr>
        <w:t>overnment has provide</w:t>
      </w:r>
      <w:r w:rsidR="00046E8E" w:rsidRPr="00834149">
        <w:rPr>
          <w:rFonts w:cs="Times New Roman"/>
          <w:b/>
        </w:rPr>
        <w:t>d</w:t>
      </w:r>
      <w:r w:rsidR="0041214B" w:rsidRPr="00834149">
        <w:rPr>
          <w:rFonts w:cs="Times New Roman"/>
          <w:b/>
        </w:rPr>
        <w:t xml:space="preserve"> subsidies for poor and vul</w:t>
      </w:r>
      <w:r w:rsidR="00434B51" w:rsidRPr="00834149">
        <w:rPr>
          <w:rFonts w:cs="Times New Roman"/>
          <w:b/>
        </w:rPr>
        <w:t>n</w:t>
      </w:r>
      <w:r w:rsidR="0041214B" w:rsidRPr="00834149">
        <w:rPr>
          <w:rFonts w:cs="Times New Roman"/>
          <w:b/>
        </w:rPr>
        <w:t>erable groups</w:t>
      </w:r>
      <w:r w:rsidR="0041214B" w:rsidRPr="00834149">
        <w:rPr>
          <w:rFonts w:cs="Times New Roman"/>
        </w:rPr>
        <w:t>. Despite these measures</w:t>
      </w:r>
      <w:r w:rsidR="00DA6F98" w:rsidRPr="00834149">
        <w:rPr>
          <w:rFonts w:cs="Times New Roman"/>
        </w:rPr>
        <w:t xml:space="preserve"> and weak health outcomes</w:t>
      </w:r>
      <w:r w:rsidR="0041214B" w:rsidRPr="00834149">
        <w:rPr>
          <w:rFonts w:cs="Times New Roman"/>
        </w:rPr>
        <w:t xml:space="preserve">, users pay on average 50 percent of health costs, which creates a barrier to access and </w:t>
      </w:r>
      <w:r w:rsidR="00D72A8C" w:rsidRPr="00834149">
        <w:rPr>
          <w:rFonts w:cs="Times New Roman"/>
        </w:rPr>
        <w:t xml:space="preserve">makes </w:t>
      </w:r>
      <w:r w:rsidR="0041214B" w:rsidRPr="00834149">
        <w:rPr>
          <w:rFonts w:cs="Times New Roman"/>
        </w:rPr>
        <w:t xml:space="preserve">falling ill a catastrophic risk for impoverishment. </w:t>
      </w:r>
      <w:r w:rsidR="006667DB" w:rsidRPr="00834149">
        <w:rPr>
          <w:rFonts w:cs="Times New Roman"/>
        </w:rPr>
        <w:t xml:space="preserve">The </w:t>
      </w:r>
      <w:r w:rsidR="000F5595" w:rsidRPr="00834149">
        <w:rPr>
          <w:rFonts w:cs="Times New Roman"/>
        </w:rPr>
        <w:t>G</w:t>
      </w:r>
      <w:r w:rsidR="006667DB" w:rsidRPr="00834149">
        <w:rPr>
          <w:rFonts w:cs="Times New Roman"/>
        </w:rPr>
        <w:t>overnment</w:t>
      </w:r>
      <w:r w:rsidR="00D72A8C" w:rsidRPr="00834149">
        <w:rPr>
          <w:rFonts w:cs="Times New Roman"/>
        </w:rPr>
        <w:t>’s</w:t>
      </w:r>
      <w:r w:rsidR="006667DB" w:rsidRPr="00834149">
        <w:rPr>
          <w:rFonts w:cs="Times New Roman"/>
        </w:rPr>
        <w:t xml:space="preserve"> national health plan (2017</w:t>
      </w:r>
      <w:r w:rsidR="00046E8E" w:rsidRPr="00834149">
        <w:rPr>
          <w:rFonts w:cs="Times New Roman"/>
        </w:rPr>
        <w:t>–</w:t>
      </w:r>
      <w:r w:rsidR="006667DB" w:rsidRPr="00834149">
        <w:rPr>
          <w:rFonts w:cs="Times New Roman"/>
        </w:rPr>
        <w:t xml:space="preserve">22) is being finalized </w:t>
      </w:r>
      <w:r w:rsidR="00D72A8C" w:rsidRPr="00834149">
        <w:rPr>
          <w:rFonts w:cs="Times New Roman"/>
        </w:rPr>
        <w:t xml:space="preserve">and </w:t>
      </w:r>
      <w:r w:rsidR="006667DB" w:rsidRPr="00834149">
        <w:rPr>
          <w:rFonts w:cs="Times New Roman"/>
        </w:rPr>
        <w:t>will seek to</w:t>
      </w:r>
      <w:r w:rsidR="006667DB" w:rsidRPr="00834149">
        <w:rPr>
          <w:rFonts w:cs="Times New Roman"/>
          <w:b/>
        </w:rPr>
        <w:t xml:space="preserve"> </w:t>
      </w:r>
      <w:r w:rsidR="0041214B" w:rsidRPr="00834149">
        <w:rPr>
          <w:rFonts w:cs="Times New Roman"/>
        </w:rPr>
        <w:t>strengthen health services</w:t>
      </w:r>
      <w:r w:rsidR="004E488A" w:rsidRPr="00834149">
        <w:rPr>
          <w:rFonts w:cs="Times New Roman"/>
        </w:rPr>
        <w:t xml:space="preserve"> and finance these more effectively</w:t>
      </w:r>
      <w:r w:rsidR="00434B51" w:rsidRPr="00834149">
        <w:rPr>
          <w:rFonts w:cs="Times New Roman"/>
        </w:rPr>
        <w:t xml:space="preserve">, improve quality and access by removing financial barriers </w:t>
      </w:r>
      <w:r w:rsidR="00D72A8C" w:rsidRPr="00834149">
        <w:rPr>
          <w:rFonts w:cs="Times New Roman"/>
        </w:rPr>
        <w:t xml:space="preserve">for users, </w:t>
      </w:r>
      <w:r w:rsidR="004E488A" w:rsidRPr="00834149">
        <w:rPr>
          <w:rFonts w:cs="Times New Roman"/>
        </w:rPr>
        <w:t>and r</w:t>
      </w:r>
      <w:r w:rsidR="00434B51" w:rsidRPr="00834149">
        <w:rPr>
          <w:rFonts w:cs="Times New Roman"/>
        </w:rPr>
        <w:t>educ</w:t>
      </w:r>
      <w:r w:rsidR="004E488A" w:rsidRPr="00834149">
        <w:rPr>
          <w:rFonts w:cs="Times New Roman"/>
        </w:rPr>
        <w:t>e</w:t>
      </w:r>
      <w:r w:rsidR="00434B51" w:rsidRPr="00834149">
        <w:rPr>
          <w:rFonts w:cs="Times New Roman"/>
        </w:rPr>
        <w:t xml:space="preserve"> the </w:t>
      </w:r>
      <w:r w:rsidR="004E488A" w:rsidRPr="00834149">
        <w:rPr>
          <w:rFonts w:cs="Times New Roman"/>
        </w:rPr>
        <w:t xml:space="preserve">cost of services by </w:t>
      </w:r>
      <w:r w:rsidR="00434B51" w:rsidRPr="00834149">
        <w:rPr>
          <w:rFonts w:cs="Times New Roman"/>
        </w:rPr>
        <w:t xml:space="preserve">promoting </w:t>
      </w:r>
      <w:r w:rsidR="004E488A" w:rsidRPr="00834149">
        <w:rPr>
          <w:rFonts w:cs="Times New Roman"/>
        </w:rPr>
        <w:t xml:space="preserve">the use of </w:t>
      </w:r>
      <w:r w:rsidR="006667DB" w:rsidRPr="00834149">
        <w:rPr>
          <w:rFonts w:cs="Times New Roman"/>
        </w:rPr>
        <w:t xml:space="preserve">more affordable </w:t>
      </w:r>
      <w:r w:rsidR="00434B51" w:rsidRPr="00834149">
        <w:rPr>
          <w:rFonts w:cs="Times New Roman"/>
        </w:rPr>
        <w:t xml:space="preserve">drugs. </w:t>
      </w:r>
    </w:p>
    <w:p w14:paraId="2B35242D" w14:textId="2E89459C" w:rsidR="00B8149F" w:rsidRPr="00834149" w:rsidRDefault="00B8149F" w:rsidP="00834149">
      <w:pPr>
        <w:pStyle w:val="ListParagraph"/>
        <w:ind w:left="0"/>
        <w:contextualSpacing w:val="0"/>
        <w:jc w:val="both"/>
        <w:rPr>
          <w:rFonts w:eastAsia="Times New Roman" w:cs="Times New Roman"/>
        </w:rPr>
      </w:pPr>
    </w:p>
    <w:p w14:paraId="31A95C9F" w14:textId="04FA2489" w:rsidR="0042298F" w:rsidRPr="00834149" w:rsidRDefault="004E488A" w:rsidP="00834149">
      <w:pPr>
        <w:pStyle w:val="ListParagraph"/>
        <w:numPr>
          <w:ilvl w:val="0"/>
          <w:numId w:val="2"/>
        </w:numPr>
        <w:ind w:left="0" w:firstLine="0"/>
        <w:contextualSpacing w:val="0"/>
        <w:jc w:val="both"/>
        <w:rPr>
          <w:rFonts w:eastAsia="Times New Roman" w:cs="Times New Roman"/>
        </w:rPr>
      </w:pPr>
      <w:r w:rsidRPr="00834149">
        <w:rPr>
          <w:rFonts w:cs="Times New Roman"/>
          <w:b/>
        </w:rPr>
        <w:t xml:space="preserve">The CPF proposes to scale up IDA’s </w:t>
      </w:r>
      <w:r w:rsidR="001B44DC" w:rsidRPr="00834149">
        <w:rPr>
          <w:rFonts w:cs="Times New Roman"/>
          <w:b/>
        </w:rPr>
        <w:t xml:space="preserve">engagement in </w:t>
      </w:r>
      <w:r w:rsidRPr="00834149">
        <w:rPr>
          <w:rFonts w:cs="Times New Roman"/>
          <w:b/>
        </w:rPr>
        <w:t xml:space="preserve">the </w:t>
      </w:r>
      <w:r w:rsidR="001B44DC" w:rsidRPr="00834149">
        <w:rPr>
          <w:rFonts w:cs="Times New Roman"/>
          <w:b/>
        </w:rPr>
        <w:t xml:space="preserve">health </w:t>
      </w:r>
      <w:r w:rsidRPr="00834149">
        <w:rPr>
          <w:rFonts w:cs="Times New Roman"/>
          <w:b/>
        </w:rPr>
        <w:t>sector and support the government’s efforts to improve services and health outcomes</w:t>
      </w:r>
      <w:r w:rsidRPr="00834149">
        <w:rPr>
          <w:rFonts w:cs="Times New Roman"/>
        </w:rPr>
        <w:t>.</w:t>
      </w:r>
      <w:r w:rsidRPr="00834149">
        <w:rPr>
          <w:rFonts w:cs="Times New Roman"/>
          <w:b/>
        </w:rPr>
        <w:t xml:space="preserve"> </w:t>
      </w:r>
      <w:r w:rsidRPr="00834149">
        <w:rPr>
          <w:rFonts w:cs="Times New Roman"/>
        </w:rPr>
        <w:t>IDA</w:t>
      </w:r>
      <w:r w:rsidR="002F1C40" w:rsidRPr="00834149">
        <w:rPr>
          <w:rFonts w:cs="Times New Roman"/>
        </w:rPr>
        <w:t xml:space="preserve"> is </w:t>
      </w:r>
      <w:r w:rsidRPr="00834149">
        <w:rPr>
          <w:rFonts w:cs="Times New Roman"/>
        </w:rPr>
        <w:t xml:space="preserve">already </w:t>
      </w:r>
      <w:r w:rsidR="002F1C40" w:rsidRPr="00834149">
        <w:rPr>
          <w:rFonts w:cs="Times New Roman"/>
        </w:rPr>
        <w:t xml:space="preserve">engaged in the health sector through the </w:t>
      </w:r>
      <w:r w:rsidR="009B0F1C" w:rsidRPr="00834149">
        <w:rPr>
          <w:rFonts w:cs="Times New Roman"/>
        </w:rPr>
        <w:t xml:space="preserve">Maternal and Infant Health and Nutrition Project </w:t>
      </w:r>
      <w:r w:rsidR="002F1C40" w:rsidRPr="00834149">
        <w:rPr>
          <w:rFonts w:cs="Times New Roman"/>
        </w:rPr>
        <w:t>(</w:t>
      </w:r>
      <w:r w:rsidRPr="00834149">
        <w:rPr>
          <w:rFonts w:cs="Times New Roman"/>
        </w:rPr>
        <w:t>PASMIN, F</w:t>
      </w:r>
      <w:r w:rsidR="00F270CE" w:rsidRPr="00834149">
        <w:rPr>
          <w:rFonts w:cs="Times New Roman"/>
        </w:rPr>
        <w:t>Y1</w:t>
      </w:r>
      <w:r w:rsidR="00950F3C" w:rsidRPr="00834149">
        <w:rPr>
          <w:rFonts w:cs="Times New Roman"/>
        </w:rPr>
        <w:t>4</w:t>
      </w:r>
      <w:r w:rsidR="00F270CE" w:rsidRPr="00834149">
        <w:rPr>
          <w:rFonts w:cs="Times New Roman"/>
        </w:rPr>
        <w:t>)</w:t>
      </w:r>
      <w:r w:rsidR="009B0F1C" w:rsidRPr="00834149">
        <w:rPr>
          <w:rFonts w:cs="Times New Roman"/>
        </w:rPr>
        <w:t>, focus</w:t>
      </w:r>
      <w:r w:rsidR="00244B4F" w:rsidRPr="00834149">
        <w:rPr>
          <w:rFonts w:cs="Times New Roman"/>
        </w:rPr>
        <w:t>ing</w:t>
      </w:r>
      <w:r w:rsidR="009B0F1C" w:rsidRPr="00834149">
        <w:rPr>
          <w:rFonts w:cs="Times New Roman"/>
        </w:rPr>
        <w:t xml:space="preserve"> primarily on malaria </w:t>
      </w:r>
      <w:r w:rsidRPr="00834149">
        <w:rPr>
          <w:rFonts w:cs="Times New Roman"/>
        </w:rPr>
        <w:t xml:space="preserve">prevention </w:t>
      </w:r>
      <w:r w:rsidR="009B0F1C" w:rsidRPr="00834149">
        <w:rPr>
          <w:rFonts w:cs="Times New Roman"/>
        </w:rPr>
        <w:t>and nutrition</w:t>
      </w:r>
      <w:r w:rsidRPr="00834149">
        <w:rPr>
          <w:rFonts w:cs="Times New Roman"/>
        </w:rPr>
        <w:t xml:space="preserve"> for mothers and infants</w:t>
      </w:r>
      <w:r w:rsidR="009B0F1C" w:rsidRPr="00834149">
        <w:rPr>
          <w:rFonts w:cs="Times New Roman"/>
        </w:rPr>
        <w:t>,</w:t>
      </w:r>
      <w:r w:rsidR="002F1C40" w:rsidRPr="00834149">
        <w:rPr>
          <w:rFonts w:cs="Times New Roman"/>
        </w:rPr>
        <w:t xml:space="preserve"> and the R</w:t>
      </w:r>
      <w:r w:rsidR="009B0F1C" w:rsidRPr="00834149">
        <w:rPr>
          <w:rFonts w:cs="Times New Roman"/>
        </w:rPr>
        <w:t xml:space="preserve">egional Disease Surveillance Systems Enhancement </w:t>
      </w:r>
      <w:r w:rsidR="0073444E">
        <w:rPr>
          <w:rFonts w:cs="Times New Roman"/>
        </w:rPr>
        <w:t>P</w:t>
      </w:r>
      <w:r w:rsidR="002F1C40" w:rsidRPr="00834149">
        <w:rPr>
          <w:rFonts w:cs="Times New Roman"/>
        </w:rPr>
        <w:t>roject (</w:t>
      </w:r>
      <w:r w:rsidR="009B0F1C" w:rsidRPr="00834149">
        <w:rPr>
          <w:rFonts w:cs="Times New Roman"/>
        </w:rPr>
        <w:t>FY17</w:t>
      </w:r>
      <w:r w:rsidR="002F1C40" w:rsidRPr="00834149">
        <w:rPr>
          <w:rFonts w:cs="Times New Roman"/>
        </w:rPr>
        <w:t>)</w:t>
      </w:r>
      <w:r w:rsidRPr="00834149">
        <w:rPr>
          <w:rFonts w:cs="Times New Roman"/>
        </w:rPr>
        <w:t>, to strengthen early warning systems and responses to diseases</w:t>
      </w:r>
      <w:r w:rsidR="002F1C40" w:rsidRPr="00834149">
        <w:rPr>
          <w:rFonts w:cs="Times New Roman"/>
        </w:rPr>
        <w:t>.</w:t>
      </w:r>
      <w:r w:rsidR="00B85FB6" w:rsidRPr="00834149">
        <w:rPr>
          <w:rFonts w:cs="Times New Roman"/>
        </w:rPr>
        <w:t xml:space="preserve"> </w:t>
      </w:r>
      <w:r w:rsidRPr="00834149">
        <w:rPr>
          <w:rFonts w:cs="Times New Roman"/>
        </w:rPr>
        <w:t xml:space="preserve">IDA </w:t>
      </w:r>
      <w:r w:rsidR="009D67B6">
        <w:rPr>
          <w:rFonts w:cs="Times New Roman"/>
        </w:rPr>
        <w:t xml:space="preserve">financing </w:t>
      </w:r>
      <w:r w:rsidRPr="00834149">
        <w:rPr>
          <w:rFonts w:cs="Times New Roman"/>
        </w:rPr>
        <w:t xml:space="preserve">will </w:t>
      </w:r>
      <w:r w:rsidR="009D67B6">
        <w:rPr>
          <w:rFonts w:cs="Times New Roman"/>
        </w:rPr>
        <w:t xml:space="preserve">help </w:t>
      </w:r>
      <w:r w:rsidRPr="00834149">
        <w:rPr>
          <w:rFonts w:cs="Times New Roman"/>
        </w:rPr>
        <w:t xml:space="preserve">to </w:t>
      </w:r>
      <w:r w:rsidR="00244B4F" w:rsidRPr="00834149">
        <w:rPr>
          <w:rFonts w:cs="Times New Roman"/>
        </w:rPr>
        <w:t xml:space="preserve">further </w:t>
      </w:r>
      <w:r w:rsidRPr="00834149">
        <w:rPr>
          <w:rFonts w:cs="Times New Roman"/>
        </w:rPr>
        <w:t xml:space="preserve">strengthen Togo’s health systems by </w:t>
      </w:r>
      <w:r w:rsidR="009B0F1C" w:rsidRPr="00834149">
        <w:rPr>
          <w:rFonts w:cs="Times New Roman"/>
        </w:rPr>
        <w:t>build</w:t>
      </w:r>
      <w:r w:rsidR="00244B4F" w:rsidRPr="00834149">
        <w:rPr>
          <w:rFonts w:cs="Times New Roman"/>
        </w:rPr>
        <w:t>ing</w:t>
      </w:r>
      <w:r w:rsidR="009B0F1C" w:rsidRPr="00834149">
        <w:rPr>
          <w:rFonts w:cs="Times New Roman"/>
        </w:rPr>
        <w:t xml:space="preserve"> on </w:t>
      </w:r>
      <w:r w:rsidRPr="00834149">
        <w:rPr>
          <w:rFonts w:cs="Times New Roman"/>
        </w:rPr>
        <w:t xml:space="preserve">a </w:t>
      </w:r>
      <w:r w:rsidR="009B0F1C" w:rsidRPr="00834149">
        <w:rPr>
          <w:rFonts w:cs="Times New Roman"/>
        </w:rPr>
        <w:t xml:space="preserve">performance-based </w:t>
      </w:r>
      <w:r w:rsidR="009B0F1C" w:rsidRPr="00834149">
        <w:rPr>
          <w:rFonts w:cs="Times New Roman"/>
        </w:rPr>
        <w:lastRenderedPageBreak/>
        <w:t xml:space="preserve">financing </w:t>
      </w:r>
      <w:r w:rsidR="00C8274E" w:rsidRPr="00834149">
        <w:rPr>
          <w:rFonts w:cs="Times New Roman"/>
        </w:rPr>
        <w:t xml:space="preserve">(PBF) </w:t>
      </w:r>
      <w:r w:rsidR="009B0F1C" w:rsidRPr="00834149">
        <w:rPr>
          <w:rFonts w:cs="Times New Roman"/>
        </w:rPr>
        <w:t xml:space="preserve">pilot </w:t>
      </w:r>
      <w:r w:rsidR="00D15F7E" w:rsidRPr="00834149">
        <w:rPr>
          <w:rFonts w:cs="Times New Roman"/>
        </w:rPr>
        <w:t>in</w:t>
      </w:r>
      <w:r w:rsidR="00A368BE" w:rsidRPr="00834149">
        <w:rPr>
          <w:rFonts w:cs="Times New Roman"/>
        </w:rPr>
        <w:t xml:space="preserve"> PASMIN </w:t>
      </w:r>
      <w:r w:rsidR="00244B4F" w:rsidRPr="00834149">
        <w:rPr>
          <w:rFonts w:cs="Times New Roman"/>
        </w:rPr>
        <w:t xml:space="preserve">to promote </w:t>
      </w:r>
      <w:r w:rsidR="00D15F7E" w:rsidRPr="00834149">
        <w:rPr>
          <w:rFonts w:cs="Times New Roman"/>
        </w:rPr>
        <w:t>PPPs</w:t>
      </w:r>
      <w:r w:rsidR="00244B4F" w:rsidRPr="00834149">
        <w:rPr>
          <w:rFonts w:cs="Times New Roman"/>
        </w:rPr>
        <w:t xml:space="preserve"> to deliver health services </w:t>
      </w:r>
      <w:r w:rsidR="009B0F1C" w:rsidRPr="00834149">
        <w:rPr>
          <w:rFonts w:cs="Times New Roman"/>
        </w:rPr>
        <w:t xml:space="preserve">and </w:t>
      </w:r>
      <w:r w:rsidR="00244B4F" w:rsidRPr="00834149">
        <w:rPr>
          <w:rFonts w:cs="Times New Roman"/>
        </w:rPr>
        <w:t xml:space="preserve">further </w:t>
      </w:r>
      <w:r w:rsidR="00A368BE" w:rsidRPr="00834149">
        <w:rPr>
          <w:rFonts w:cs="Times New Roman"/>
        </w:rPr>
        <w:t xml:space="preserve">support </w:t>
      </w:r>
      <w:r w:rsidR="009B0F1C" w:rsidRPr="00834149">
        <w:rPr>
          <w:rFonts w:cs="Times New Roman"/>
        </w:rPr>
        <w:t xml:space="preserve">reproductive, maternal, infant, and child health services. </w:t>
      </w:r>
      <w:r w:rsidR="002F1C40" w:rsidRPr="00834149">
        <w:rPr>
          <w:rFonts w:cs="Times New Roman"/>
        </w:rPr>
        <w:t>Th</w:t>
      </w:r>
      <w:r w:rsidR="00C8274E" w:rsidRPr="00834149">
        <w:rPr>
          <w:rFonts w:cs="Times New Roman"/>
        </w:rPr>
        <w:t>e</w:t>
      </w:r>
      <w:r w:rsidR="002F1C40" w:rsidRPr="00834149">
        <w:rPr>
          <w:rFonts w:cs="Times New Roman"/>
        </w:rPr>
        <w:t xml:space="preserve"> PBF approach complements the World Bank partnership with UNICEF on nutrition and community care</w:t>
      </w:r>
      <w:r w:rsidR="009D0277" w:rsidRPr="00834149">
        <w:rPr>
          <w:rFonts w:cs="Times New Roman"/>
        </w:rPr>
        <w:t xml:space="preserve">. </w:t>
      </w:r>
      <w:r w:rsidR="00C01A59" w:rsidRPr="00834149">
        <w:rPr>
          <w:rFonts w:cs="Times New Roman"/>
        </w:rPr>
        <w:t>TA</w:t>
      </w:r>
      <w:r w:rsidR="002F1C40" w:rsidRPr="00834149">
        <w:rPr>
          <w:rFonts w:cs="Times New Roman"/>
        </w:rPr>
        <w:t xml:space="preserve"> </w:t>
      </w:r>
      <w:r w:rsidR="009D0277" w:rsidRPr="00834149">
        <w:rPr>
          <w:rFonts w:cs="Times New Roman"/>
        </w:rPr>
        <w:t xml:space="preserve">would </w:t>
      </w:r>
      <w:r w:rsidR="009D67B6">
        <w:rPr>
          <w:rFonts w:cs="Times New Roman"/>
        </w:rPr>
        <w:t xml:space="preserve">help </w:t>
      </w:r>
      <w:r w:rsidR="002F1C40" w:rsidRPr="00834149">
        <w:rPr>
          <w:rFonts w:cs="Times New Roman"/>
        </w:rPr>
        <w:t xml:space="preserve">develop a health care financing strategy and an evaluation of identification management </w:t>
      </w:r>
      <w:r w:rsidR="00C8274E" w:rsidRPr="00834149">
        <w:rPr>
          <w:rFonts w:cs="Times New Roman"/>
        </w:rPr>
        <w:t>systems for targeting purposes</w:t>
      </w:r>
      <w:r w:rsidR="00A368BE" w:rsidRPr="00834149">
        <w:rPr>
          <w:rFonts w:cs="Times New Roman"/>
        </w:rPr>
        <w:t xml:space="preserve"> (jointly with the</w:t>
      </w:r>
      <w:r w:rsidR="00244B4F" w:rsidRPr="00834149">
        <w:rPr>
          <w:rFonts w:cs="Times New Roman"/>
        </w:rPr>
        <w:t xml:space="preserve"> IDA</w:t>
      </w:r>
      <w:r w:rsidR="00A368BE" w:rsidRPr="00834149">
        <w:rPr>
          <w:rFonts w:cs="Times New Roman"/>
        </w:rPr>
        <w:t xml:space="preserve"> Basic Services and Safety Net</w:t>
      </w:r>
      <w:r w:rsidR="00C01A59" w:rsidRPr="00834149">
        <w:rPr>
          <w:rFonts w:cs="Times New Roman"/>
        </w:rPr>
        <w:t>s</w:t>
      </w:r>
      <w:r w:rsidR="00A368BE" w:rsidRPr="00834149">
        <w:rPr>
          <w:rFonts w:cs="Times New Roman"/>
        </w:rPr>
        <w:t xml:space="preserve"> operation)</w:t>
      </w:r>
      <w:r w:rsidR="00C8274E" w:rsidRPr="00834149">
        <w:rPr>
          <w:rFonts w:cs="Times New Roman"/>
        </w:rPr>
        <w:t>.</w:t>
      </w:r>
      <w:r w:rsidR="00421960" w:rsidRPr="00834149">
        <w:rPr>
          <w:rFonts w:cs="Times New Roman"/>
        </w:rPr>
        <w:t xml:space="preserve"> The Global Fund for AIDS, Tuberculosis and Malaria is a key financier and development partner in the health sector, </w:t>
      </w:r>
      <w:r w:rsidR="00F05778" w:rsidRPr="00834149">
        <w:rPr>
          <w:rFonts w:cs="Times New Roman"/>
        </w:rPr>
        <w:t>and</w:t>
      </w:r>
      <w:r w:rsidR="00421960" w:rsidRPr="00834149">
        <w:rPr>
          <w:rFonts w:cs="Times New Roman"/>
        </w:rPr>
        <w:t xml:space="preserve"> WHO and UNAIDS</w:t>
      </w:r>
      <w:r w:rsidR="00F05778" w:rsidRPr="00834149">
        <w:rPr>
          <w:rFonts w:cs="Times New Roman"/>
        </w:rPr>
        <w:t xml:space="preserve"> are also key partners</w:t>
      </w:r>
      <w:r w:rsidR="00421960" w:rsidRPr="00834149">
        <w:rPr>
          <w:rFonts w:cs="Times New Roman"/>
        </w:rPr>
        <w:t>.</w:t>
      </w:r>
    </w:p>
    <w:p w14:paraId="1D390EB9" w14:textId="77777777" w:rsidR="0073444E" w:rsidRPr="00834149" w:rsidRDefault="0073444E" w:rsidP="00834149">
      <w:pPr>
        <w:pStyle w:val="ListParagraph"/>
        <w:ind w:left="0"/>
        <w:contextualSpacing w:val="0"/>
        <w:jc w:val="both"/>
        <w:rPr>
          <w:rFonts w:eastAsia="Times New Roman" w:cs="Times New Roman"/>
        </w:rPr>
      </w:pPr>
    </w:p>
    <w:p w14:paraId="7BE89DAA" w14:textId="04D1FEB6" w:rsidR="00391F4F" w:rsidRPr="00834149" w:rsidRDefault="00391F4F" w:rsidP="00A50430">
      <w:pPr>
        <w:pStyle w:val="ListParagraph"/>
        <w:pBdr>
          <w:top w:val="single" w:sz="4" w:space="1" w:color="auto"/>
          <w:left w:val="single" w:sz="4" w:space="4" w:color="auto"/>
          <w:right w:val="single" w:sz="4" w:space="4" w:color="auto"/>
        </w:pBdr>
        <w:shd w:val="clear" w:color="auto" w:fill="D9D9D9" w:themeFill="background1" w:themeFillShade="D9"/>
        <w:ind w:left="90"/>
        <w:jc w:val="both"/>
        <w:rPr>
          <w:rFonts w:cs="Times New Roman"/>
          <w:b/>
          <w:i/>
        </w:rPr>
      </w:pPr>
      <w:r w:rsidRPr="00834149">
        <w:rPr>
          <w:rFonts w:cs="Times New Roman"/>
          <w:b/>
          <w:i/>
        </w:rPr>
        <w:t>Results Indicators for Objective 2.1: Strengthen Health Services</w:t>
      </w:r>
    </w:p>
    <w:p w14:paraId="52FC33BC" w14:textId="3B113DDD" w:rsidR="00391F4F" w:rsidRPr="00834149" w:rsidRDefault="00391F4F" w:rsidP="00A50430">
      <w:pPr>
        <w:pStyle w:val="ListParagraph"/>
        <w:pBdr>
          <w:top w:val="single" w:sz="4" w:space="1" w:color="auto"/>
          <w:left w:val="single" w:sz="4" w:space="4" w:color="auto"/>
          <w:bottom w:val="single" w:sz="4" w:space="1" w:color="auto"/>
          <w:right w:val="single" w:sz="4" w:space="4" w:color="auto"/>
        </w:pBdr>
        <w:shd w:val="clear" w:color="auto" w:fill="F8F8F0" w:themeFill="background2" w:themeFillTint="33"/>
        <w:ind w:left="90"/>
        <w:rPr>
          <w:rFonts w:cs="Times New Roman"/>
        </w:rPr>
      </w:pPr>
      <w:r w:rsidRPr="00834149">
        <w:rPr>
          <w:rFonts w:cs="Times New Roman"/>
          <w:b/>
        </w:rPr>
        <w:t>Indicator 1:</w:t>
      </w:r>
      <w:r w:rsidRPr="00834149">
        <w:rPr>
          <w:rFonts w:cs="Times New Roman"/>
        </w:rPr>
        <w:t xml:space="preserve"> Number of births assisted by a midwife or qualified nurse as a share of the total number of expected births</w:t>
      </w:r>
      <w:r w:rsidRPr="00834149">
        <w:rPr>
          <w:rFonts w:cs="Times New Roman"/>
          <w:i/>
        </w:rPr>
        <w:t xml:space="preserve"> (63.5% in 2017 to 70% in 2020)</w:t>
      </w:r>
    </w:p>
    <w:p w14:paraId="6D5DAD44" w14:textId="77777777" w:rsidR="00391F4F" w:rsidRPr="00834149" w:rsidRDefault="00391F4F" w:rsidP="00A50430">
      <w:pPr>
        <w:pStyle w:val="ListParagraph"/>
        <w:ind w:left="0"/>
        <w:contextualSpacing w:val="0"/>
        <w:jc w:val="both"/>
        <w:rPr>
          <w:rFonts w:eastAsia="Times New Roman" w:cs="Times New Roman"/>
        </w:rPr>
      </w:pPr>
    </w:p>
    <w:p w14:paraId="23112269" w14:textId="71DD582D" w:rsidR="003375F3" w:rsidRPr="00834149" w:rsidRDefault="00211024" w:rsidP="00A50430">
      <w:pPr>
        <w:pStyle w:val="ListParagraph"/>
        <w:numPr>
          <w:ilvl w:val="0"/>
          <w:numId w:val="2"/>
        </w:numPr>
        <w:ind w:left="0" w:firstLine="0"/>
        <w:contextualSpacing w:val="0"/>
        <w:jc w:val="both"/>
        <w:rPr>
          <w:rFonts w:eastAsia="Times New Roman" w:cs="Times New Roman"/>
        </w:rPr>
      </w:pPr>
      <w:r w:rsidRPr="00834149">
        <w:rPr>
          <w:rFonts w:cs="Times New Roman"/>
          <w:b/>
        </w:rPr>
        <w:t>T</w:t>
      </w:r>
      <w:r w:rsidR="00244B4F" w:rsidRPr="00834149">
        <w:rPr>
          <w:rFonts w:cs="Times New Roman"/>
          <w:b/>
        </w:rPr>
        <w:t xml:space="preserve">he </w:t>
      </w:r>
      <w:r w:rsidR="00D15F7E" w:rsidRPr="00834149">
        <w:rPr>
          <w:rFonts w:cs="Times New Roman"/>
          <w:b/>
        </w:rPr>
        <w:t xml:space="preserve">World </w:t>
      </w:r>
      <w:r w:rsidR="00244B4F" w:rsidRPr="00834149">
        <w:rPr>
          <w:rFonts w:cs="Times New Roman"/>
          <w:b/>
        </w:rPr>
        <w:t xml:space="preserve">Bank will continue to </w:t>
      </w:r>
      <w:r w:rsidRPr="00834149">
        <w:rPr>
          <w:rFonts w:cs="Times New Roman"/>
          <w:b/>
        </w:rPr>
        <w:t xml:space="preserve">support education sector activities, including </w:t>
      </w:r>
      <w:r w:rsidR="00244B4F" w:rsidRPr="00834149">
        <w:rPr>
          <w:rFonts w:cs="Times New Roman"/>
          <w:b/>
        </w:rPr>
        <w:t>the implementation of the Global Program for Education grant</w:t>
      </w:r>
      <w:r w:rsidR="00A40C48" w:rsidRPr="00834149">
        <w:rPr>
          <w:rFonts w:cs="Times New Roman"/>
          <w:b/>
        </w:rPr>
        <w:t xml:space="preserve"> in Togo</w:t>
      </w:r>
      <w:r w:rsidR="00244B4F" w:rsidRPr="00834149">
        <w:rPr>
          <w:rFonts w:cs="Times New Roman"/>
        </w:rPr>
        <w:t>. Th</w:t>
      </w:r>
      <w:r w:rsidR="00A40C48" w:rsidRPr="00834149">
        <w:rPr>
          <w:rFonts w:cs="Times New Roman"/>
        </w:rPr>
        <w:t>e Second Education and Institutional Strengthening Project (FY15) seeks</w:t>
      </w:r>
      <w:r w:rsidR="004A66FE" w:rsidRPr="00834149">
        <w:rPr>
          <w:rFonts w:cs="Times New Roman"/>
        </w:rPr>
        <w:t xml:space="preserve"> to</w:t>
      </w:r>
      <w:r w:rsidR="00244B4F" w:rsidRPr="00834149">
        <w:rPr>
          <w:rFonts w:cs="Times New Roman"/>
        </w:rPr>
        <w:t xml:space="preserve"> </w:t>
      </w:r>
      <w:r w:rsidR="00A40C48" w:rsidRPr="00834149">
        <w:rPr>
          <w:rFonts w:cs="Times New Roman"/>
        </w:rPr>
        <w:t xml:space="preserve">strengthen </w:t>
      </w:r>
      <w:r w:rsidR="004A66FE" w:rsidRPr="00834149">
        <w:rPr>
          <w:rFonts w:cs="Times New Roman"/>
        </w:rPr>
        <w:t xml:space="preserve">the </w:t>
      </w:r>
      <w:r w:rsidR="00504DE8" w:rsidRPr="00834149">
        <w:rPr>
          <w:rFonts w:cs="Times New Roman"/>
        </w:rPr>
        <w:t xml:space="preserve">quality of teaching and learning in primary schools and access </w:t>
      </w:r>
      <w:r w:rsidR="00D15F7E" w:rsidRPr="00834149">
        <w:rPr>
          <w:rFonts w:cs="Times New Roman"/>
        </w:rPr>
        <w:t xml:space="preserve">to </w:t>
      </w:r>
      <w:r w:rsidR="00504DE8" w:rsidRPr="00834149">
        <w:rPr>
          <w:rFonts w:cs="Times New Roman"/>
        </w:rPr>
        <w:t xml:space="preserve">and equity </w:t>
      </w:r>
      <w:r w:rsidR="00A40C48" w:rsidRPr="00834149">
        <w:rPr>
          <w:rFonts w:cs="Times New Roman"/>
        </w:rPr>
        <w:t>in</w:t>
      </w:r>
      <w:r w:rsidR="00D15F7E" w:rsidRPr="00834149">
        <w:rPr>
          <w:rFonts w:cs="Times New Roman"/>
        </w:rPr>
        <w:t xml:space="preserve"> </w:t>
      </w:r>
      <w:r w:rsidR="00504DE8" w:rsidRPr="00834149">
        <w:rPr>
          <w:rFonts w:cs="Times New Roman"/>
        </w:rPr>
        <w:t xml:space="preserve">education, particularly for disadvantaged communities. The </w:t>
      </w:r>
      <w:r w:rsidR="00A40C48" w:rsidRPr="00834149">
        <w:rPr>
          <w:rFonts w:cs="Times New Roman"/>
        </w:rPr>
        <w:t xml:space="preserve">project also uses a participatory community-driven approach. The </w:t>
      </w:r>
      <w:r w:rsidR="006A6B5F" w:rsidRPr="00834149">
        <w:rPr>
          <w:rFonts w:cs="Times New Roman"/>
        </w:rPr>
        <w:t xml:space="preserve">World </w:t>
      </w:r>
      <w:r w:rsidR="00504DE8" w:rsidRPr="00834149">
        <w:rPr>
          <w:rFonts w:cs="Times New Roman"/>
        </w:rPr>
        <w:t xml:space="preserve">Bank is </w:t>
      </w:r>
      <w:r w:rsidR="00F05778" w:rsidRPr="00834149">
        <w:rPr>
          <w:rFonts w:cs="Times New Roman"/>
        </w:rPr>
        <w:t xml:space="preserve">also </w:t>
      </w:r>
      <w:r w:rsidR="00504DE8" w:rsidRPr="00834149">
        <w:rPr>
          <w:rFonts w:cs="Times New Roman"/>
        </w:rPr>
        <w:t xml:space="preserve">supporting a </w:t>
      </w:r>
      <w:r w:rsidR="002A6D3D" w:rsidRPr="00834149">
        <w:rPr>
          <w:rFonts w:cs="Times New Roman"/>
        </w:rPr>
        <w:t xml:space="preserve">regional IDA </w:t>
      </w:r>
      <w:r w:rsidR="00504DE8" w:rsidRPr="00834149">
        <w:rPr>
          <w:rFonts w:cs="Times New Roman"/>
          <w:color w:val="000000"/>
        </w:rPr>
        <w:t>higher education Center of Excellence (ACE) Project</w:t>
      </w:r>
      <w:r w:rsidR="00A40C48" w:rsidRPr="00834149">
        <w:rPr>
          <w:rFonts w:cs="Times New Roman"/>
          <w:color w:val="000000"/>
        </w:rPr>
        <w:t xml:space="preserve"> in Togo. ACE</w:t>
      </w:r>
      <w:r w:rsidR="00504DE8" w:rsidRPr="00834149">
        <w:rPr>
          <w:rFonts w:cs="Times New Roman"/>
          <w:color w:val="000000"/>
        </w:rPr>
        <w:t xml:space="preserve"> </w:t>
      </w:r>
      <w:r w:rsidR="00C01A59" w:rsidRPr="00834149">
        <w:rPr>
          <w:rFonts w:cs="Times New Roman"/>
          <w:color w:val="000000"/>
        </w:rPr>
        <w:t>promot</w:t>
      </w:r>
      <w:r w:rsidR="00A40C48" w:rsidRPr="00834149">
        <w:rPr>
          <w:rFonts w:cs="Times New Roman"/>
          <w:color w:val="000000"/>
        </w:rPr>
        <w:t>es</w:t>
      </w:r>
      <w:r w:rsidR="00504DE8" w:rsidRPr="00834149">
        <w:rPr>
          <w:rFonts w:cs="Times New Roman"/>
          <w:color w:val="000000"/>
          <w:lang w:val="en"/>
        </w:rPr>
        <w:t xml:space="preserve"> regional specialization among participating universities to deliver quality training and applied research</w:t>
      </w:r>
      <w:r w:rsidR="00A40C48" w:rsidRPr="00834149">
        <w:rPr>
          <w:rFonts w:cs="Times New Roman"/>
          <w:color w:val="000000"/>
          <w:lang w:val="en"/>
        </w:rPr>
        <w:t>, with a focus on</w:t>
      </w:r>
      <w:r w:rsidR="00C01A59" w:rsidRPr="00834149">
        <w:rPr>
          <w:rFonts w:cs="Times New Roman"/>
          <w:color w:val="000000"/>
          <w:lang w:val="en"/>
        </w:rPr>
        <w:t xml:space="preserve"> poultry sciences</w:t>
      </w:r>
      <w:r w:rsidR="00A40C48" w:rsidRPr="00834149">
        <w:rPr>
          <w:rFonts w:cs="Times New Roman"/>
          <w:color w:val="000000"/>
          <w:lang w:val="en"/>
        </w:rPr>
        <w:t xml:space="preserve"> at the center established at the University of Lomé</w:t>
      </w:r>
      <w:r w:rsidR="00504DE8" w:rsidRPr="00834149">
        <w:rPr>
          <w:rFonts w:cs="Times New Roman"/>
          <w:color w:val="000000"/>
          <w:lang w:val="en"/>
        </w:rPr>
        <w:t>.</w:t>
      </w:r>
      <w:r w:rsidR="00700519" w:rsidRPr="00834149">
        <w:rPr>
          <w:rFonts w:cs="Times New Roman"/>
          <w:color w:val="000000"/>
          <w:lang w:val="en"/>
        </w:rPr>
        <w:t xml:space="preserve"> </w:t>
      </w:r>
      <w:r w:rsidRPr="00834149">
        <w:rPr>
          <w:rFonts w:cs="Times New Roman"/>
          <w:color w:val="000000"/>
          <w:lang w:val="en"/>
        </w:rPr>
        <w:t xml:space="preserve">In addition, IDA supports the follow-up to the Education SDI dissemination (FY16), citizen engagement activities to monitor teacher performance. Partnerships with universities and local institutions are also discussed under Focus Area 1. </w:t>
      </w:r>
      <w:r w:rsidR="00700519" w:rsidRPr="00834149">
        <w:rPr>
          <w:rFonts w:cs="Times New Roman"/>
          <w:color w:val="000000"/>
          <w:lang w:val="en"/>
        </w:rPr>
        <w:t xml:space="preserve">AFD and UNICEF are the </w:t>
      </w:r>
      <w:r w:rsidR="00C01A59" w:rsidRPr="00834149">
        <w:rPr>
          <w:rFonts w:cs="Times New Roman"/>
          <w:color w:val="000000"/>
          <w:lang w:val="en"/>
        </w:rPr>
        <w:t xml:space="preserve">WBG’s </w:t>
      </w:r>
      <w:r w:rsidR="00700519" w:rsidRPr="00834149">
        <w:rPr>
          <w:rFonts w:cs="Times New Roman"/>
          <w:color w:val="000000"/>
          <w:lang w:val="en"/>
        </w:rPr>
        <w:t>key development partners in Togo</w:t>
      </w:r>
      <w:r w:rsidR="00C01A59" w:rsidRPr="00834149">
        <w:rPr>
          <w:rFonts w:cs="Times New Roman"/>
          <w:color w:val="000000"/>
          <w:lang w:val="en"/>
        </w:rPr>
        <w:t>’s education sector</w:t>
      </w:r>
      <w:r w:rsidR="00700519" w:rsidRPr="00834149">
        <w:rPr>
          <w:rFonts w:cs="Times New Roman"/>
          <w:color w:val="000000"/>
          <w:lang w:val="en"/>
        </w:rPr>
        <w:t>.</w:t>
      </w:r>
    </w:p>
    <w:p w14:paraId="5E7BB099" w14:textId="77777777" w:rsidR="00A40C48" w:rsidRPr="00834149" w:rsidRDefault="00A40C48" w:rsidP="00A50430">
      <w:pPr>
        <w:pStyle w:val="ListParagraph"/>
        <w:ind w:left="0"/>
        <w:contextualSpacing w:val="0"/>
        <w:jc w:val="both"/>
        <w:rPr>
          <w:rFonts w:eastAsia="Times New Roman" w:cs="Times New Roman"/>
        </w:rPr>
      </w:pPr>
    </w:p>
    <w:p w14:paraId="43B272A9" w14:textId="1007F112" w:rsidR="00E35BF5" w:rsidRPr="00834149" w:rsidRDefault="008D7A2C" w:rsidP="00834149">
      <w:pPr>
        <w:pStyle w:val="ListParagraph"/>
        <w:numPr>
          <w:ilvl w:val="0"/>
          <w:numId w:val="2"/>
        </w:numPr>
        <w:ind w:left="0" w:firstLine="0"/>
        <w:contextualSpacing w:val="0"/>
        <w:jc w:val="both"/>
        <w:rPr>
          <w:rFonts w:eastAsia="Times New Roman" w:cs="Times New Roman"/>
        </w:rPr>
      </w:pPr>
      <w:r w:rsidRPr="00834149">
        <w:rPr>
          <w:rFonts w:cs="Times New Roman"/>
          <w:b/>
        </w:rPr>
        <w:t>The CPF seeks to promote a more adequate and equitable allocation of public resources and more efficient performance of public expenditures for social services b</w:t>
      </w:r>
      <w:r w:rsidR="00E35BF5" w:rsidRPr="00834149">
        <w:rPr>
          <w:rFonts w:cs="Times New Roman"/>
          <w:b/>
        </w:rPr>
        <w:t xml:space="preserve">y supporting </w:t>
      </w:r>
      <w:r w:rsidRPr="00834149">
        <w:rPr>
          <w:rFonts w:cs="Times New Roman"/>
          <w:b/>
        </w:rPr>
        <w:t>related analytical work</w:t>
      </w:r>
      <w:r w:rsidR="00E35BF5" w:rsidRPr="00834149">
        <w:rPr>
          <w:rFonts w:cs="Times New Roman"/>
          <w:b/>
        </w:rPr>
        <w:t xml:space="preserve"> and TA</w:t>
      </w:r>
      <w:r w:rsidR="00E35BF5" w:rsidRPr="00834149">
        <w:rPr>
          <w:rFonts w:cs="Times New Roman"/>
        </w:rPr>
        <w:t>.</w:t>
      </w:r>
      <w:r w:rsidR="00AB78CE" w:rsidRPr="00834149">
        <w:rPr>
          <w:rFonts w:cs="Times New Roman"/>
        </w:rPr>
        <w:t xml:space="preserve"> </w:t>
      </w:r>
      <w:r w:rsidR="00C01A59" w:rsidRPr="00834149">
        <w:rPr>
          <w:rFonts w:cs="Times New Roman"/>
        </w:rPr>
        <w:t>Specific activities include a proposed Public Expenditure Rev</w:t>
      </w:r>
      <w:r w:rsidR="00FD73C4" w:rsidRPr="00834149">
        <w:rPr>
          <w:rFonts w:cs="Times New Roman"/>
        </w:rPr>
        <w:t>i</w:t>
      </w:r>
      <w:r w:rsidR="00C01A59" w:rsidRPr="00834149">
        <w:rPr>
          <w:rFonts w:cs="Times New Roman"/>
        </w:rPr>
        <w:t>ew (PER, FY</w:t>
      </w:r>
      <w:r w:rsidR="00A50A0A" w:rsidRPr="00834149">
        <w:rPr>
          <w:rFonts w:cs="Times New Roman"/>
        </w:rPr>
        <w:t>18</w:t>
      </w:r>
      <w:r w:rsidR="00C01A59" w:rsidRPr="00834149">
        <w:rPr>
          <w:rFonts w:cs="Times New Roman"/>
        </w:rPr>
        <w:t xml:space="preserve">), and the proposed Economic Governance TA operation </w:t>
      </w:r>
      <w:r w:rsidR="00FD73C4" w:rsidRPr="00834149">
        <w:rPr>
          <w:rFonts w:cs="Times New Roman"/>
        </w:rPr>
        <w:t>(</w:t>
      </w:r>
      <w:r w:rsidR="00D872AE" w:rsidRPr="00834149">
        <w:rPr>
          <w:rFonts w:cs="Times New Roman"/>
        </w:rPr>
        <w:t>Engagement Scenario 1</w:t>
      </w:r>
      <w:r w:rsidR="00FD73C4" w:rsidRPr="00834149">
        <w:rPr>
          <w:rFonts w:cs="Times New Roman"/>
        </w:rPr>
        <w:t>)</w:t>
      </w:r>
      <w:r w:rsidR="00D668C1" w:rsidRPr="00834149">
        <w:rPr>
          <w:rFonts w:cs="Times New Roman"/>
        </w:rPr>
        <w:t xml:space="preserve"> being prepared in coordination </w:t>
      </w:r>
      <w:r w:rsidR="00AB78CE" w:rsidRPr="00834149">
        <w:rPr>
          <w:rFonts w:cs="Times New Roman"/>
        </w:rPr>
        <w:t>with the EU’s economic governance program.</w:t>
      </w:r>
      <w:r w:rsidR="00A40C48" w:rsidRPr="00834149">
        <w:rPr>
          <w:rFonts w:cs="Times New Roman"/>
        </w:rPr>
        <w:t xml:space="preserve"> The CPF proposes an update of the SDIs in health and education in FY20.</w:t>
      </w:r>
    </w:p>
    <w:p w14:paraId="1BB7F018" w14:textId="295EF6DF" w:rsidR="0073444E" w:rsidRPr="00834149" w:rsidRDefault="0073444E" w:rsidP="00834149">
      <w:pPr>
        <w:pStyle w:val="ListParagraph"/>
        <w:ind w:left="0"/>
        <w:contextualSpacing w:val="0"/>
        <w:jc w:val="both"/>
        <w:rPr>
          <w:rFonts w:eastAsia="Times New Roman" w:cs="Times New Roman"/>
        </w:rPr>
      </w:pPr>
    </w:p>
    <w:p w14:paraId="5CA6DC97" w14:textId="65C152C1" w:rsidR="00A40C48" w:rsidRPr="00834149" w:rsidRDefault="00C06CEF" w:rsidP="00834149">
      <w:pPr>
        <w:pStyle w:val="ListParagraph"/>
        <w:numPr>
          <w:ilvl w:val="0"/>
          <w:numId w:val="2"/>
        </w:numPr>
        <w:ind w:left="0" w:firstLine="0"/>
        <w:contextualSpacing w:val="0"/>
        <w:jc w:val="both"/>
        <w:rPr>
          <w:rFonts w:cs="Times New Roman"/>
          <w:noProof/>
        </w:rPr>
      </w:pPr>
      <w:r w:rsidRPr="00834149">
        <w:rPr>
          <w:rFonts w:cs="Times New Roman"/>
          <w:b/>
          <w:noProof/>
        </w:rPr>
        <w:t xml:space="preserve">The </w:t>
      </w:r>
      <w:r w:rsidR="006A6B5F" w:rsidRPr="00834149">
        <w:rPr>
          <w:rFonts w:cs="Times New Roman"/>
          <w:b/>
          <w:noProof/>
        </w:rPr>
        <w:t xml:space="preserve">World </w:t>
      </w:r>
      <w:r w:rsidRPr="00834149">
        <w:rPr>
          <w:rFonts w:cs="Times New Roman"/>
          <w:b/>
          <w:noProof/>
        </w:rPr>
        <w:t>Bank will continue to update its knowledge on poverty during the CPF period and will prepare a programmatic poverty assessment, which would include a gender assessment</w:t>
      </w:r>
      <w:r w:rsidRPr="00834149">
        <w:rPr>
          <w:rFonts w:cs="Times New Roman"/>
          <w:noProof/>
        </w:rPr>
        <w:t>.</w:t>
      </w:r>
      <w:r w:rsidRPr="00834149">
        <w:rPr>
          <w:rFonts w:cs="Times New Roman"/>
          <w:b/>
          <w:noProof/>
        </w:rPr>
        <w:t xml:space="preserve"> </w:t>
      </w:r>
      <w:r w:rsidRPr="00834149">
        <w:rPr>
          <w:rFonts w:cs="Times New Roman"/>
          <w:noProof/>
        </w:rPr>
        <w:t xml:space="preserve">The </w:t>
      </w:r>
      <w:r w:rsidR="006A6B5F" w:rsidRPr="00834149">
        <w:rPr>
          <w:rFonts w:cs="Times New Roman"/>
          <w:noProof/>
        </w:rPr>
        <w:t xml:space="preserve">World </w:t>
      </w:r>
      <w:r w:rsidRPr="00834149">
        <w:rPr>
          <w:rFonts w:cs="Times New Roman"/>
          <w:noProof/>
        </w:rPr>
        <w:t>Bank will continue to provide support to the National Institute for Statistics and for Economic and Demographic Studies (INSEED) duri</w:t>
      </w:r>
      <w:r w:rsidR="00C01A59" w:rsidRPr="00834149">
        <w:rPr>
          <w:rFonts w:cs="Times New Roman"/>
          <w:noProof/>
        </w:rPr>
        <w:t>n</w:t>
      </w:r>
      <w:r w:rsidRPr="00834149">
        <w:rPr>
          <w:rFonts w:cs="Times New Roman"/>
          <w:noProof/>
        </w:rPr>
        <w:t>g the CPF period. INSEED completed a household survey in December 2015 (QUIBB) and a ba</w:t>
      </w:r>
      <w:r w:rsidR="00E35951" w:rsidRPr="00834149">
        <w:rPr>
          <w:rFonts w:cs="Times New Roman"/>
          <w:noProof/>
        </w:rPr>
        <w:t>s</w:t>
      </w:r>
      <w:r w:rsidRPr="00834149">
        <w:rPr>
          <w:rFonts w:cs="Times New Roman"/>
          <w:noProof/>
        </w:rPr>
        <w:t xml:space="preserve">eline survey on living conditions </w:t>
      </w:r>
      <w:r w:rsidR="00C01A59" w:rsidRPr="00834149">
        <w:rPr>
          <w:rFonts w:cs="Times New Roman"/>
          <w:noProof/>
        </w:rPr>
        <w:t>among</w:t>
      </w:r>
      <w:r w:rsidRPr="00834149">
        <w:rPr>
          <w:rFonts w:cs="Times New Roman"/>
          <w:noProof/>
        </w:rPr>
        <w:t xml:space="preserve"> households in Lomé and its agglomerati</w:t>
      </w:r>
      <w:r w:rsidR="00C01A59" w:rsidRPr="00834149">
        <w:rPr>
          <w:rFonts w:cs="Times New Roman"/>
          <w:noProof/>
        </w:rPr>
        <w:t>o</w:t>
      </w:r>
      <w:r w:rsidRPr="00834149">
        <w:rPr>
          <w:rFonts w:cs="Times New Roman"/>
          <w:noProof/>
        </w:rPr>
        <w:t>ns in 2014. A proposed Trust Fund for Statistical Capacity Building (TFSCB) would finance an employment observatory with INSEED and ANPE (the National Agency for Employment Promotion).</w:t>
      </w:r>
      <w:r w:rsidR="00AE5B4D" w:rsidRPr="00834149">
        <w:rPr>
          <w:rFonts w:cs="Times New Roman"/>
          <w:noProof/>
        </w:rPr>
        <w:t xml:space="preserve"> The results of the Gender Assessment would inform </w:t>
      </w:r>
      <w:r w:rsidR="006A6B5F" w:rsidRPr="00834149">
        <w:rPr>
          <w:rFonts w:cs="Times New Roman"/>
          <w:noProof/>
        </w:rPr>
        <w:t xml:space="preserve">World </w:t>
      </w:r>
      <w:r w:rsidR="00AE5B4D" w:rsidRPr="00834149">
        <w:rPr>
          <w:rFonts w:cs="Times New Roman"/>
          <w:noProof/>
        </w:rPr>
        <w:t>Bank interventions and any adustments to the CPF following the PLR.</w:t>
      </w:r>
    </w:p>
    <w:p w14:paraId="3D29192D" w14:textId="77777777" w:rsidR="00A40C48" w:rsidRPr="00834149" w:rsidRDefault="00A40C48" w:rsidP="00A50430">
      <w:pPr>
        <w:rPr>
          <w:rFonts w:cs="Times New Roman"/>
          <w:noProof/>
        </w:rPr>
      </w:pPr>
      <w:r w:rsidRPr="00834149">
        <w:rPr>
          <w:rFonts w:cs="Times New Roman"/>
          <w:noProof/>
        </w:rPr>
        <w:br w:type="page"/>
      </w:r>
    </w:p>
    <w:p w14:paraId="6478E3DB" w14:textId="0B583C11" w:rsidR="007C4E33" w:rsidRPr="00834149" w:rsidRDefault="00EF7768" w:rsidP="00A50430">
      <w:pPr>
        <w:pStyle w:val="Caption"/>
        <w:rPr>
          <w:rFonts w:cs="Times New Roman"/>
          <w:caps w:val="0"/>
          <w:sz w:val="22"/>
          <w:szCs w:val="22"/>
        </w:rPr>
      </w:pPr>
      <w:bookmarkStart w:id="27" w:name="_Toc480207655"/>
      <w:r w:rsidRPr="00834149">
        <w:rPr>
          <w:rFonts w:cs="Times New Roman"/>
          <w:caps w:val="0"/>
          <w:sz w:val="22"/>
          <w:szCs w:val="22"/>
        </w:rPr>
        <w:lastRenderedPageBreak/>
        <w:t xml:space="preserve">Box </w:t>
      </w:r>
      <w:r w:rsidRPr="00834149">
        <w:rPr>
          <w:rFonts w:cs="Times New Roman"/>
          <w:sz w:val="22"/>
          <w:szCs w:val="22"/>
        </w:rPr>
        <w:fldChar w:fldCharType="begin"/>
      </w:r>
      <w:r w:rsidRPr="00834149">
        <w:rPr>
          <w:rFonts w:cs="Times New Roman"/>
          <w:sz w:val="22"/>
          <w:szCs w:val="22"/>
        </w:rPr>
        <w:instrText xml:space="preserve"> SEQ Box \* ARABIC </w:instrText>
      </w:r>
      <w:r w:rsidRPr="00834149">
        <w:rPr>
          <w:rFonts w:cs="Times New Roman"/>
          <w:sz w:val="22"/>
          <w:szCs w:val="22"/>
        </w:rPr>
        <w:fldChar w:fldCharType="separate"/>
      </w:r>
      <w:r w:rsidR="000D6ABB">
        <w:rPr>
          <w:rFonts w:cs="Times New Roman"/>
          <w:noProof/>
          <w:sz w:val="22"/>
          <w:szCs w:val="22"/>
        </w:rPr>
        <w:t>2</w:t>
      </w:r>
      <w:r w:rsidRPr="00834149">
        <w:rPr>
          <w:rFonts w:cs="Times New Roman"/>
          <w:sz w:val="22"/>
          <w:szCs w:val="22"/>
        </w:rPr>
        <w:fldChar w:fldCharType="end"/>
      </w:r>
      <w:r w:rsidR="007C4E33" w:rsidRPr="00834149">
        <w:rPr>
          <w:rFonts w:cs="Times New Roman"/>
          <w:caps w:val="0"/>
          <w:sz w:val="22"/>
          <w:szCs w:val="22"/>
        </w:rPr>
        <w:t>. Service Delivery Indicators in Togo</w:t>
      </w:r>
      <w:bookmarkEnd w:id="27"/>
    </w:p>
    <w:p w14:paraId="03ABE700" w14:textId="5D678478" w:rsidR="003F399A" w:rsidRPr="00834149" w:rsidRDefault="007C4E33" w:rsidP="00834149">
      <w:pPr>
        <w:pBdr>
          <w:top w:val="double" w:sz="4" w:space="1" w:color="auto"/>
          <w:left w:val="double" w:sz="4" w:space="4" w:color="auto"/>
          <w:bottom w:val="double" w:sz="4" w:space="1" w:color="auto"/>
          <w:right w:val="double" w:sz="4" w:space="4" w:color="auto"/>
        </w:pBdr>
        <w:shd w:val="clear" w:color="auto" w:fill="F8F8F0" w:themeFill="background2" w:themeFillTint="33"/>
        <w:jc w:val="both"/>
        <w:rPr>
          <w:rFonts w:cs="Times New Roman"/>
        </w:rPr>
      </w:pPr>
      <w:r w:rsidRPr="00834149">
        <w:rPr>
          <w:rFonts w:cs="Times New Roman"/>
        </w:rPr>
        <w:t xml:space="preserve">An assessment of </w:t>
      </w:r>
      <w:r w:rsidR="003F7E9E" w:rsidRPr="00834149">
        <w:rPr>
          <w:rFonts w:cs="Times New Roman"/>
        </w:rPr>
        <w:t>s</w:t>
      </w:r>
      <w:r w:rsidR="003375F3" w:rsidRPr="00834149">
        <w:rPr>
          <w:rFonts w:cs="Times New Roman"/>
        </w:rPr>
        <w:t xml:space="preserve">ervice </w:t>
      </w:r>
      <w:r w:rsidR="003F7E9E" w:rsidRPr="00834149">
        <w:rPr>
          <w:rFonts w:cs="Times New Roman"/>
        </w:rPr>
        <w:t>d</w:t>
      </w:r>
      <w:r w:rsidR="003375F3" w:rsidRPr="00834149">
        <w:rPr>
          <w:rFonts w:cs="Times New Roman"/>
        </w:rPr>
        <w:t xml:space="preserve">elivery </w:t>
      </w:r>
      <w:r w:rsidR="003F7E9E" w:rsidRPr="00834149">
        <w:rPr>
          <w:rFonts w:cs="Times New Roman"/>
        </w:rPr>
        <w:t>i</w:t>
      </w:r>
      <w:r w:rsidR="003375F3" w:rsidRPr="00834149">
        <w:rPr>
          <w:rFonts w:cs="Times New Roman"/>
        </w:rPr>
        <w:t>ndicators</w:t>
      </w:r>
      <w:r w:rsidR="003F7E9E" w:rsidRPr="00834149">
        <w:rPr>
          <w:rFonts w:cs="Times New Roman"/>
        </w:rPr>
        <w:t xml:space="preserve"> (SDIs)</w:t>
      </w:r>
      <w:r w:rsidR="003375F3" w:rsidRPr="00834149">
        <w:rPr>
          <w:rFonts w:cs="Times New Roman"/>
        </w:rPr>
        <w:t xml:space="preserve"> was </w:t>
      </w:r>
      <w:r w:rsidRPr="00834149">
        <w:rPr>
          <w:rFonts w:cs="Times New Roman"/>
        </w:rPr>
        <w:t xml:space="preserve">undertaken in </w:t>
      </w:r>
      <w:r w:rsidR="003375F3" w:rsidRPr="00834149">
        <w:rPr>
          <w:rFonts w:cs="Times New Roman"/>
        </w:rPr>
        <w:t>2013</w:t>
      </w:r>
      <w:r w:rsidRPr="00834149">
        <w:rPr>
          <w:rFonts w:cs="Times New Roman"/>
        </w:rPr>
        <w:t xml:space="preserve"> and has influenced policy and knowledge in the Togo program</w:t>
      </w:r>
      <w:r w:rsidR="003375F3" w:rsidRPr="00834149">
        <w:rPr>
          <w:rFonts w:cs="Times New Roman"/>
        </w:rPr>
        <w:t xml:space="preserve">. </w:t>
      </w:r>
      <w:r w:rsidR="003F7E9E" w:rsidRPr="00834149">
        <w:rPr>
          <w:rFonts w:cs="Times New Roman"/>
        </w:rPr>
        <w:t xml:space="preserve">Based on the </w:t>
      </w:r>
      <w:r w:rsidRPr="00834149">
        <w:rPr>
          <w:rFonts w:cs="Times New Roman"/>
        </w:rPr>
        <w:t xml:space="preserve">revelation of </w:t>
      </w:r>
      <w:r w:rsidR="00C37201" w:rsidRPr="00834149">
        <w:rPr>
          <w:rFonts w:cs="Times New Roman"/>
        </w:rPr>
        <w:t>weak teacher content-</w:t>
      </w:r>
      <w:r w:rsidR="003375F3" w:rsidRPr="00834149">
        <w:rPr>
          <w:rFonts w:cs="Times New Roman"/>
        </w:rPr>
        <w:t>mastery</w:t>
      </w:r>
      <w:r w:rsidR="003F7E9E" w:rsidRPr="00834149">
        <w:rPr>
          <w:rFonts w:cs="Times New Roman"/>
        </w:rPr>
        <w:t>,</w:t>
      </w:r>
      <w:r w:rsidR="003375F3" w:rsidRPr="00834149">
        <w:rPr>
          <w:rFonts w:cs="Times New Roman"/>
        </w:rPr>
        <w:t xml:space="preserve"> </w:t>
      </w:r>
      <w:r w:rsidR="003F7E9E" w:rsidRPr="00834149">
        <w:rPr>
          <w:rFonts w:cs="Times New Roman"/>
        </w:rPr>
        <w:t xml:space="preserve">for example, </w:t>
      </w:r>
      <w:r w:rsidR="003375F3" w:rsidRPr="00834149">
        <w:rPr>
          <w:rFonts w:cs="Times New Roman"/>
        </w:rPr>
        <w:t>the Ministry of Education reform</w:t>
      </w:r>
      <w:r w:rsidR="003F7E9E" w:rsidRPr="00834149">
        <w:rPr>
          <w:rFonts w:cs="Times New Roman"/>
        </w:rPr>
        <w:t>ed</w:t>
      </w:r>
      <w:r w:rsidR="003375F3" w:rsidRPr="00834149">
        <w:rPr>
          <w:rFonts w:cs="Times New Roman"/>
        </w:rPr>
        <w:t xml:space="preserve"> its remedial training </w:t>
      </w:r>
      <w:r w:rsidR="00C37201" w:rsidRPr="00834149">
        <w:rPr>
          <w:rFonts w:cs="Times New Roman"/>
        </w:rPr>
        <w:t>for</w:t>
      </w:r>
      <w:r w:rsidR="003375F3" w:rsidRPr="00834149">
        <w:rPr>
          <w:rFonts w:cs="Times New Roman"/>
        </w:rPr>
        <w:t xml:space="preserve"> certain teacher categories in favor of primary-school content instead of more advanced pedagogical training. The results were </w:t>
      </w:r>
      <w:r w:rsidRPr="00834149">
        <w:rPr>
          <w:rFonts w:cs="Times New Roman"/>
        </w:rPr>
        <w:t xml:space="preserve">also </w:t>
      </w:r>
      <w:r w:rsidR="003375F3" w:rsidRPr="00834149">
        <w:rPr>
          <w:rFonts w:cs="Times New Roman"/>
        </w:rPr>
        <w:t xml:space="preserve">used in the SCD to highlight problems in </w:t>
      </w:r>
      <w:r w:rsidR="003F7E9E" w:rsidRPr="00834149">
        <w:rPr>
          <w:rFonts w:cs="Times New Roman"/>
        </w:rPr>
        <w:t>e</w:t>
      </w:r>
      <w:r w:rsidR="003375F3" w:rsidRPr="00834149">
        <w:rPr>
          <w:rFonts w:cs="Times New Roman"/>
        </w:rPr>
        <w:t xml:space="preserve">ducation and </w:t>
      </w:r>
      <w:r w:rsidR="003F7E9E" w:rsidRPr="00834149">
        <w:rPr>
          <w:rFonts w:cs="Times New Roman"/>
        </w:rPr>
        <w:t>h</w:t>
      </w:r>
      <w:r w:rsidR="003375F3" w:rsidRPr="00834149">
        <w:rPr>
          <w:rFonts w:cs="Times New Roman"/>
        </w:rPr>
        <w:t>ealth service delivery</w:t>
      </w:r>
      <w:r w:rsidRPr="00834149">
        <w:rPr>
          <w:rFonts w:cs="Times New Roman"/>
        </w:rPr>
        <w:t>,</w:t>
      </w:r>
      <w:r w:rsidR="003375F3" w:rsidRPr="00834149">
        <w:rPr>
          <w:rFonts w:cs="Times New Roman"/>
        </w:rPr>
        <w:t xml:space="preserve"> and now support the development of a </w:t>
      </w:r>
      <w:r w:rsidRPr="00834149">
        <w:rPr>
          <w:rFonts w:cs="Times New Roman"/>
        </w:rPr>
        <w:t>proposed</w:t>
      </w:r>
      <w:r w:rsidR="003375F3" w:rsidRPr="00834149">
        <w:rPr>
          <w:rFonts w:cs="Times New Roman"/>
        </w:rPr>
        <w:t xml:space="preserve"> </w:t>
      </w:r>
      <w:r w:rsidRPr="00834149">
        <w:rPr>
          <w:rFonts w:cs="Times New Roman"/>
        </w:rPr>
        <w:t>IDA h</w:t>
      </w:r>
      <w:r w:rsidR="003375F3" w:rsidRPr="00834149">
        <w:rPr>
          <w:rFonts w:cs="Times New Roman"/>
        </w:rPr>
        <w:t xml:space="preserve">ealth </w:t>
      </w:r>
      <w:r w:rsidRPr="00834149">
        <w:rPr>
          <w:rFonts w:cs="Times New Roman"/>
        </w:rPr>
        <w:t xml:space="preserve">sector </w:t>
      </w:r>
      <w:r w:rsidR="003375F3" w:rsidRPr="00834149">
        <w:rPr>
          <w:rFonts w:cs="Times New Roman"/>
        </w:rPr>
        <w:t>operation to address weaknesses among providers (absen</w:t>
      </w:r>
      <w:r w:rsidR="00C37201" w:rsidRPr="00834149">
        <w:rPr>
          <w:rFonts w:cs="Times New Roman"/>
        </w:rPr>
        <w:t>teeism</w:t>
      </w:r>
      <w:r w:rsidR="003375F3" w:rsidRPr="00834149">
        <w:rPr>
          <w:rFonts w:cs="Times New Roman"/>
        </w:rPr>
        <w:t xml:space="preserve">, diagnosis, and care) and facilities (drugs). There is the potential to carry out further SDI </w:t>
      </w:r>
      <w:r w:rsidR="00C37201" w:rsidRPr="00834149">
        <w:rPr>
          <w:rFonts w:cs="Times New Roman"/>
        </w:rPr>
        <w:t>evaluations</w:t>
      </w:r>
      <w:r w:rsidR="003375F3" w:rsidRPr="00834149">
        <w:rPr>
          <w:rFonts w:cs="Times New Roman"/>
        </w:rPr>
        <w:t xml:space="preserve"> to monitor progress and </w:t>
      </w:r>
      <w:r w:rsidR="00C37201" w:rsidRPr="00834149">
        <w:rPr>
          <w:rFonts w:cs="Times New Roman"/>
        </w:rPr>
        <w:t>cross-country comparisons</w:t>
      </w:r>
      <w:r w:rsidRPr="00834149">
        <w:rPr>
          <w:rFonts w:cs="Times New Roman"/>
        </w:rPr>
        <w:t>.</w:t>
      </w:r>
      <w:r w:rsidR="003375F3" w:rsidRPr="00834149">
        <w:rPr>
          <w:rFonts w:cs="Times New Roman"/>
        </w:rPr>
        <w:t xml:space="preserve"> </w:t>
      </w:r>
      <w:r w:rsidR="00D51E90" w:rsidRPr="00834149">
        <w:rPr>
          <w:rFonts w:cs="Times New Roman"/>
        </w:rPr>
        <w:t>A second round of SDIs in e</w:t>
      </w:r>
      <w:r w:rsidR="00E86AD6">
        <w:rPr>
          <w:rFonts w:cs="Times New Roman"/>
        </w:rPr>
        <w:t>ducation will be done under the CPF</w:t>
      </w:r>
      <w:r w:rsidRPr="00834149">
        <w:rPr>
          <w:rFonts w:cs="Times New Roman"/>
        </w:rPr>
        <w:t>.</w:t>
      </w:r>
    </w:p>
    <w:p w14:paraId="77A04B2B" w14:textId="77777777" w:rsidR="003F399A" w:rsidRPr="00834149" w:rsidRDefault="003F399A" w:rsidP="00A50430">
      <w:pPr>
        <w:pStyle w:val="ListParagraph"/>
        <w:ind w:left="0"/>
        <w:contextualSpacing w:val="0"/>
        <w:jc w:val="both"/>
        <w:rPr>
          <w:rFonts w:eastAsia="Times New Roman" w:cs="Times New Roman"/>
        </w:rPr>
      </w:pPr>
    </w:p>
    <w:p w14:paraId="7BF8E71C" w14:textId="55D600EA" w:rsidR="00A40C48" w:rsidRPr="00834149" w:rsidRDefault="00A40C48" w:rsidP="00A50430">
      <w:pPr>
        <w:jc w:val="both"/>
        <w:rPr>
          <w:rFonts w:cs="Times New Roman"/>
          <w:b/>
          <w:smallCaps/>
        </w:rPr>
      </w:pPr>
      <w:r w:rsidRPr="00834149">
        <w:rPr>
          <w:rFonts w:cs="Times New Roman"/>
          <w:b/>
          <w:smallCaps/>
        </w:rPr>
        <w:t>Objective 2.2: Improve Basic Services at the Local Level</w:t>
      </w:r>
    </w:p>
    <w:p w14:paraId="6766B59F" w14:textId="77777777" w:rsidR="00A40C48" w:rsidRPr="00834149" w:rsidRDefault="00A40C48" w:rsidP="00A50430">
      <w:pPr>
        <w:pStyle w:val="ListParagraph"/>
        <w:ind w:left="0"/>
        <w:contextualSpacing w:val="0"/>
        <w:jc w:val="both"/>
        <w:rPr>
          <w:rFonts w:eastAsia="Times New Roman" w:cs="Times New Roman"/>
        </w:rPr>
      </w:pPr>
    </w:p>
    <w:p w14:paraId="4F47C451" w14:textId="3EAAAA7E" w:rsidR="00FD73C4" w:rsidRPr="00834149" w:rsidRDefault="00A8254D" w:rsidP="00A50430">
      <w:pPr>
        <w:pStyle w:val="ListParagraph"/>
        <w:numPr>
          <w:ilvl w:val="0"/>
          <w:numId w:val="2"/>
        </w:numPr>
        <w:ind w:left="0" w:firstLine="0"/>
        <w:contextualSpacing w:val="0"/>
        <w:jc w:val="both"/>
        <w:rPr>
          <w:rFonts w:eastAsia="Times New Roman" w:cs="Times New Roman"/>
        </w:rPr>
      </w:pPr>
      <w:r w:rsidRPr="00834149">
        <w:rPr>
          <w:rFonts w:cs="Times New Roman"/>
          <w:b/>
        </w:rPr>
        <w:t xml:space="preserve">Both urban and rural areas face challenges in delivering </w:t>
      </w:r>
      <w:r w:rsidR="003F7E9E" w:rsidRPr="00834149">
        <w:rPr>
          <w:rFonts w:cs="Times New Roman"/>
          <w:b/>
        </w:rPr>
        <w:t xml:space="preserve">basic </w:t>
      </w:r>
      <w:r w:rsidRPr="00834149">
        <w:rPr>
          <w:rFonts w:cs="Times New Roman"/>
          <w:b/>
        </w:rPr>
        <w:t>services</w:t>
      </w:r>
      <w:r w:rsidRPr="00834149">
        <w:rPr>
          <w:rFonts w:cs="Times New Roman"/>
        </w:rPr>
        <w:t xml:space="preserve">. </w:t>
      </w:r>
      <w:r w:rsidR="006D2AB1" w:rsidRPr="00834149">
        <w:rPr>
          <w:rFonts w:cs="Times New Roman"/>
        </w:rPr>
        <w:t xml:space="preserve">Rural infrastructure is </w:t>
      </w:r>
      <w:r w:rsidR="00A60CC2" w:rsidRPr="00834149">
        <w:rPr>
          <w:rFonts w:cs="Times New Roman"/>
        </w:rPr>
        <w:t xml:space="preserve">particularly </w:t>
      </w:r>
      <w:r w:rsidR="006D2AB1" w:rsidRPr="00834149">
        <w:rPr>
          <w:rFonts w:cs="Times New Roman"/>
        </w:rPr>
        <w:t>scarce</w:t>
      </w:r>
      <w:r w:rsidR="003F7E9E" w:rsidRPr="00834149">
        <w:rPr>
          <w:rFonts w:cs="Times New Roman"/>
        </w:rPr>
        <w:t xml:space="preserve"> and</w:t>
      </w:r>
      <w:r w:rsidR="006D2AB1" w:rsidRPr="00834149">
        <w:rPr>
          <w:rFonts w:cs="Times New Roman"/>
        </w:rPr>
        <w:t xml:space="preserve"> poorly maintained</w:t>
      </w:r>
      <w:r w:rsidR="003F7E9E" w:rsidRPr="00834149">
        <w:rPr>
          <w:rFonts w:cs="Times New Roman"/>
        </w:rPr>
        <w:t>, thus constraining</w:t>
      </w:r>
      <w:r w:rsidR="006D2AB1" w:rsidRPr="00834149">
        <w:rPr>
          <w:rFonts w:cs="Times New Roman"/>
        </w:rPr>
        <w:t xml:space="preserve"> growth and poverty reduction. </w:t>
      </w:r>
      <w:r w:rsidRPr="00834149">
        <w:rPr>
          <w:rFonts w:cs="Times New Roman"/>
        </w:rPr>
        <w:t xml:space="preserve">Urban infrastructure services are under pressure as urban centers grow beyond their means to deliver </w:t>
      </w:r>
      <w:r w:rsidR="00A40C48" w:rsidRPr="00834149">
        <w:rPr>
          <w:rFonts w:cs="Times New Roman"/>
        </w:rPr>
        <w:t xml:space="preserve">adequate </w:t>
      </w:r>
      <w:r w:rsidRPr="00834149">
        <w:rPr>
          <w:rFonts w:cs="Times New Roman"/>
        </w:rPr>
        <w:t xml:space="preserve">services. </w:t>
      </w:r>
      <w:r w:rsidR="00FC4A52" w:rsidRPr="00834149">
        <w:rPr>
          <w:rFonts w:cs="Times New Roman"/>
        </w:rPr>
        <w:t xml:space="preserve">Togo’s </w:t>
      </w:r>
      <w:r w:rsidR="00931EC9" w:rsidRPr="00834149">
        <w:rPr>
          <w:rFonts w:cs="Times New Roman"/>
        </w:rPr>
        <w:t xml:space="preserve">urban </w:t>
      </w:r>
      <w:r w:rsidR="00FC4A52" w:rsidRPr="00834149">
        <w:rPr>
          <w:rFonts w:cs="Times New Roman"/>
        </w:rPr>
        <w:t xml:space="preserve">population is projected to reach </w:t>
      </w:r>
      <w:r w:rsidR="00931EC9" w:rsidRPr="00834149">
        <w:rPr>
          <w:rFonts w:cs="Times New Roman"/>
        </w:rPr>
        <w:t xml:space="preserve">50 percent of the total projected population of </w:t>
      </w:r>
      <w:r w:rsidR="00FC4A52" w:rsidRPr="00834149">
        <w:rPr>
          <w:rFonts w:cs="Times New Roman"/>
        </w:rPr>
        <w:t>10 million by 2030</w:t>
      </w:r>
      <w:r w:rsidR="00931EC9" w:rsidRPr="00834149">
        <w:rPr>
          <w:rFonts w:cs="Times New Roman"/>
        </w:rPr>
        <w:t>,</w:t>
      </w:r>
      <w:r w:rsidR="003F7E9E" w:rsidRPr="00834149">
        <w:rPr>
          <w:rFonts w:cs="Times New Roman"/>
        </w:rPr>
        <w:t xml:space="preserve"> but</w:t>
      </w:r>
      <w:r w:rsidR="00931EC9" w:rsidRPr="00834149">
        <w:rPr>
          <w:rFonts w:cs="Times New Roman"/>
        </w:rPr>
        <w:t xml:space="preserve"> most urban centers </w:t>
      </w:r>
      <w:r w:rsidR="00FC4A52" w:rsidRPr="00834149">
        <w:rPr>
          <w:rFonts w:cs="Times New Roman"/>
        </w:rPr>
        <w:t xml:space="preserve">lack the ability to mobilize resources to provide services, and public investment in urban infrastructure </w:t>
      </w:r>
      <w:r w:rsidR="00931EC9" w:rsidRPr="00834149">
        <w:rPr>
          <w:rFonts w:cs="Times New Roman"/>
        </w:rPr>
        <w:t>over the past</w:t>
      </w:r>
      <w:r w:rsidR="00FC4A52" w:rsidRPr="00834149">
        <w:rPr>
          <w:rFonts w:cs="Times New Roman"/>
        </w:rPr>
        <w:t xml:space="preserve"> five years represents less than US$3 per capita. </w:t>
      </w:r>
      <w:r w:rsidR="00A37E3F" w:rsidRPr="00834149">
        <w:rPr>
          <w:rFonts w:cs="Times New Roman"/>
        </w:rPr>
        <w:t xml:space="preserve">Togo’s secondary cities </w:t>
      </w:r>
      <w:r w:rsidR="00931EC9" w:rsidRPr="00834149">
        <w:rPr>
          <w:rFonts w:cs="Times New Roman"/>
        </w:rPr>
        <w:t xml:space="preserve">and rural areas </w:t>
      </w:r>
      <w:r w:rsidR="00A37E3F" w:rsidRPr="00834149">
        <w:rPr>
          <w:rFonts w:cs="Times New Roman"/>
        </w:rPr>
        <w:t xml:space="preserve">require urgent investments to provide basic </w:t>
      </w:r>
      <w:r w:rsidR="00931EC9" w:rsidRPr="00834149">
        <w:rPr>
          <w:rFonts w:cs="Times New Roman"/>
        </w:rPr>
        <w:t xml:space="preserve">infrastructure and social </w:t>
      </w:r>
      <w:r w:rsidR="00A37E3F" w:rsidRPr="00834149">
        <w:rPr>
          <w:rFonts w:cs="Times New Roman"/>
        </w:rPr>
        <w:t>services</w:t>
      </w:r>
      <w:r w:rsidR="00931EC9" w:rsidRPr="00834149">
        <w:rPr>
          <w:rFonts w:cs="Times New Roman"/>
        </w:rPr>
        <w:t xml:space="preserve"> </w:t>
      </w:r>
      <w:r w:rsidR="00A37E3F" w:rsidRPr="00834149">
        <w:rPr>
          <w:rFonts w:cs="Times New Roman"/>
        </w:rPr>
        <w:t xml:space="preserve">and ensure </w:t>
      </w:r>
      <w:r w:rsidR="003F7E9E" w:rsidRPr="00834149">
        <w:rPr>
          <w:rFonts w:cs="Times New Roman"/>
        </w:rPr>
        <w:t xml:space="preserve">the </w:t>
      </w:r>
      <w:r w:rsidR="000E0A8C" w:rsidRPr="00834149">
        <w:rPr>
          <w:rFonts w:cs="Times New Roman"/>
        </w:rPr>
        <w:t>spatially balanced</w:t>
      </w:r>
      <w:r w:rsidR="00C84D96" w:rsidRPr="00834149">
        <w:rPr>
          <w:rFonts w:cs="Times New Roman"/>
        </w:rPr>
        <w:t xml:space="preserve"> development</w:t>
      </w:r>
      <w:r w:rsidR="003F7E9E" w:rsidRPr="00834149">
        <w:rPr>
          <w:rFonts w:cs="Times New Roman"/>
        </w:rPr>
        <w:t xml:space="preserve"> </w:t>
      </w:r>
      <w:r w:rsidR="00C84D96" w:rsidRPr="00834149">
        <w:rPr>
          <w:rFonts w:cs="Times New Roman"/>
        </w:rPr>
        <w:t xml:space="preserve">of </w:t>
      </w:r>
      <w:r w:rsidR="00FC4A52" w:rsidRPr="00834149">
        <w:rPr>
          <w:rFonts w:cs="Times New Roman"/>
        </w:rPr>
        <w:t>the country</w:t>
      </w:r>
      <w:r w:rsidR="00A37E3F" w:rsidRPr="00834149">
        <w:rPr>
          <w:rFonts w:cs="Times New Roman"/>
        </w:rPr>
        <w:t>.</w:t>
      </w:r>
      <w:r w:rsidR="00A60CC2" w:rsidRPr="00834149">
        <w:rPr>
          <w:rFonts w:cs="Times New Roman"/>
        </w:rPr>
        <w:t xml:space="preserve"> </w:t>
      </w:r>
      <w:r w:rsidR="003F7E9E" w:rsidRPr="00834149">
        <w:rPr>
          <w:rFonts w:cs="Times New Roman"/>
        </w:rPr>
        <w:t xml:space="preserve">Access to potable water is a particular challenge in rural areas, where less than 50 percent of the population has access. </w:t>
      </w:r>
      <w:r w:rsidR="00A60CC2" w:rsidRPr="00834149">
        <w:rPr>
          <w:rFonts w:cs="Times New Roman"/>
        </w:rPr>
        <w:t xml:space="preserve">While the </w:t>
      </w:r>
      <w:r w:rsidR="000F5595" w:rsidRPr="00834149">
        <w:rPr>
          <w:rFonts w:cs="Times New Roman"/>
        </w:rPr>
        <w:t>G</w:t>
      </w:r>
      <w:r w:rsidR="00A60CC2" w:rsidRPr="00834149">
        <w:rPr>
          <w:rFonts w:cs="Times New Roman"/>
        </w:rPr>
        <w:t>overnment has put a particular emphasis on upgrading and rehabilitating key transport</w:t>
      </w:r>
      <w:r w:rsidR="002A52CE" w:rsidRPr="00834149">
        <w:rPr>
          <w:rFonts w:cs="Times New Roman"/>
        </w:rPr>
        <w:t>-</w:t>
      </w:r>
      <w:r w:rsidR="00A60CC2" w:rsidRPr="00834149">
        <w:rPr>
          <w:rFonts w:cs="Times New Roman"/>
        </w:rPr>
        <w:t>related infrastructure, other basic infrastructure has received less attention. Faced with infrastructure investment constraints during the CPF</w:t>
      </w:r>
      <w:r w:rsidR="002A52CE" w:rsidRPr="00834149">
        <w:rPr>
          <w:rFonts w:cs="Times New Roman"/>
        </w:rPr>
        <w:t xml:space="preserve"> period,</w:t>
      </w:r>
      <w:r w:rsidR="000D0D0E" w:rsidRPr="00834149">
        <w:rPr>
          <w:rFonts w:cs="Times New Roman"/>
        </w:rPr>
        <w:t xml:space="preserve"> including weak institutional and human resources capacity</w:t>
      </w:r>
      <w:r w:rsidR="002A52CE" w:rsidRPr="00834149">
        <w:rPr>
          <w:rFonts w:cs="Times New Roman"/>
        </w:rPr>
        <w:t>,</w:t>
      </w:r>
      <w:r w:rsidR="000D0D0E" w:rsidRPr="00834149">
        <w:rPr>
          <w:rFonts w:cs="Times New Roman"/>
        </w:rPr>
        <w:t xml:space="preserve"> </w:t>
      </w:r>
      <w:r w:rsidR="00A60CC2" w:rsidRPr="00834149">
        <w:rPr>
          <w:rFonts w:cs="Times New Roman"/>
        </w:rPr>
        <w:t>Togo</w:t>
      </w:r>
      <w:r w:rsidR="000D0D0E" w:rsidRPr="00834149">
        <w:rPr>
          <w:rFonts w:cs="Times New Roman"/>
        </w:rPr>
        <w:t xml:space="preserve"> </w:t>
      </w:r>
      <w:r w:rsidR="00A60CC2" w:rsidRPr="00834149">
        <w:rPr>
          <w:rFonts w:cs="Times New Roman"/>
        </w:rPr>
        <w:t xml:space="preserve">will need significant support in this area, including infrastructure </w:t>
      </w:r>
      <w:r w:rsidR="002A52CE" w:rsidRPr="00834149">
        <w:rPr>
          <w:rFonts w:cs="Times New Roman"/>
        </w:rPr>
        <w:t xml:space="preserve">improvements </w:t>
      </w:r>
      <w:r w:rsidR="00A60CC2" w:rsidRPr="00834149">
        <w:rPr>
          <w:rFonts w:cs="Times New Roman"/>
        </w:rPr>
        <w:t>at regional and local levels</w:t>
      </w:r>
      <w:r w:rsidR="00A60CC2" w:rsidRPr="00834149">
        <w:rPr>
          <w:rFonts w:cs="Times New Roman"/>
          <w:color w:val="2F2B20" w:themeColor="text1"/>
        </w:rPr>
        <w:t>.</w:t>
      </w:r>
    </w:p>
    <w:p w14:paraId="76A94F26" w14:textId="0F433DDB" w:rsidR="00A319C2" w:rsidRPr="00834149" w:rsidRDefault="000D0D0E" w:rsidP="00A50430">
      <w:pPr>
        <w:pStyle w:val="ListParagraph"/>
        <w:ind w:left="0"/>
        <w:contextualSpacing w:val="0"/>
        <w:jc w:val="both"/>
        <w:rPr>
          <w:rFonts w:eastAsia="Times New Roman" w:cs="Times New Roman"/>
        </w:rPr>
      </w:pPr>
      <w:r w:rsidRPr="00834149">
        <w:rPr>
          <w:rFonts w:cs="Times New Roman"/>
          <w:color w:val="2F2B20" w:themeColor="text1"/>
        </w:rPr>
        <w:t xml:space="preserve"> </w:t>
      </w:r>
    </w:p>
    <w:p w14:paraId="7006376E" w14:textId="351F9F82" w:rsidR="0042298F" w:rsidRPr="00834149" w:rsidRDefault="00A319C2" w:rsidP="00834149">
      <w:pPr>
        <w:pStyle w:val="ListParagraph"/>
        <w:numPr>
          <w:ilvl w:val="0"/>
          <w:numId w:val="2"/>
        </w:numPr>
        <w:ind w:left="0" w:firstLine="0"/>
        <w:contextualSpacing w:val="0"/>
        <w:jc w:val="both"/>
        <w:rPr>
          <w:rFonts w:eastAsia="Times New Roman" w:cs="Times New Roman"/>
        </w:rPr>
      </w:pPr>
      <w:r w:rsidRPr="00834149">
        <w:rPr>
          <w:rFonts w:cs="Times New Roman"/>
          <w:b/>
        </w:rPr>
        <w:t xml:space="preserve">The </w:t>
      </w:r>
      <w:r w:rsidR="00FD73C4" w:rsidRPr="00834149">
        <w:rPr>
          <w:rFonts w:cs="Times New Roman"/>
          <w:b/>
        </w:rPr>
        <w:t xml:space="preserve">CPF will </w:t>
      </w:r>
      <w:r w:rsidR="00BD5125" w:rsidRPr="00834149">
        <w:rPr>
          <w:rFonts w:cs="Times New Roman"/>
          <w:b/>
        </w:rPr>
        <w:t xml:space="preserve">scale up support for delivering </w:t>
      </w:r>
      <w:r w:rsidRPr="00834149">
        <w:rPr>
          <w:rFonts w:cs="Times New Roman"/>
          <w:b/>
        </w:rPr>
        <w:t xml:space="preserve">basic infrastructure services </w:t>
      </w:r>
      <w:r w:rsidR="00BD5125" w:rsidRPr="00834149">
        <w:rPr>
          <w:rFonts w:cs="Times New Roman"/>
          <w:b/>
        </w:rPr>
        <w:t>at the local and regional levels using participatory, bottom-up approaches.</w:t>
      </w:r>
      <w:r w:rsidR="00EB3028" w:rsidRPr="00834149">
        <w:rPr>
          <w:rFonts w:cs="Times New Roman"/>
        </w:rPr>
        <w:t xml:space="preserve"> </w:t>
      </w:r>
      <w:r w:rsidR="00BD5125" w:rsidRPr="00834149">
        <w:rPr>
          <w:rFonts w:cs="Times New Roman"/>
        </w:rPr>
        <w:t xml:space="preserve">The Safety Nets </w:t>
      </w:r>
      <w:r w:rsidR="006C1EB2">
        <w:rPr>
          <w:rFonts w:cs="Times New Roman"/>
        </w:rPr>
        <w:t xml:space="preserve">and Basic Services </w:t>
      </w:r>
      <w:r w:rsidR="00BD5125" w:rsidRPr="00834149">
        <w:rPr>
          <w:rFonts w:cs="Times New Roman"/>
        </w:rPr>
        <w:t xml:space="preserve">Project (FY17) will support a national program to deliver rural community-level health, education, and basic infrastructure services—including small water works and rural roads, using </w:t>
      </w:r>
      <w:r w:rsidR="008221D1" w:rsidRPr="00834149">
        <w:rPr>
          <w:rFonts w:cs="Times New Roman"/>
        </w:rPr>
        <w:t>CDD</w:t>
      </w:r>
      <w:r w:rsidR="00BD5125" w:rsidRPr="00834149">
        <w:rPr>
          <w:rFonts w:cs="Times New Roman"/>
        </w:rPr>
        <w:t xml:space="preserve"> approaches. </w:t>
      </w:r>
      <w:r w:rsidR="00EB3028" w:rsidRPr="00834149">
        <w:rPr>
          <w:rFonts w:cs="Times New Roman"/>
        </w:rPr>
        <w:t xml:space="preserve">IDA will support infrastructure services in secondary cities and build capacity of central and local governments to better manage urban development and urban service delivery under a proposed Urban Infrastructure Project (PIU) in FY18. In parallel, the </w:t>
      </w:r>
      <w:r w:rsidR="006A6B5F" w:rsidRPr="00834149">
        <w:rPr>
          <w:rFonts w:cs="Times New Roman"/>
        </w:rPr>
        <w:t xml:space="preserve">World </w:t>
      </w:r>
      <w:r w:rsidR="00EB3028" w:rsidRPr="00834149">
        <w:rPr>
          <w:rFonts w:cs="Times New Roman"/>
        </w:rPr>
        <w:t>Bank will prepare</w:t>
      </w:r>
      <w:r w:rsidR="00EB3028" w:rsidRPr="00834149">
        <w:rPr>
          <w:rFonts w:cs="Times New Roman"/>
          <w:b/>
        </w:rPr>
        <w:t xml:space="preserve"> </w:t>
      </w:r>
      <w:r w:rsidR="00EB3028" w:rsidRPr="00834149">
        <w:rPr>
          <w:rFonts w:cs="Times New Roman"/>
        </w:rPr>
        <w:t>a</w:t>
      </w:r>
      <w:r w:rsidR="00FD73C4" w:rsidRPr="00834149">
        <w:rPr>
          <w:rFonts w:cs="Times New Roman"/>
        </w:rPr>
        <w:t xml:space="preserve"> </w:t>
      </w:r>
      <w:r w:rsidR="00AB2B48" w:rsidRPr="00834149">
        <w:rPr>
          <w:rFonts w:cs="Times New Roman"/>
        </w:rPr>
        <w:t xml:space="preserve">diagnostic </w:t>
      </w:r>
      <w:r w:rsidR="00FD73C4" w:rsidRPr="00834149">
        <w:rPr>
          <w:rFonts w:cs="Times New Roman"/>
        </w:rPr>
        <w:t xml:space="preserve">on decentralized public services </w:t>
      </w:r>
      <w:r w:rsidR="00A60CC2" w:rsidRPr="00834149">
        <w:rPr>
          <w:rFonts w:cs="Times New Roman"/>
        </w:rPr>
        <w:t>(FY18)</w:t>
      </w:r>
      <w:r w:rsidR="00EB3028" w:rsidRPr="00834149">
        <w:rPr>
          <w:rFonts w:cs="Times New Roman"/>
        </w:rPr>
        <w:t>.</w:t>
      </w:r>
      <w:r w:rsidR="00A60CC2" w:rsidRPr="00834149">
        <w:rPr>
          <w:rFonts w:cs="Times New Roman"/>
        </w:rPr>
        <w:t xml:space="preserve"> </w:t>
      </w:r>
      <w:r w:rsidR="00EB3028" w:rsidRPr="00834149">
        <w:rPr>
          <w:rFonts w:cs="Times New Roman"/>
        </w:rPr>
        <w:t xml:space="preserve">The PIU and diagnostic work </w:t>
      </w:r>
      <w:r w:rsidR="00AB2B48" w:rsidRPr="00834149">
        <w:rPr>
          <w:rFonts w:cs="Times New Roman"/>
        </w:rPr>
        <w:t xml:space="preserve">would inform </w:t>
      </w:r>
      <w:r w:rsidR="00EB3028" w:rsidRPr="00834149">
        <w:rPr>
          <w:rFonts w:cs="Times New Roman"/>
        </w:rPr>
        <w:t xml:space="preserve">an </w:t>
      </w:r>
      <w:r w:rsidR="007D24C9" w:rsidRPr="00834149">
        <w:rPr>
          <w:rFonts w:cs="Times New Roman"/>
        </w:rPr>
        <w:t>IDA</w:t>
      </w:r>
      <w:r w:rsidR="00AB2B48" w:rsidRPr="00834149">
        <w:rPr>
          <w:rFonts w:cs="Times New Roman"/>
        </w:rPr>
        <w:t xml:space="preserve"> </w:t>
      </w:r>
      <w:r w:rsidR="00EB3028" w:rsidRPr="00834149">
        <w:rPr>
          <w:rFonts w:cs="Times New Roman"/>
        </w:rPr>
        <w:t>operation</w:t>
      </w:r>
      <w:r w:rsidR="0066688B" w:rsidRPr="00834149">
        <w:rPr>
          <w:rFonts w:cs="Times New Roman"/>
        </w:rPr>
        <w:t xml:space="preserve"> (</w:t>
      </w:r>
      <w:r w:rsidR="009A7476" w:rsidRPr="00834149">
        <w:rPr>
          <w:rFonts w:cs="Times New Roman"/>
        </w:rPr>
        <w:t>Quality Public</w:t>
      </w:r>
      <w:r w:rsidR="0066688B" w:rsidRPr="00834149">
        <w:rPr>
          <w:rFonts w:cs="Times New Roman"/>
        </w:rPr>
        <w:t xml:space="preserve"> Service</w:t>
      </w:r>
      <w:r w:rsidR="006C1EB2">
        <w:rPr>
          <w:rFonts w:cs="Times New Roman"/>
        </w:rPr>
        <w:t>s</w:t>
      </w:r>
      <w:r w:rsidR="0066688B" w:rsidRPr="00834149">
        <w:rPr>
          <w:rFonts w:cs="Times New Roman"/>
        </w:rPr>
        <w:t xml:space="preserve">) </w:t>
      </w:r>
      <w:r w:rsidR="00EB3028" w:rsidRPr="00834149">
        <w:rPr>
          <w:rFonts w:cs="Times New Roman"/>
        </w:rPr>
        <w:t xml:space="preserve">in the latter years of the CPF to scale up the PIU </w:t>
      </w:r>
      <w:r w:rsidR="008C688E" w:rsidRPr="00834149">
        <w:rPr>
          <w:rFonts w:cs="Times New Roman"/>
        </w:rPr>
        <w:t xml:space="preserve">and </w:t>
      </w:r>
      <w:r w:rsidR="00EB3028" w:rsidRPr="00834149">
        <w:rPr>
          <w:rFonts w:cs="Times New Roman"/>
        </w:rPr>
        <w:t>to further</w:t>
      </w:r>
      <w:r w:rsidR="00AB2B48" w:rsidRPr="00834149">
        <w:rPr>
          <w:rFonts w:cs="Times New Roman"/>
        </w:rPr>
        <w:t xml:space="preserve"> </w:t>
      </w:r>
      <w:r w:rsidR="000D0D0E" w:rsidRPr="00834149">
        <w:rPr>
          <w:rFonts w:cs="Times New Roman"/>
        </w:rPr>
        <w:t xml:space="preserve">build </w:t>
      </w:r>
      <w:r w:rsidR="00A60CC2" w:rsidRPr="00834149">
        <w:rPr>
          <w:rFonts w:cs="Times New Roman"/>
        </w:rPr>
        <w:t xml:space="preserve">capacity for effective investment planning, intergovernmental financing, budget execution, decentralization of core sector service responsibilities, and citizen feedback on key services, while reinforcing transparency. </w:t>
      </w:r>
      <w:r w:rsidR="00EB3028" w:rsidRPr="00834149">
        <w:rPr>
          <w:rFonts w:cs="Times New Roman"/>
        </w:rPr>
        <w:t xml:space="preserve">The PIU </w:t>
      </w:r>
      <w:r w:rsidR="00950DB7" w:rsidRPr="00834149">
        <w:rPr>
          <w:rFonts w:cs="Times New Roman"/>
        </w:rPr>
        <w:t xml:space="preserve">operation is coordinated </w:t>
      </w:r>
      <w:r w:rsidR="00A7407C" w:rsidRPr="00834149">
        <w:rPr>
          <w:rFonts w:cs="Times New Roman"/>
        </w:rPr>
        <w:t xml:space="preserve">closely </w:t>
      </w:r>
      <w:r w:rsidR="00950DB7" w:rsidRPr="00834149">
        <w:rPr>
          <w:rFonts w:cs="Times New Roman"/>
        </w:rPr>
        <w:t>with the EU and AFD</w:t>
      </w:r>
      <w:r w:rsidR="002A52CE" w:rsidRPr="00834149">
        <w:rPr>
          <w:rFonts w:cs="Times New Roman"/>
        </w:rPr>
        <w:t>,</w:t>
      </w:r>
      <w:r w:rsidR="00950DB7" w:rsidRPr="00834149">
        <w:rPr>
          <w:rFonts w:cs="Times New Roman"/>
        </w:rPr>
        <w:t xml:space="preserve"> which are financing water and sanitation components. KFW will focus on capacity</w:t>
      </w:r>
      <w:r w:rsidR="002A52CE" w:rsidRPr="00834149">
        <w:rPr>
          <w:rFonts w:cs="Times New Roman"/>
        </w:rPr>
        <w:t xml:space="preserve"> </w:t>
      </w:r>
      <w:r w:rsidR="00950DB7" w:rsidRPr="00834149">
        <w:rPr>
          <w:rFonts w:cs="Times New Roman"/>
        </w:rPr>
        <w:t>building.</w:t>
      </w:r>
    </w:p>
    <w:p w14:paraId="6A22059A" w14:textId="77777777" w:rsidR="00BF4BBC" w:rsidRPr="00834149" w:rsidRDefault="00BF4BBC" w:rsidP="00834149">
      <w:pPr>
        <w:pStyle w:val="ListParagraph"/>
        <w:ind w:left="0"/>
        <w:contextualSpacing w:val="0"/>
        <w:jc w:val="both"/>
        <w:rPr>
          <w:rFonts w:eastAsia="Times New Roman" w:cs="Times New Roman"/>
        </w:rPr>
      </w:pPr>
    </w:p>
    <w:p w14:paraId="34A7CE9B" w14:textId="19371E4A" w:rsidR="008C59E5" w:rsidRDefault="00AF7C26" w:rsidP="00834149">
      <w:pPr>
        <w:pStyle w:val="ListParagraph"/>
        <w:numPr>
          <w:ilvl w:val="0"/>
          <w:numId w:val="2"/>
        </w:numPr>
        <w:ind w:left="0" w:firstLine="0"/>
        <w:contextualSpacing w:val="0"/>
        <w:jc w:val="both"/>
        <w:rPr>
          <w:rFonts w:cs="Times New Roman"/>
        </w:rPr>
      </w:pPr>
      <w:r w:rsidRPr="00834149">
        <w:rPr>
          <w:rFonts w:cs="Times New Roman"/>
          <w:b/>
        </w:rPr>
        <w:t>The World Bank will support institutional strengthening of the water supply sector in Togo to</w:t>
      </w:r>
      <w:r w:rsidR="0053334E" w:rsidRPr="00834149">
        <w:rPr>
          <w:rFonts w:cs="Times New Roman"/>
          <w:b/>
        </w:rPr>
        <w:t xml:space="preserve"> help </w:t>
      </w:r>
      <w:r w:rsidRPr="00834149">
        <w:rPr>
          <w:rFonts w:cs="Times New Roman"/>
          <w:b/>
        </w:rPr>
        <w:t>implement</w:t>
      </w:r>
      <w:r w:rsidR="0053334E" w:rsidRPr="00834149">
        <w:rPr>
          <w:rFonts w:cs="Times New Roman"/>
          <w:b/>
        </w:rPr>
        <w:t xml:space="preserve"> the</w:t>
      </w:r>
      <w:r w:rsidRPr="00834149">
        <w:rPr>
          <w:rFonts w:cs="Times New Roman"/>
          <w:b/>
        </w:rPr>
        <w:t xml:space="preserve"> recommendations of the Togo Ur</w:t>
      </w:r>
      <w:r w:rsidR="0053334E" w:rsidRPr="00834149">
        <w:rPr>
          <w:rFonts w:cs="Times New Roman"/>
          <w:b/>
        </w:rPr>
        <w:t>ban Water Supply Sector (FY</w:t>
      </w:r>
      <w:r w:rsidR="00E52778" w:rsidRPr="00834149">
        <w:rPr>
          <w:rFonts w:cs="Times New Roman"/>
          <w:b/>
        </w:rPr>
        <w:t>20</w:t>
      </w:r>
      <w:r w:rsidR="0053334E" w:rsidRPr="00834149">
        <w:rPr>
          <w:rFonts w:cs="Times New Roman"/>
          <w:b/>
        </w:rPr>
        <w:t xml:space="preserve">15), through </w:t>
      </w:r>
      <w:r w:rsidRPr="00834149">
        <w:rPr>
          <w:rFonts w:cs="Times New Roman"/>
          <w:b/>
        </w:rPr>
        <w:t>a grant from the Water Supply Partnership (FY</w:t>
      </w:r>
      <w:r w:rsidR="007E692B" w:rsidRPr="00834149">
        <w:rPr>
          <w:rFonts w:cs="Times New Roman"/>
          <w:b/>
        </w:rPr>
        <w:t>20</w:t>
      </w:r>
      <w:r w:rsidRPr="00834149">
        <w:rPr>
          <w:rFonts w:cs="Times New Roman"/>
          <w:b/>
        </w:rPr>
        <w:t>17)</w:t>
      </w:r>
      <w:r w:rsidR="0053334E" w:rsidRPr="00834149">
        <w:rPr>
          <w:rFonts w:cs="Times New Roman"/>
        </w:rPr>
        <w:t xml:space="preserve">. The </w:t>
      </w:r>
      <w:r w:rsidRPr="00834149">
        <w:rPr>
          <w:rFonts w:cs="Times New Roman"/>
        </w:rPr>
        <w:t xml:space="preserve">TA </w:t>
      </w:r>
      <w:r w:rsidR="0053334E" w:rsidRPr="00834149">
        <w:rPr>
          <w:rFonts w:cs="Times New Roman"/>
        </w:rPr>
        <w:t xml:space="preserve">will </w:t>
      </w:r>
      <w:r w:rsidRPr="00834149">
        <w:rPr>
          <w:rFonts w:cs="Times New Roman"/>
        </w:rPr>
        <w:t xml:space="preserve">strengthen and facilitate the implementation of a new contractual framework for the urban water sector, including an innovative </w:t>
      </w:r>
      <w:r w:rsidR="007E692B" w:rsidRPr="00834149">
        <w:rPr>
          <w:rFonts w:cs="Times New Roman"/>
        </w:rPr>
        <w:t xml:space="preserve">PPP </w:t>
      </w:r>
      <w:r w:rsidRPr="00834149">
        <w:rPr>
          <w:rFonts w:cs="Times New Roman"/>
        </w:rPr>
        <w:t xml:space="preserve">between the </w:t>
      </w:r>
      <w:r w:rsidR="000F5595" w:rsidRPr="00834149">
        <w:rPr>
          <w:rFonts w:cs="Times New Roman"/>
        </w:rPr>
        <w:t>G</w:t>
      </w:r>
      <w:r w:rsidRPr="00834149">
        <w:rPr>
          <w:rFonts w:cs="Times New Roman"/>
        </w:rPr>
        <w:t xml:space="preserve">overnment of Togo, SP-EAU (the urban water holding </w:t>
      </w:r>
      <w:r w:rsidR="007E692B" w:rsidRPr="00834149">
        <w:rPr>
          <w:rFonts w:cs="Times New Roman"/>
        </w:rPr>
        <w:t>c</w:t>
      </w:r>
      <w:r w:rsidRPr="00834149">
        <w:rPr>
          <w:rFonts w:cs="Times New Roman"/>
        </w:rPr>
        <w:t>ompany)</w:t>
      </w:r>
      <w:r w:rsidR="007E692B" w:rsidRPr="00834149">
        <w:rPr>
          <w:rFonts w:cs="Times New Roman"/>
        </w:rPr>
        <w:t>,</w:t>
      </w:r>
      <w:r w:rsidRPr="00834149">
        <w:rPr>
          <w:rFonts w:cs="Times New Roman"/>
        </w:rPr>
        <w:t xml:space="preserve"> and TdE (the operating company). The grant will also support a rapid diagnostic of rural and semi-urban water supply schemes, dominated by </w:t>
      </w:r>
      <w:r w:rsidRPr="00834149">
        <w:rPr>
          <w:rFonts w:cs="Times New Roman"/>
        </w:rPr>
        <w:lastRenderedPageBreak/>
        <w:t xml:space="preserve">independent and informal small scale providers. </w:t>
      </w:r>
      <w:r w:rsidR="00C71A34" w:rsidRPr="00834149">
        <w:rPr>
          <w:rFonts w:cs="Times New Roman"/>
        </w:rPr>
        <w:t xml:space="preserve">The EU and AFD are </w:t>
      </w:r>
      <w:r w:rsidR="00BD5125" w:rsidRPr="00834149">
        <w:rPr>
          <w:rFonts w:cs="Times New Roman"/>
        </w:rPr>
        <w:t xml:space="preserve">the key development </w:t>
      </w:r>
      <w:r w:rsidR="00C71A34" w:rsidRPr="00834149">
        <w:rPr>
          <w:rFonts w:cs="Times New Roman"/>
        </w:rPr>
        <w:t>supporting water and sanitation programs</w:t>
      </w:r>
      <w:r w:rsidR="00BD5125" w:rsidRPr="00834149">
        <w:rPr>
          <w:rFonts w:cs="Times New Roman"/>
        </w:rPr>
        <w:t xml:space="preserve"> in Togo</w:t>
      </w:r>
      <w:r w:rsidR="00C71A34" w:rsidRPr="00834149">
        <w:rPr>
          <w:rFonts w:cs="Times New Roman"/>
        </w:rPr>
        <w:t>.</w:t>
      </w:r>
    </w:p>
    <w:p w14:paraId="1F81F8B3" w14:textId="59603481" w:rsidR="00BF4BBC" w:rsidRPr="00834149" w:rsidRDefault="00BF4BBC" w:rsidP="00834149">
      <w:pPr>
        <w:pStyle w:val="ListParagraph"/>
        <w:ind w:left="0"/>
        <w:contextualSpacing w:val="0"/>
        <w:jc w:val="both"/>
        <w:rPr>
          <w:rFonts w:cs="Times New Roman"/>
        </w:rPr>
      </w:pPr>
    </w:p>
    <w:p w14:paraId="20ADB545" w14:textId="18DF24A7" w:rsidR="00980565" w:rsidRPr="00834149" w:rsidRDefault="00980565" w:rsidP="00A50430">
      <w:pPr>
        <w:pBdr>
          <w:top w:val="single" w:sz="4" w:space="1" w:color="auto"/>
          <w:left w:val="single" w:sz="4" w:space="4" w:color="auto"/>
          <w:right w:val="single" w:sz="4" w:space="4" w:color="auto"/>
        </w:pBdr>
        <w:shd w:val="clear" w:color="auto" w:fill="D9D9D9" w:themeFill="background1" w:themeFillShade="D9"/>
        <w:jc w:val="both"/>
        <w:rPr>
          <w:rFonts w:cs="Times New Roman"/>
          <w:b/>
          <w:i/>
        </w:rPr>
      </w:pPr>
      <w:r w:rsidRPr="00834149">
        <w:rPr>
          <w:rFonts w:cs="Times New Roman"/>
          <w:b/>
          <w:i/>
        </w:rPr>
        <w:t xml:space="preserve">Results Indicators for Objective </w:t>
      </w:r>
      <w:r w:rsidR="00E35951" w:rsidRPr="00834149">
        <w:rPr>
          <w:rFonts w:cs="Times New Roman"/>
          <w:b/>
          <w:i/>
        </w:rPr>
        <w:t>2</w:t>
      </w:r>
      <w:r w:rsidRPr="00834149">
        <w:rPr>
          <w:rFonts w:cs="Times New Roman"/>
          <w:b/>
          <w:i/>
        </w:rPr>
        <w:t>.</w:t>
      </w:r>
      <w:r w:rsidR="00807A16" w:rsidRPr="00834149">
        <w:rPr>
          <w:rFonts w:cs="Times New Roman"/>
          <w:b/>
          <w:i/>
        </w:rPr>
        <w:t>2</w:t>
      </w:r>
      <w:r w:rsidR="00AC5BE0" w:rsidRPr="00834149">
        <w:rPr>
          <w:rFonts w:cs="Times New Roman"/>
          <w:b/>
          <w:i/>
        </w:rPr>
        <w:t>:</w:t>
      </w:r>
      <w:r w:rsidRPr="00834149">
        <w:rPr>
          <w:rFonts w:cs="Times New Roman"/>
          <w:b/>
          <w:i/>
        </w:rPr>
        <w:t xml:space="preserve"> </w:t>
      </w:r>
      <w:r w:rsidR="00D4139F" w:rsidRPr="00834149">
        <w:rPr>
          <w:rFonts w:cs="Times New Roman"/>
          <w:b/>
          <w:i/>
        </w:rPr>
        <w:t>Strengthen</w:t>
      </w:r>
      <w:r w:rsidRPr="00834149">
        <w:rPr>
          <w:rFonts w:cs="Times New Roman"/>
          <w:b/>
          <w:i/>
        </w:rPr>
        <w:t xml:space="preserve"> </w:t>
      </w:r>
      <w:r w:rsidR="00AC5BE0" w:rsidRPr="00834149">
        <w:rPr>
          <w:rFonts w:cs="Times New Roman"/>
          <w:b/>
          <w:i/>
        </w:rPr>
        <w:t>B</w:t>
      </w:r>
      <w:r w:rsidRPr="00834149">
        <w:rPr>
          <w:rFonts w:cs="Times New Roman"/>
          <w:b/>
          <w:i/>
        </w:rPr>
        <w:t xml:space="preserve">asic </w:t>
      </w:r>
      <w:r w:rsidR="00391F4F" w:rsidRPr="00834149">
        <w:rPr>
          <w:rFonts w:cs="Times New Roman"/>
          <w:b/>
          <w:i/>
        </w:rPr>
        <w:t xml:space="preserve">Services at </w:t>
      </w:r>
      <w:r w:rsidR="00807A16" w:rsidRPr="00834149">
        <w:rPr>
          <w:rFonts w:cs="Times New Roman"/>
          <w:b/>
          <w:i/>
        </w:rPr>
        <w:t>the</w:t>
      </w:r>
      <w:r w:rsidR="00807A16" w:rsidRPr="00834149">
        <w:rPr>
          <w:rFonts w:cs="Times New Roman"/>
          <w:i/>
        </w:rPr>
        <w:t xml:space="preserve"> </w:t>
      </w:r>
      <w:r w:rsidR="00391F4F" w:rsidRPr="00834149">
        <w:rPr>
          <w:rFonts w:cs="Times New Roman"/>
          <w:b/>
          <w:i/>
        </w:rPr>
        <w:t>Local Level</w:t>
      </w:r>
    </w:p>
    <w:p w14:paraId="70AD53D5" w14:textId="1CD8C2C3" w:rsidR="007C6163" w:rsidRPr="00834149" w:rsidRDefault="00980565" w:rsidP="00A50430">
      <w:pPr>
        <w:pBdr>
          <w:top w:val="single" w:sz="4" w:space="0" w:color="auto"/>
          <w:left w:val="single" w:sz="4" w:space="4" w:color="auto"/>
          <w:bottom w:val="single" w:sz="4" w:space="1" w:color="auto"/>
          <w:right w:val="single" w:sz="4" w:space="4" w:color="auto"/>
        </w:pBdr>
        <w:shd w:val="clear" w:color="auto" w:fill="F8F8F0" w:themeFill="background2" w:themeFillTint="33"/>
        <w:rPr>
          <w:rFonts w:cs="Times New Roman"/>
          <w:i/>
        </w:rPr>
      </w:pPr>
      <w:r w:rsidRPr="00834149">
        <w:rPr>
          <w:rFonts w:cs="Times New Roman"/>
          <w:b/>
        </w:rPr>
        <w:t xml:space="preserve">Indicator </w:t>
      </w:r>
      <w:r w:rsidR="00BB1185" w:rsidRPr="00834149">
        <w:rPr>
          <w:rFonts w:cs="Times New Roman"/>
          <w:b/>
        </w:rPr>
        <w:t>1</w:t>
      </w:r>
      <w:r w:rsidRPr="00834149">
        <w:rPr>
          <w:rFonts w:cs="Times New Roman"/>
          <w:b/>
        </w:rPr>
        <w:t xml:space="preserve">: </w:t>
      </w:r>
      <w:r w:rsidR="007C6163" w:rsidRPr="00834149">
        <w:rPr>
          <w:rFonts w:cs="Times New Roman"/>
        </w:rPr>
        <w:t>I</w:t>
      </w:r>
      <w:r w:rsidR="00EC24E6" w:rsidRPr="00834149">
        <w:rPr>
          <w:rFonts w:cs="Times New Roman"/>
        </w:rPr>
        <w:t>mproved infrastructure services</w:t>
      </w:r>
      <w:r w:rsidR="007C6163" w:rsidRPr="00834149">
        <w:rPr>
          <w:rFonts w:cs="Times New Roman"/>
        </w:rPr>
        <w:t xml:space="preserve"> available at the local level</w:t>
      </w:r>
      <w:r w:rsidR="00A83D50" w:rsidRPr="00834149">
        <w:rPr>
          <w:rFonts w:cs="Times New Roman"/>
        </w:rPr>
        <w:t xml:space="preserve"> </w:t>
      </w:r>
      <w:r w:rsidR="00A83D50" w:rsidRPr="00834149">
        <w:rPr>
          <w:rFonts w:cs="Times New Roman"/>
          <w:i/>
        </w:rPr>
        <w:t>(</w:t>
      </w:r>
      <w:r w:rsidR="008221D1" w:rsidRPr="00834149">
        <w:rPr>
          <w:rFonts w:cs="Times New Roman"/>
          <w:i/>
        </w:rPr>
        <w:t>s</w:t>
      </w:r>
      <w:r w:rsidR="00EE76AC" w:rsidRPr="00834149">
        <w:rPr>
          <w:rFonts w:cs="Times New Roman"/>
          <w:i/>
        </w:rPr>
        <w:t>tudents enrolled in rehabilitated or constructed schools under the BSSN project</w:t>
      </w:r>
      <w:r w:rsidR="004063E7" w:rsidRPr="00834149">
        <w:rPr>
          <w:rFonts w:cs="Times New Roman"/>
          <w:i/>
        </w:rPr>
        <w:t xml:space="preserve"> increased from 0 in 2017 to 21,400 in 2020</w:t>
      </w:r>
      <w:r w:rsidR="00A83D50" w:rsidRPr="00834149">
        <w:rPr>
          <w:rFonts w:cs="Times New Roman"/>
          <w:i/>
        </w:rPr>
        <w:t>)</w:t>
      </w:r>
      <w:r w:rsidR="00A83D50" w:rsidRPr="00834149">
        <w:rPr>
          <w:rFonts w:cs="Times New Roman"/>
        </w:rPr>
        <w:t xml:space="preserve"> and </w:t>
      </w:r>
      <w:r w:rsidR="00A83D50" w:rsidRPr="00834149">
        <w:rPr>
          <w:rFonts w:cs="Times New Roman"/>
          <w:i/>
        </w:rPr>
        <w:t>(</w:t>
      </w:r>
      <w:r w:rsidR="008221D1" w:rsidRPr="00834149">
        <w:rPr>
          <w:rFonts w:cs="Times New Roman"/>
          <w:i/>
        </w:rPr>
        <w:t>n</w:t>
      </w:r>
      <w:r w:rsidR="00EE76AC" w:rsidRPr="00834149">
        <w:rPr>
          <w:rFonts w:cs="Times New Roman"/>
          <w:i/>
        </w:rPr>
        <w:t>umber of people in rural areas provided with access to improved water sources under BSSN project</w:t>
      </w:r>
      <w:r w:rsidR="004063E7" w:rsidRPr="00834149">
        <w:rPr>
          <w:rFonts w:cs="Times New Roman"/>
          <w:i/>
        </w:rPr>
        <w:t xml:space="preserve"> increased from 0 in 2017 to 41,200 in 2020</w:t>
      </w:r>
      <w:r w:rsidR="00A83D50" w:rsidRPr="00834149">
        <w:rPr>
          <w:rFonts w:cs="Times New Roman"/>
          <w:i/>
        </w:rPr>
        <w:t>)</w:t>
      </w:r>
    </w:p>
    <w:p w14:paraId="27F2E821" w14:textId="42B47886" w:rsidR="00F70B69" w:rsidRPr="00834149" w:rsidRDefault="00F70B69" w:rsidP="00A50430">
      <w:pPr>
        <w:pBdr>
          <w:top w:val="single" w:sz="4" w:space="0" w:color="auto"/>
          <w:left w:val="single" w:sz="4" w:space="4" w:color="auto"/>
          <w:bottom w:val="single" w:sz="4" w:space="1" w:color="auto"/>
          <w:right w:val="single" w:sz="4" w:space="4" w:color="auto"/>
        </w:pBdr>
        <w:shd w:val="clear" w:color="auto" w:fill="F8F8F0" w:themeFill="background2" w:themeFillTint="33"/>
        <w:jc w:val="both"/>
        <w:rPr>
          <w:rFonts w:cs="Times New Roman"/>
        </w:rPr>
      </w:pPr>
      <w:r w:rsidRPr="00834149">
        <w:rPr>
          <w:rFonts w:cs="Times New Roman"/>
          <w:b/>
        </w:rPr>
        <w:t xml:space="preserve">Indicator </w:t>
      </w:r>
      <w:r w:rsidR="00BB1185" w:rsidRPr="00834149">
        <w:rPr>
          <w:rFonts w:cs="Times New Roman"/>
          <w:b/>
        </w:rPr>
        <w:t>2</w:t>
      </w:r>
      <w:r w:rsidRPr="00834149">
        <w:rPr>
          <w:rFonts w:cs="Times New Roman"/>
          <w:b/>
        </w:rPr>
        <w:t>:</w:t>
      </w:r>
      <w:r w:rsidRPr="00834149">
        <w:rPr>
          <w:rFonts w:cs="Times New Roman"/>
        </w:rPr>
        <w:t xml:space="preserve"> </w:t>
      </w:r>
      <w:r w:rsidR="00AD3660" w:rsidRPr="00834149">
        <w:rPr>
          <w:rFonts w:cs="Times New Roman"/>
        </w:rPr>
        <w:t>Improved satisfaction with social services at the local level</w:t>
      </w:r>
      <w:r w:rsidR="004063E7" w:rsidRPr="00834149">
        <w:rPr>
          <w:rFonts w:cs="Times New Roman"/>
          <w:i/>
        </w:rPr>
        <w:t xml:space="preserve"> (</w:t>
      </w:r>
      <w:r w:rsidR="00AD3660" w:rsidRPr="00834149">
        <w:rPr>
          <w:rFonts w:cs="Times New Roman"/>
          <w:i/>
        </w:rPr>
        <w:t>p</w:t>
      </w:r>
      <w:r w:rsidRPr="00834149">
        <w:rPr>
          <w:rFonts w:cs="Times New Roman"/>
          <w:i/>
        </w:rPr>
        <w:t>ercentage of citizens satisfied with quality of</w:t>
      </w:r>
      <w:r w:rsidR="00AD3660" w:rsidRPr="00834149">
        <w:rPr>
          <w:rFonts w:cs="Times New Roman"/>
          <w:i/>
        </w:rPr>
        <w:t xml:space="preserve"> and access to</w:t>
      </w:r>
      <w:r w:rsidRPr="00834149">
        <w:rPr>
          <w:rFonts w:cs="Times New Roman"/>
          <w:i/>
        </w:rPr>
        <w:t xml:space="preserve"> basic services in priority sectors</w:t>
      </w:r>
      <w:r w:rsidR="004063E7" w:rsidRPr="00834149">
        <w:rPr>
          <w:rFonts w:cs="Times New Roman"/>
          <w:i/>
        </w:rPr>
        <w:t xml:space="preserve"> improved from </w:t>
      </w:r>
      <w:r w:rsidR="000071A4" w:rsidRPr="00834149">
        <w:rPr>
          <w:rFonts w:cs="Times New Roman"/>
          <w:i/>
        </w:rPr>
        <w:t>45%</w:t>
      </w:r>
      <w:r w:rsidR="004063E7" w:rsidRPr="00834149">
        <w:rPr>
          <w:rFonts w:cs="Times New Roman"/>
          <w:i/>
        </w:rPr>
        <w:t xml:space="preserve"> in 201</w:t>
      </w:r>
      <w:r w:rsidR="000071A4" w:rsidRPr="00834149">
        <w:rPr>
          <w:rFonts w:cs="Times New Roman"/>
          <w:i/>
        </w:rPr>
        <w:t>7</w:t>
      </w:r>
      <w:r w:rsidR="004063E7" w:rsidRPr="00834149">
        <w:rPr>
          <w:rFonts w:cs="Times New Roman"/>
          <w:i/>
        </w:rPr>
        <w:t xml:space="preserve"> to </w:t>
      </w:r>
      <w:r w:rsidR="000071A4" w:rsidRPr="00834149">
        <w:rPr>
          <w:rFonts w:cs="Times New Roman"/>
          <w:i/>
        </w:rPr>
        <w:t>55%</w:t>
      </w:r>
      <w:r w:rsidR="004063E7" w:rsidRPr="00834149">
        <w:rPr>
          <w:rFonts w:cs="Times New Roman"/>
          <w:i/>
        </w:rPr>
        <w:t xml:space="preserve"> in 2020)</w:t>
      </w:r>
    </w:p>
    <w:p w14:paraId="5AF739A7" w14:textId="77777777" w:rsidR="00477E8E" w:rsidRPr="00834149" w:rsidRDefault="00477E8E" w:rsidP="00A50430">
      <w:pPr>
        <w:rPr>
          <w:rFonts w:cs="Times New Roman"/>
          <w:b/>
          <w:smallCaps/>
        </w:rPr>
      </w:pPr>
    </w:p>
    <w:p w14:paraId="05775A00" w14:textId="20808F2D" w:rsidR="00F262A4" w:rsidRPr="00834149" w:rsidRDefault="005715C8" w:rsidP="00A50430">
      <w:pPr>
        <w:rPr>
          <w:rFonts w:cs="Times New Roman"/>
          <w:b/>
          <w:smallCaps/>
        </w:rPr>
      </w:pPr>
      <w:r w:rsidRPr="00834149">
        <w:rPr>
          <w:rFonts w:cs="Times New Roman"/>
          <w:b/>
          <w:smallCaps/>
        </w:rPr>
        <w:t>Objective 2.</w:t>
      </w:r>
      <w:r w:rsidR="00807A16" w:rsidRPr="00834149">
        <w:rPr>
          <w:rFonts w:cs="Times New Roman"/>
          <w:b/>
          <w:smallCaps/>
        </w:rPr>
        <w:t>3</w:t>
      </w:r>
      <w:r w:rsidRPr="00834149">
        <w:rPr>
          <w:rFonts w:cs="Times New Roman"/>
          <w:b/>
          <w:smallCaps/>
        </w:rPr>
        <w:t xml:space="preserve">: Strengthen </w:t>
      </w:r>
      <w:r w:rsidR="00CA405F" w:rsidRPr="00834149">
        <w:rPr>
          <w:rFonts w:cs="Times New Roman"/>
          <w:b/>
          <w:smallCaps/>
        </w:rPr>
        <w:t>S</w:t>
      </w:r>
      <w:r w:rsidRPr="00834149">
        <w:rPr>
          <w:rFonts w:cs="Times New Roman"/>
          <w:b/>
          <w:smallCaps/>
        </w:rPr>
        <w:t xml:space="preserve">ocial </w:t>
      </w:r>
      <w:r w:rsidR="00CA405F" w:rsidRPr="00834149">
        <w:rPr>
          <w:rFonts w:cs="Times New Roman"/>
          <w:b/>
          <w:smallCaps/>
        </w:rPr>
        <w:t>S</w:t>
      </w:r>
      <w:r w:rsidRPr="00834149">
        <w:rPr>
          <w:rFonts w:cs="Times New Roman"/>
          <w:b/>
          <w:smallCaps/>
        </w:rPr>
        <w:t xml:space="preserve">afety </w:t>
      </w:r>
      <w:r w:rsidR="00CA405F" w:rsidRPr="00834149">
        <w:rPr>
          <w:rFonts w:cs="Times New Roman"/>
          <w:b/>
          <w:smallCaps/>
        </w:rPr>
        <w:t>N</w:t>
      </w:r>
      <w:r w:rsidRPr="00834149">
        <w:rPr>
          <w:rFonts w:cs="Times New Roman"/>
          <w:b/>
          <w:smallCaps/>
        </w:rPr>
        <w:t xml:space="preserve">ets for the </w:t>
      </w:r>
      <w:r w:rsidR="00CA405F" w:rsidRPr="00834149">
        <w:rPr>
          <w:rFonts w:cs="Times New Roman"/>
          <w:b/>
          <w:smallCaps/>
        </w:rPr>
        <w:t>M</w:t>
      </w:r>
      <w:r w:rsidRPr="00834149">
        <w:rPr>
          <w:rFonts w:cs="Times New Roman"/>
          <w:b/>
          <w:smallCaps/>
        </w:rPr>
        <w:t xml:space="preserve">ost </w:t>
      </w:r>
      <w:r w:rsidR="00CA405F" w:rsidRPr="00834149">
        <w:rPr>
          <w:rFonts w:cs="Times New Roman"/>
          <w:b/>
          <w:smallCaps/>
        </w:rPr>
        <w:t>V</w:t>
      </w:r>
      <w:r w:rsidRPr="00834149">
        <w:rPr>
          <w:rFonts w:cs="Times New Roman"/>
          <w:b/>
          <w:smallCaps/>
        </w:rPr>
        <w:t>ulnerable</w:t>
      </w:r>
    </w:p>
    <w:p w14:paraId="4EC45E48" w14:textId="77777777" w:rsidR="002D1F7F" w:rsidRPr="00834149" w:rsidRDefault="002D1F7F" w:rsidP="00A50430">
      <w:pPr>
        <w:jc w:val="both"/>
        <w:rPr>
          <w:rFonts w:cs="Times New Roman"/>
          <w:i/>
        </w:rPr>
      </w:pPr>
    </w:p>
    <w:p w14:paraId="3E21E1FD" w14:textId="688B6A85" w:rsidR="0042298F" w:rsidRPr="00834149" w:rsidRDefault="003C7C15" w:rsidP="00834149">
      <w:pPr>
        <w:pStyle w:val="ListParagraph"/>
        <w:numPr>
          <w:ilvl w:val="0"/>
          <w:numId w:val="2"/>
        </w:numPr>
        <w:ind w:left="0" w:firstLine="0"/>
        <w:contextualSpacing w:val="0"/>
        <w:jc w:val="both"/>
        <w:rPr>
          <w:rFonts w:eastAsia="Times New Roman" w:cs="Times New Roman"/>
        </w:rPr>
      </w:pPr>
      <w:r w:rsidRPr="00834149">
        <w:rPr>
          <w:rFonts w:cs="Times New Roman"/>
          <w:b/>
        </w:rPr>
        <w:t>Given Togo’s high rate</w:t>
      </w:r>
      <w:r w:rsidR="00CA405F" w:rsidRPr="00834149">
        <w:rPr>
          <w:rFonts w:cs="Times New Roman"/>
          <w:b/>
        </w:rPr>
        <w:t>s</w:t>
      </w:r>
      <w:r w:rsidRPr="00834149">
        <w:rPr>
          <w:rFonts w:cs="Times New Roman"/>
          <w:b/>
        </w:rPr>
        <w:t xml:space="preserve"> of poverty and vulnerability, s</w:t>
      </w:r>
      <w:r w:rsidR="0042298F" w:rsidRPr="00834149">
        <w:rPr>
          <w:rFonts w:cs="Times New Roman"/>
          <w:b/>
        </w:rPr>
        <w:t xml:space="preserve">ocial safety nets are an increasing priority for the </w:t>
      </w:r>
      <w:r w:rsidR="000F5595" w:rsidRPr="00834149">
        <w:rPr>
          <w:rFonts w:cs="Times New Roman"/>
          <w:b/>
        </w:rPr>
        <w:t>G</w:t>
      </w:r>
      <w:r w:rsidR="0042298F" w:rsidRPr="00834149">
        <w:rPr>
          <w:rFonts w:cs="Times New Roman"/>
          <w:b/>
        </w:rPr>
        <w:t>overnment</w:t>
      </w:r>
      <w:r w:rsidRPr="00834149">
        <w:rPr>
          <w:rFonts w:cs="Times New Roman"/>
        </w:rPr>
        <w:t>.</w:t>
      </w:r>
      <w:r w:rsidR="0042298F" w:rsidRPr="00834149">
        <w:rPr>
          <w:rFonts w:cs="Times New Roman"/>
          <w:b/>
        </w:rPr>
        <w:t xml:space="preserve"> </w:t>
      </w:r>
      <w:r w:rsidR="00CA405F" w:rsidRPr="00834149">
        <w:rPr>
          <w:rFonts w:cs="Times New Roman"/>
        </w:rPr>
        <w:t>T</w:t>
      </w:r>
      <w:r w:rsidRPr="00834149">
        <w:rPr>
          <w:rFonts w:cs="Times New Roman"/>
        </w:rPr>
        <w:t>otal expenditures on safety nets have been low as a share of the national budget</w:t>
      </w:r>
      <w:r w:rsidR="00CA405F" w:rsidRPr="00834149">
        <w:rPr>
          <w:rFonts w:cs="Times New Roman"/>
        </w:rPr>
        <w:t xml:space="preserve"> and</w:t>
      </w:r>
      <w:r w:rsidRPr="00834149">
        <w:rPr>
          <w:rFonts w:cs="Times New Roman"/>
        </w:rPr>
        <w:t xml:space="preserve"> as a share of GDP. Targeting is not well developed and there is no national</w:t>
      </w:r>
      <w:r w:rsidR="00CA405F" w:rsidRPr="00834149">
        <w:rPr>
          <w:rFonts w:cs="Times New Roman"/>
        </w:rPr>
        <w:t>-</w:t>
      </w:r>
      <w:r w:rsidRPr="00834149">
        <w:rPr>
          <w:rFonts w:cs="Times New Roman"/>
        </w:rPr>
        <w:t xml:space="preserve">level program. </w:t>
      </w:r>
      <w:r w:rsidR="000C3AB5" w:rsidRPr="00834149">
        <w:rPr>
          <w:rFonts w:cs="Times New Roman"/>
        </w:rPr>
        <w:t>Togo will channel IDA financing</w:t>
      </w:r>
      <w:r w:rsidR="00CF65FA" w:rsidRPr="00834149">
        <w:rPr>
          <w:rFonts w:cs="Times New Roman"/>
        </w:rPr>
        <w:t xml:space="preserve"> to improve </w:t>
      </w:r>
      <w:r w:rsidRPr="00834149">
        <w:rPr>
          <w:rFonts w:cs="Times New Roman"/>
        </w:rPr>
        <w:t xml:space="preserve">Togo’s </w:t>
      </w:r>
      <w:r w:rsidR="00CF65FA" w:rsidRPr="00834149">
        <w:rPr>
          <w:rFonts w:cs="Times New Roman"/>
        </w:rPr>
        <w:t>social safety nets</w:t>
      </w:r>
      <w:r w:rsidRPr="00834149">
        <w:rPr>
          <w:rFonts w:cs="Times New Roman"/>
        </w:rPr>
        <w:t xml:space="preserve"> program</w:t>
      </w:r>
      <w:r w:rsidR="00CF65FA" w:rsidRPr="00834149">
        <w:rPr>
          <w:rFonts w:cs="Times New Roman"/>
        </w:rPr>
        <w:t xml:space="preserve"> through the Safety Nets</w:t>
      </w:r>
      <w:r w:rsidR="006C1EB2">
        <w:rPr>
          <w:rFonts w:cs="Times New Roman"/>
        </w:rPr>
        <w:t xml:space="preserve"> and Basic Services</w:t>
      </w:r>
      <w:r w:rsidR="00CF65FA" w:rsidRPr="00834149">
        <w:rPr>
          <w:rFonts w:cs="Times New Roman"/>
        </w:rPr>
        <w:t xml:space="preserve"> project (FY17), building on </w:t>
      </w:r>
      <w:r w:rsidR="00CA405F" w:rsidRPr="00834149">
        <w:rPr>
          <w:rFonts w:cs="Times New Roman"/>
        </w:rPr>
        <w:t xml:space="preserve">the pilot </w:t>
      </w:r>
      <w:r w:rsidR="00CF65FA" w:rsidRPr="00834149">
        <w:rPr>
          <w:rFonts w:cs="Times New Roman"/>
        </w:rPr>
        <w:t xml:space="preserve">experience </w:t>
      </w:r>
      <w:r w:rsidRPr="00834149">
        <w:rPr>
          <w:rFonts w:cs="Times New Roman"/>
        </w:rPr>
        <w:t xml:space="preserve">initiated in 2008 </w:t>
      </w:r>
      <w:r w:rsidR="0042298F" w:rsidRPr="00834149">
        <w:rPr>
          <w:rFonts w:cs="Times New Roman"/>
        </w:rPr>
        <w:t>as a response to the food, fuel, and financial crisis</w:t>
      </w:r>
      <w:r w:rsidRPr="00834149">
        <w:rPr>
          <w:rFonts w:cs="Times New Roman"/>
        </w:rPr>
        <w:t xml:space="preserve">. </w:t>
      </w:r>
      <w:r w:rsidR="0042298F" w:rsidRPr="00834149">
        <w:rPr>
          <w:rFonts w:cs="Times New Roman"/>
        </w:rPr>
        <w:t xml:space="preserve">The </w:t>
      </w:r>
      <w:r w:rsidR="000F5595" w:rsidRPr="00834149">
        <w:rPr>
          <w:rFonts w:cs="Times New Roman"/>
        </w:rPr>
        <w:t>G</w:t>
      </w:r>
      <w:r w:rsidR="0042298F" w:rsidRPr="00834149">
        <w:rPr>
          <w:rFonts w:cs="Times New Roman"/>
        </w:rPr>
        <w:t>overnment has signaled its ownership of these programs by co</w:t>
      </w:r>
      <w:r w:rsidR="00CA405F" w:rsidRPr="00834149">
        <w:rPr>
          <w:rFonts w:cs="Times New Roman"/>
        </w:rPr>
        <w:t>-</w:t>
      </w:r>
      <w:r w:rsidR="0042298F" w:rsidRPr="00834149">
        <w:rPr>
          <w:rFonts w:cs="Times New Roman"/>
        </w:rPr>
        <w:t>financing the school feeding and cash transfer components, and launching its own labor-intensive public works program in urban areas.</w:t>
      </w:r>
      <w:r w:rsidR="00CF65FA" w:rsidRPr="00834149">
        <w:rPr>
          <w:rFonts w:cs="Times New Roman"/>
        </w:rPr>
        <w:t xml:space="preserve"> These activities constitute the first </w:t>
      </w:r>
      <w:r w:rsidR="008221D1" w:rsidRPr="00834149">
        <w:rPr>
          <w:rFonts w:cs="Times New Roman"/>
        </w:rPr>
        <w:t xml:space="preserve">building </w:t>
      </w:r>
      <w:r w:rsidR="00CF65FA" w:rsidRPr="00834149">
        <w:rPr>
          <w:rFonts w:cs="Times New Roman"/>
        </w:rPr>
        <w:t>blocks of a national safety nets system</w:t>
      </w:r>
      <w:r w:rsidR="00CA405F" w:rsidRPr="00834149">
        <w:rPr>
          <w:rFonts w:cs="Times New Roman"/>
        </w:rPr>
        <w:t xml:space="preserve"> that</w:t>
      </w:r>
      <w:r w:rsidR="00CF65FA" w:rsidRPr="00834149">
        <w:rPr>
          <w:rFonts w:cs="Times New Roman"/>
        </w:rPr>
        <w:t xml:space="preserve"> the </w:t>
      </w:r>
      <w:r w:rsidR="000F5595" w:rsidRPr="00834149">
        <w:rPr>
          <w:rFonts w:cs="Times New Roman"/>
        </w:rPr>
        <w:t>G</w:t>
      </w:r>
      <w:r w:rsidR="00CF65FA" w:rsidRPr="00834149">
        <w:rPr>
          <w:rFonts w:cs="Times New Roman"/>
        </w:rPr>
        <w:t>overnment has been developing w</w:t>
      </w:r>
      <w:r w:rsidR="00102512" w:rsidRPr="00834149">
        <w:rPr>
          <w:rFonts w:cs="Times New Roman"/>
        </w:rPr>
        <w:t xml:space="preserve">ith the </w:t>
      </w:r>
      <w:r w:rsidR="0042063C">
        <w:rPr>
          <w:rFonts w:cs="Times New Roman"/>
        </w:rPr>
        <w:t>support of donors (</w:t>
      </w:r>
      <w:r w:rsidR="00CF65FA" w:rsidRPr="00834149">
        <w:rPr>
          <w:rFonts w:cs="Times New Roman"/>
        </w:rPr>
        <w:t>World Bank, UNICEF, UNDP and ILO).</w:t>
      </w:r>
    </w:p>
    <w:p w14:paraId="3887BED7" w14:textId="77777777" w:rsidR="008E71BE" w:rsidRPr="00834149" w:rsidRDefault="008E71BE" w:rsidP="00834149">
      <w:pPr>
        <w:pStyle w:val="ListParagraph"/>
        <w:ind w:left="0"/>
        <w:contextualSpacing w:val="0"/>
        <w:jc w:val="both"/>
        <w:rPr>
          <w:rFonts w:eastAsia="Times New Roman" w:cs="Times New Roman"/>
        </w:rPr>
      </w:pPr>
    </w:p>
    <w:p w14:paraId="7B94B8AB" w14:textId="50BF69FA" w:rsidR="0098178C" w:rsidRPr="00834149" w:rsidRDefault="000C3AB5" w:rsidP="00834149">
      <w:pPr>
        <w:pStyle w:val="ListParagraph"/>
        <w:numPr>
          <w:ilvl w:val="0"/>
          <w:numId w:val="2"/>
        </w:numPr>
        <w:ind w:left="0" w:firstLine="0"/>
        <w:contextualSpacing w:val="0"/>
        <w:jc w:val="both"/>
        <w:rPr>
          <w:rFonts w:eastAsia="Times New Roman" w:cs="Times New Roman"/>
        </w:rPr>
      </w:pPr>
      <w:r w:rsidRPr="00834149">
        <w:rPr>
          <w:rFonts w:cs="Times New Roman"/>
          <w:b/>
        </w:rPr>
        <w:t xml:space="preserve">Togo will use IDA financing </w:t>
      </w:r>
      <w:r w:rsidR="00EF603A" w:rsidRPr="00834149">
        <w:rPr>
          <w:rFonts w:cs="Times New Roman"/>
          <w:b/>
        </w:rPr>
        <w:t xml:space="preserve">to </w:t>
      </w:r>
      <w:r w:rsidR="00FF5249" w:rsidRPr="00834149">
        <w:rPr>
          <w:rFonts w:cs="Times New Roman"/>
          <w:b/>
        </w:rPr>
        <w:t xml:space="preserve">scale up </w:t>
      </w:r>
      <w:r w:rsidR="00EF603A" w:rsidRPr="00834149">
        <w:rPr>
          <w:rFonts w:cs="Times New Roman"/>
          <w:b/>
        </w:rPr>
        <w:t>support</w:t>
      </w:r>
      <w:r w:rsidR="00FF5249" w:rsidRPr="00834149">
        <w:rPr>
          <w:rFonts w:cs="Times New Roman"/>
          <w:b/>
        </w:rPr>
        <w:t xml:space="preserve"> for</w:t>
      </w:r>
      <w:r w:rsidR="00EF603A" w:rsidRPr="00834149">
        <w:rPr>
          <w:rFonts w:cs="Times New Roman"/>
          <w:b/>
        </w:rPr>
        <w:t xml:space="preserve"> school feeding </w:t>
      </w:r>
      <w:r w:rsidR="008221D1" w:rsidRPr="00834149">
        <w:rPr>
          <w:rFonts w:cs="Times New Roman"/>
          <w:b/>
        </w:rPr>
        <w:t>and</w:t>
      </w:r>
      <w:r w:rsidR="00EF603A" w:rsidRPr="00834149">
        <w:rPr>
          <w:rFonts w:cs="Times New Roman"/>
          <w:b/>
        </w:rPr>
        <w:t xml:space="preserve"> cash transfer programs during the CPF period</w:t>
      </w:r>
      <w:r w:rsidR="00FF5249" w:rsidRPr="00834149">
        <w:rPr>
          <w:rFonts w:cs="Times New Roman"/>
        </w:rPr>
        <w:t>.</w:t>
      </w:r>
      <w:r w:rsidR="00FF5249" w:rsidRPr="00834149">
        <w:rPr>
          <w:rFonts w:cs="Times New Roman"/>
          <w:b/>
        </w:rPr>
        <w:t xml:space="preserve"> </w:t>
      </w:r>
      <w:r w:rsidRPr="00834149">
        <w:rPr>
          <w:rFonts w:cs="Times New Roman"/>
        </w:rPr>
        <w:t xml:space="preserve">Togo </w:t>
      </w:r>
      <w:r w:rsidR="00FF5249" w:rsidRPr="00834149">
        <w:rPr>
          <w:rFonts w:cs="Times New Roman"/>
        </w:rPr>
        <w:t>will</w:t>
      </w:r>
      <w:r w:rsidR="00EF603A" w:rsidRPr="00834149">
        <w:rPr>
          <w:rFonts w:cs="Times New Roman"/>
        </w:rPr>
        <w:t xml:space="preserve"> broaden eligible beneficiaries (formerly limited to pregnant women and women with children under two years old) </w:t>
      </w:r>
      <w:r w:rsidRPr="00834149">
        <w:rPr>
          <w:rFonts w:cs="Times New Roman"/>
        </w:rPr>
        <w:t xml:space="preserve">for these programs </w:t>
      </w:r>
      <w:r w:rsidR="00EF603A" w:rsidRPr="00834149">
        <w:rPr>
          <w:rFonts w:cs="Times New Roman"/>
        </w:rPr>
        <w:t>to make all poor households potentially eligible, while also promoting child nutrition and protection.</w:t>
      </w:r>
      <w:r w:rsidR="007C4FBE" w:rsidRPr="00834149">
        <w:rPr>
          <w:rFonts w:cs="Times New Roman"/>
        </w:rPr>
        <w:t xml:space="preserve"> </w:t>
      </w:r>
      <w:r w:rsidR="00B8291A" w:rsidRPr="00834149">
        <w:rPr>
          <w:rFonts w:cs="Times New Roman"/>
        </w:rPr>
        <w:t>The program is implemented in coordination with UNICEF and WFP.</w:t>
      </w:r>
      <w:r w:rsidR="006C1EB2">
        <w:rPr>
          <w:rFonts w:cs="Times New Roman"/>
        </w:rPr>
        <w:t xml:space="preserve"> As part of the Safety Nets and Basic Services project,</w:t>
      </w:r>
      <w:r w:rsidR="00B8291A" w:rsidRPr="00834149">
        <w:rPr>
          <w:rFonts w:cs="Times New Roman"/>
        </w:rPr>
        <w:t xml:space="preserve"> </w:t>
      </w:r>
      <w:r w:rsidR="006C1EB2">
        <w:rPr>
          <w:rFonts w:cs="Times New Roman"/>
        </w:rPr>
        <w:t>t</w:t>
      </w:r>
      <w:r w:rsidRPr="00834149">
        <w:rPr>
          <w:rFonts w:cs="Times New Roman"/>
        </w:rPr>
        <w:t xml:space="preserve">he program </w:t>
      </w:r>
      <w:r w:rsidR="00EF603A" w:rsidRPr="00834149">
        <w:rPr>
          <w:rFonts w:cs="Times New Roman"/>
        </w:rPr>
        <w:t>plans to support the building of national systems for targeting poor households and storing household information in a national social registry, which would be expected to be used across multiple programs, to strengthen safety nets nationally</w:t>
      </w:r>
      <w:r w:rsidR="00FF5249" w:rsidRPr="00834149">
        <w:rPr>
          <w:rFonts w:cs="Times New Roman"/>
        </w:rPr>
        <w:t xml:space="preserve"> (to be supported jointly by IDA’s social protection and health sector activities)</w:t>
      </w:r>
      <w:r w:rsidR="00EF603A" w:rsidRPr="00834149">
        <w:rPr>
          <w:rFonts w:cs="Times New Roman"/>
        </w:rPr>
        <w:t>.</w:t>
      </w:r>
      <w:r w:rsidR="0098178C" w:rsidRPr="00834149">
        <w:rPr>
          <w:rFonts w:cs="Times New Roman"/>
        </w:rPr>
        <w:t xml:space="preserve"> </w:t>
      </w:r>
    </w:p>
    <w:p w14:paraId="746A7A7C" w14:textId="3B3D2EB6" w:rsidR="00F402C4" w:rsidRPr="00834149" w:rsidRDefault="00F402C4" w:rsidP="00834149">
      <w:pPr>
        <w:pStyle w:val="ListParagraph"/>
        <w:ind w:left="0"/>
        <w:contextualSpacing w:val="0"/>
        <w:jc w:val="both"/>
        <w:rPr>
          <w:rFonts w:eastAsia="Times New Roman" w:cs="Times New Roman"/>
        </w:rPr>
      </w:pPr>
    </w:p>
    <w:p w14:paraId="7FA8CDA9" w14:textId="2A5CEF7F" w:rsidR="00980565" w:rsidRPr="00834149" w:rsidRDefault="00980565" w:rsidP="00A50430">
      <w:pPr>
        <w:pBdr>
          <w:top w:val="single" w:sz="4" w:space="1" w:color="auto"/>
          <w:left w:val="single" w:sz="4" w:space="4" w:color="auto"/>
          <w:right w:val="single" w:sz="4" w:space="4" w:color="auto"/>
        </w:pBdr>
        <w:shd w:val="clear" w:color="auto" w:fill="D9D9D9" w:themeFill="background1" w:themeFillShade="D9"/>
        <w:jc w:val="both"/>
        <w:rPr>
          <w:rFonts w:cs="Times New Roman"/>
        </w:rPr>
      </w:pPr>
      <w:r w:rsidRPr="00834149">
        <w:rPr>
          <w:rFonts w:cs="Times New Roman"/>
          <w:b/>
          <w:i/>
        </w:rPr>
        <w:t xml:space="preserve">Results Indicators for Objective </w:t>
      </w:r>
      <w:r w:rsidR="00C35119" w:rsidRPr="00834149">
        <w:rPr>
          <w:rFonts w:cs="Times New Roman"/>
          <w:b/>
          <w:i/>
        </w:rPr>
        <w:t>2</w:t>
      </w:r>
      <w:r w:rsidRPr="00834149">
        <w:rPr>
          <w:rFonts w:cs="Times New Roman"/>
          <w:b/>
          <w:i/>
        </w:rPr>
        <w:t>.2</w:t>
      </w:r>
      <w:r w:rsidR="006148D4" w:rsidRPr="00834149">
        <w:rPr>
          <w:rFonts w:cs="Times New Roman"/>
          <w:b/>
          <w:i/>
        </w:rPr>
        <w:t>:</w:t>
      </w:r>
      <w:r w:rsidRPr="00834149">
        <w:rPr>
          <w:rFonts w:cs="Times New Roman"/>
          <w:b/>
          <w:i/>
        </w:rPr>
        <w:t xml:space="preserve"> </w:t>
      </w:r>
      <w:r w:rsidR="007B3E55" w:rsidRPr="00834149">
        <w:rPr>
          <w:rFonts w:cs="Times New Roman"/>
          <w:b/>
          <w:i/>
        </w:rPr>
        <w:t xml:space="preserve">Strengthen </w:t>
      </w:r>
      <w:r w:rsidR="00AC5BE0" w:rsidRPr="00834149">
        <w:rPr>
          <w:rFonts w:cs="Times New Roman"/>
          <w:b/>
          <w:i/>
        </w:rPr>
        <w:t>S</w:t>
      </w:r>
      <w:r w:rsidR="007B3E55" w:rsidRPr="00834149">
        <w:rPr>
          <w:rFonts w:cs="Times New Roman"/>
          <w:b/>
          <w:i/>
        </w:rPr>
        <w:t xml:space="preserve">ocial </w:t>
      </w:r>
      <w:r w:rsidR="00AC5BE0" w:rsidRPr="00834149">
        <w:rPr>
          <w:rFonts w:cs="Times New Roman"/>
          <w:b/>
          <w:i/>
        </w:rPr>
        <w:t>S</w:t>
      </w:r>
      <w:r w:rsidR="007B3E55" w:rsidRPr="00834149">
        <w:rPr>
          <w:rFonts w:cs="Times New Roman"/>
          <w:b/>
          <w:i/>
        </w:rPr>
        <w:t xml:space="preserve">afety </w:t>
      </w:r>
      <w:r w:rsidR="00AC5BE0" w:rsidRPr="00834149">
        <w:rPr>
          <w:rFonts w:cs="Times New Roman"/>
          <w:b/>
          <w:i/>
        </w:rPr>
        <w:t>N</w:t>
      </w:r>
      <w:r w:rsidR="007B3E55" w:rsidRPr="00834149">
        <w:rPr>
          <w:rFonts w:cs="Times New Roman"/>
          <w:b/>
          <w:i/>
        </w:rPr>
        <w:t>ets</w:t>
      </w:r>
      <w:r w:rsidR="007B3E55" w:rsidRPr="00834149">
        <w:rPr>
          <w:rFonts w:cs="Times New Roman"/>
          <w:b/>
        </w:rPr>
        <w:t xml:space="preserve"> </w:t>
      </w:r>
      <w:r w:rsidR="00AC5BE0" w:rsidRPr="00834149">
        <w:rPr>
          <w:rFonts w:cs="Times New Roman"/>
          <w:b/>
          <w:i/>
        </w:rPr>
        <w:t>for the Most Vulnerable</w:t>
      </w:r>
      <w:r w:rsidR="00F25C51" w:rsidRPr="00834149">
        <w:rPr>
          <w:rFonts w:cs="Times New Roman"/>
          <w:b/>
          <w:i/>
        </w:rPr>
        <w:t>*</w:t>
      </w:r>
    </w:p>
    <w:p w14:paraId="4C34358A" w14:textId="15035BF2" w:rsidR="00E7705C" w:rsidRPr="00834149" w:rsidRDefault="00E7705C" w:rsidP="00A50430">
      <w:pPr>
        <w:pBdr>
          <w:top w:val="single" w:sz="4" w:space="0" w:color="auto"/>
          <w:left w:val="single" w:sz="4" w:space="4" w:color="auto"/>
          <w:bottom w:val="single" w:sz="4" w:space="1" w:color="auto"/>
          <w:right w:val="single" w:sz="4" w:space="4" w:color="auto"/>
        </w:pBdr>
        <w:shd w:val="clear" w:color="auto" w:fill="F8F8F0" w:themeFill="background2" w:themeFillTint="33"/>
        <w:rPr>
          <w:rFonts w:cs="Times New Roman"/>
        </w:rPr>
      </w:pPr>
      <w:r w:rsidRPr="00834149">
        <w:rPr>
          <w:rFonts w:cs="Times New Roman"/>
          <w:b/>
        </w:rPr>
        <w:t xml:space="preserve">Indicator </w:t>
      </w:r>
      <w:r w:rsidR="00AC5BE0" w:rsidRPr="00834149">
        <w:rPr>
          <w:rFonts w:cs="Times New Roman"/>
          <w:b/>
        </w:rPr>
        <w:t>1</w:t>
      </w:r>
      <w:r w:rsidR="00980565" w:rsidRPr="00834149">
        <w:rPr>
          <w:rFonts w:cs="Times New Roman"/>
          <w:b/>
        </w:rPr>
        <w:t>:</w:t>
      </w:r>
      <w:r w:rsidR="00980565" w:rsidRPr="00834149">
        <w:rPr>
          <w:rFonts w:cs="Times New Roman"/>
        </w:rPr>
        <w:t xml:space="preserve"> </w:t>
      </w:r>
      <w:r w:rsidR="008221D1" w:rsidRPr="00834149">
        <w:rPr>
          <w:rFonts w:cs="Times New Roman"/>
        </w:rPr>
        <w:t>Increased n</w:t>
      </w:r>
      <w:r w:rsidRPr="00834149">
        <w:rPr>
          <w:rFonts w:cs="Times New Roman"/>
        </w:rPr>
        <w:t>umber of households receiving cash transfers</w:t>
      </w:r>
      <w:r w:rsidR="003B6540" w:rsidRPr="00834149">
        <w:rPr>
          <w:rFonts w:cs="Times New Roman"/>
        </w:rPr>
        <w:t xml:space="preserve"> </w:t>
      </w:r>
      <w:r w:rsidR="00BB4FDE" w:rsidRPr="00834149">
        <w:rPr>
          <w:rFonts w:cs="Times New Roman"/>
        </w:rPr>
        <w:t>(</w:t>
      </w:r>
      <w:r w:rsidR="00BB4FDE" w:rsidRPr="00834149">
        <w:rPr>
          <w:rFonts w:cs="Times New Roman"/>
          <w:i/>
        </w:rPr>
        <w:t>from</w:t>
      </w:r>
      <w:r w:rsidR="003B6540" w:rsidRPr="00834149">
        <w:rPr>
          <w:rFonts w:cs="Times New Roman"/>
          <w:i/>
        </w:rPr>
        <w:t xml:space="preserve"> 0</w:t>
      </w:r>
      <w:r w:rsidR="00BB4FDE" w:rsidRPr="00834149">
        <w:rPr>
          <w:rFonts w:cs="Times New Roman"/>
          <w:i/>
        </w:rPr>
        <w:t xml:space="preserve"> in</w:t>
      </w:r>
      <w:r w:rsidR="003B6540" w:rsidRPr="00834149">
        <w:rPr>
          <w:rFonts w:cs="Times New Roman"/>
          <w:i/>
        </w:rPr>
        <w:t xml:space="preserve"> 2017</w:t>
      </w:r>
      <w:r w:rsidR="00BB4FDE" w:rsidRPr="00834149">
        <w:rPr>
          <w:rFonts w:cs="Times New Roman"/>
          <w:i/>
        </w:rPr>
        <w:t xml:space="preserve"> to</w:t>
      </w:r>
      <w:r w:rsidR="003B6540" w:rsidRPr="00834149">
        <w:rPr>
          <w:rFonts w:cs="Times New Roman"/>
          <w:i/>
        </w:rPr>
        <w:t xml:space="preserve"> 40,000</w:t>
      </w:r>
      <w:r w:rsidR="00BB4FDE" w:rsidRPr="00834149">
        <w:rPr>
          <w:rFonts w:cs="Times New Roman"/>
          <w:i/>
        </w:rPr>
        <w:t xml:space="preserve"> in </w:t>
      </w:r>
      <w:r w:rsidR="003B6540" w:rsidRPr="00834149">
        <w:rPr>
          <w:rFonts w:cs="Times New Roman"/>
          <w:i/>
        </w:rPr>
        <w:t>2020</w:t>
      </w:r>
      <w:r w:rsidR="003B6540" w:rsidRPr="00834149">
        <w:rPr>
          <w:rFonts w:cs="Times New Roman"/>
        </w:rPr>
        <w:t>)</w:t>
      </w:r>
    </w:p>
    <w:p w14:paraId="5ED0C546" w14:textId="3CEAFE26" w:rsidR="005832DC" w:rsidRPr="00834149" w:rsidRDefault="00E7705C" w:rsidP="00A50430">
      <w:pPr>
        <w:pBdr>
          <w:top w:val="single" w:sz="4" w:space="0" w:color="auto"/>
          <w:left w:val="single" w:sz="4" w:space="4" w:color="auto"/>
          <w:bottom w:val="single" w:sz="4" w:space="1" w:color="auto"/>
          <w:right w:val="single" w:sz="4" w:space="4" w:color="auto"/>
        </w:pBdr>
        <w:shd w:val="clear" w:color="auto" w:fill="F8F8F0" w:themeFill="background2" w:themeFillTint="33"/>
        <w:rPr>
          <w:rFonts w:cs="Times New Roman"/>
        </w:rPr>
      </w:pPr>
      <w:r w:rsidRPr="00834149">
        <w:rPr>
          <w:rFonts w:cs="Times New Roman"/>
          <w:b/>
        </w:rPr>
        <w:t xml:space="preserve">Indicator </w:t>
      </w:r>
      <w:r w:rsidR="00AC5BE0" w:rsidRPr="00834149">
        <w:rPr>
          <w:rFonts w:cs="Times New Roman"/>
          <w:b/>
        </w:rPr>
        <w:t>2</w:t>
      </w:r>
      <w:r w:rsidRPr="00834149">
        <w:rPr>
          <w:rFonts w:cs="Times New Roman"/>
          <w:b/>
        </w:rPr>
        <w:t>:</w:t>
      </w:r>
      <w:r w:rsidR="003B6540" w:rsidRPr="00834149">
        <w:rPr>
          <w:rFonts w:cs="Times New Roman"/>
          <w:b/>
        </w:rPr>
        <w:t xml:space="preserve"> </w:t>
      </w:r>
      <w:r w:rsidR="008221D1" w:rsidRPr="00834149">
        <w:rPr>
          <w:rFonts w:cs="Times New Roman"/>
        </w:rPr>
        <w:t>Increased n</w:t>
      </w:r>
      <w:r w:rsidR="003B6540" w:rsidRPr="00834149">
        <w:rPr>
          <w:rFonts w:cs="Times New Roman"/>
        </w:rPr>
        <w:t>umber of children receiving free school lunches</w:t>
      </w:r>
      <w:r w:rsidR="00BB4FDE" w:rsidRPr="00834149">
        <w:rPr>
          <w:rFonts w:cs="Times New Roman"/>
        </w:rPr>
        <w:t xml:space="preserve"> (</w:t>
      </w:r>
      <w:r w:rsidR="00BB4FDE" w:rsidRPr="00834149">
        <w:rPr>
          <w:rFonts w:cs="Times New Roman"/>
          <w:i/>
        </w:rPr>
        <w:t>from 0 in 2017 to 380,000 in 2020</w:t>
      </w:r>
      <w:r w:rsidR="00BB4FDE" w:rsidRPr="00834149">
        <w:rPr>
          <w:rFonts w:cs="Times New Roman"/>
        </w:rPr>
        <w:t>)</w:t>
      </w:r>
      <w:r w:rsidR="003B6540" w:rsidRPr="00834149">
        <w:rPr>
          <w:rFonts w:cs="Times New Roman"/>
          <w:i/>
        </w:rPr>
        <w:t xml:space="preserve"> </w:t>
      </w:r>
    </w:p>
    <w:p w14:paraId="378B4C09" w14:textId="3FEF24FB" w:rsidR="00EE5D19" w:rsidRPr="00834149" w:rsidRDefault="00F25C51" w:rsidP="00A50430">
      <w:pPr>
        <w:rPr>
          <w:rFonts w:cs="Times New Roman"/>
          <w:i/>
        </w:rPr>
      </w:pPr>
      <w:r w:rsidRPr="00834149">
        <w:rPr>
          <w:rFonts w:cs="Times New Roman"/>
          <w:i/>
        </w:rPr>
        <w:t>*The baseline of “0” applies to the FY17 Basic Services and Safety Nets IDA operation.</w:t>
      </w:r>
    </w:p>
    <w:p w14:paraId="1ACC7F7F" w14:textId="7B2BE7C4" w:rsidR="00F2648F" w:rsidRPr="00834149" w:rsidRDefault="00F2648F" w:rsidP="00A50430">
      <w:pPr>
        <w:rPr>
          <w:rFonts w:cs="Times New Roman"/>
          <w:b/>
        </w:rPr>
      </w:pPr>
      <w:r w:rsidRPr="00834149">
        <w:rPr>
          <w:rFonts w:cs="Times New Roman"/>
          <w:b/>
        </w:rPr>
        <w:br w:type="page"/>
      </w:r>
    </w:p>
    <w:p w14:paraId="3F7178B2" w14:textId="5A517EB9" w:rsidR="00747090" w:rsidRPr="00834149" w:rsidRDefault="009419E7" w:rsidP="00A50430">
      <w:pPr>
        <w:pStyle w:val="Caption"/>
        <w:rPr>
          <w:rFonts w:cs="Times New Roman"/>
          <w:caps w:val="0"/>
          <w:sz w:val="22"/>
          <w:szCs w:val="22"/>
        </w:rPr>
      </w:pPr>
      <w:bookmarkStart w:id="28" w:name="_Toc480207656"/>
      <w:r w:rsidRPr="00834149">
        <w:rPr>
          <w:rFonts w:cs="Times New Roman"/>
          <w:caps w:val="0"/>
          <w:sz w:val="22"/>
          <w:szCs w:val="22"/>
        </w:rPr>
        <w:lastRenderedPageBreak/>
        <w:t xml:space="preserve">Box </w:t>
      </w:r>
      <w:r w:rsidRPr="00834149">
        <w:rPr>
          <w:rFonts w:cs="Times New Roman"/>
          <w:caps w:val="0"/>
          <w:sz w:val="22"/>
          <w:szCs w:val="22"/>
        </w:rPr>
        <w:fldChar w:fldCharType="begin"/>
      </w:r>
      <w:r w:rsidRPr="00834149">
        <w:rPr>
          <w:rFonts w:cs="Times New Roman"/>
          <w:caps w:val="0"/>
          <w:sz w:val="22"/>
          <w:szCs w:val="22"/>
        </w:rPr>
        <w:instrText xml:space="preserve"> SEQ Box \* ARABIC </w:instrText>
      </w:r>
      <w:r w:rsidRPr="00834149">
        <w:rPr>
          <w:rFonts w:cs="Times New Roman"/>
          <w:caps w:val="0"/>
          <w:sz w:val="22"/>
          <w:szCs w:val="22"/>
        </w:rPr>
        <w:fldChar w:fldCharType="separate"/>
      </w:r>
      <w:r w:rsidR="000D6ABB">
        <w:rPr>
          <w:rFonts w:cs="Times New Roman"/>
          <w:caps w:val="0"/>
          <w:noProof/>
          <w:sz w:val="22"/>
          <w:szCs w:val="22"/>
        </w:rPr>
        <w:t>3</w:t>
      </w:r>
      <w:r w:rsidRPr="00834149">
        <w:rPr>
          <w:rFonts w:cs="Times New Roman"/>
          <w:caps w:val="0"/>
          <w:sz w:val="22"/>
          <w:szCs w:val="22"/>
        </w:rPr>
        <w:fldChar w:fldCharType="end"/>
      </w:r>
      <w:r w:rsidR="00747090" w:rsidRPr="00834149">
        <w:rPr>
          <w:rFonts w:cs="Times New Roman"/>
          <w:caps w:val="0"/>
          <w:sz w:val="22"/>
          <w:szCs w:val="22"/>
        </w:rPr>
        <w:t xml:space="preserve">. Promoting </w:t>
      </w:r>
      <w:r w:rsidR="003B6540" w:rsidRPr="00834149">
        <w:rPr>
          <w:rFonts w:cs="Times New Roman"/>
          <w:caps w:val="0"/>
          <w:sz w:val="22"/>
          <w:szCs w:val="22"/>
        </w:rPr>
        <w:t>O</w:t>
      </w:r>
      <w:r w:rsidR="00747090" w:rsidRPr="00834149">
        <w:rPr>
          <w:rFonts w:cs="Times New Roman"/>
          <w:caps w:val="0"/>
          <w:sz w:val="22"/>
          <w:szCs w:val="22"/>
        </w:rPr>
        <w:t xml:space="preserve">pportunities for </w:t>
      </w:r>
      <w:r w:rsidR="003B6540" w:rsidRPr="00834149">
        <w:rPr>
          <w:rFonts w:cs="Times New Roman"/>
          <w:caps w:val="0"/>
          <w:sz w:val="22"/>
          <w:szCs w:val="22"/>
        </w:rPr>
        <w:t>G</w:t>
      </w:r>
      <w:r w:rsidR="00747090" w:rsidRPr="00834149">
        <w:rPr>
          <w:rFonts w:cs="Times New Roman"/>
          <w:caps w:val="0"/>
          <w:sz w:val="22"/>
          <w:szCs w:val="22"/>
        </w:rPr>
        <w:t xml:space="preserve">irls and </w:t>
      </w:r>
      <w:r w:rsidR="003B6540" w:rsidRPr="00834149">
        <w:rPr>
          <w:rFonts w:cs="Times New Roman"/>
          <w:caps w:val="0"/>
          <w:sz w:val="22"/>
          <w:szCs w:val="22"/>
        </w:rPr>
        <w:t>W</w:t>
      </w:r>
      <w:r w:rsidR="00747090" w:rsidRPr="00834149">
        <w:rPr>
          <w:rFonts w:cs="Times New Roman"/>
          <w:caps w:val="0"/>
          <w:sz w:val="22"/>
          <w:szCs w:val="22"/>
        </w:rPr>
        <w:t>omen</w:t>
      </w:r>
      <w:r w:rsidR="003B6540" w:rsidRPr="00834149">
        <w:rPr>
          <w:rFonts w:cs="Times New Roman"/>
          <w:caps w:val="0"/>
          <w:sz w:val="22"/>
          <w:szCs w:val="22"/>
        </w:rPr>
        <w:t>–</w:t>
      </w:r>
      <w:r w:rsidR="00747090" w:rsidRPr="00834149">
        <w:rPr>
          <w:rFonts w:cs="Times New Roman"/>
          <w:caps w:val="0"/>
          <w:sz w:val="22"/>
          <w:szCs w:val="22"/>
        </w:rPr>
        <w:t xml:space="preserve">Integrating </w:t>
      </w:r>
      <w:r w:rsidR="003B6540" w:rsidRPr="00834149">
        <w:rPr>
          <w:rFonts w:cs="Times New Roman"/>
          <w:caps w:val="0"/>
          <w:sz w:val="22"/>
          <w:szCs w:val="22"/>
        </w:rPr>
        <w:t>Ge</w:t>
      </w:r>
      <w:r w:rsidR="00747090" w:rsidRPr="00834149">
        <w:rPr>
          <w:rFonts w:cs="Times New Roman"/>
          <w:caps w:val="0"/>
          <w:sz w:val="22"/>
          <w:szCs w:val="22"/>
        </w:rPr>
        <w:t xml:space="preserve">nder </w:t>
      </w:r>
      <w:r w:rsidR="003B6540" w:rsidRPr="00834149">
        <w:rPr>
          <w:rFonts w:cs="Times New Roman"/>
          <w:caps w:val="0"/>
          <w:sz w:val="22"/>
          <w:szCs w:val="22"/>
        </w:rPr>
        <w:t>P</w:t>
      </w:r>
      <w:r w:rsidR="00747090" w:rsidRPr="00834149">
        <w:rPr>
          <w:rFonts w:cs="Times New Roman"/>
          <w:caps w:val="0"/>
          <w:sz w:val="22"/>
          <w:szCs w:val="22"/>
        </w:rPr>
        <w:t>riorities in the CPF</w:t>
      </w:r>
      <w:bookmarkEnd w:id="28"/>
    </w:p>
    <w:p w14:paraId="4402DF44" w14:textId="18FC3178" w:rsidR="00926925" w:rsidRPr="00834149" w:rsidRDefault="003B6540" w:rsidP="00834149">
      <w:pPr>
        <w:pStyle w:val="ListParagraph"/>
        <w:pBdr>
          <w:top w:val="double" w:sz="4" w:space="1" w:color="auto"/>
          <w:left w:val="double" w:sz="4" w:space="4" w:color="auto"/>
          <w:bottom w:val="double" w:sz="4" w:space="1" w:color="auto"/>
          <w:right w:val="double" w:sz="4" w:space="4" w:color="auto"/>
        </w:pBdr>
        <w:shd w:val="clear" w:color="auto" w:fill="F8F8F0" w:themeFill="background2" w:themeFillTint="33"/>
        <w:autoSpaceDE w:val="0"/>
        <w:autoSpaceDN w:val="0"/>
        <w:adjustRightInd w:val="0"/>
        <w:ind w:left="0"/>
        <w:jc w:val="both"/>
        <w:rPr>
          <w:rFonts w:cs="Times New Roman"/>
        </w:rPr>
      </w:pPr>
      <w:r w:rsidRPr="00834149">
        <w:rPr>
          <w:rFonts w:cs="Times New Roman"/>
          <w:b/>
        </w:rPr>
        <w:t>S</w:t>
      </w:r>
      <w:r w:rsidR="00926925" w:rsidRPr="00834149">
        <w:rPr>
          <w:rFonts w:cs="Times New Roman"/>
          <w:b/>
        </w:rPr>
        <w:t xml:space="preserve">upport </w:t>
      </w:r>
      <w:r w:rsidRPr="00834149">
        <w:rPr>
          <w:rFonts w:cs="Times New Roman"/>
          <w:b/>
        </w:rPr>
        <w:t>for promoting</w:t>
      </w:r>
      <w:r w:rsidR="00926925" w:rsidRPr="00834149">
        <w:rPr>
          <w:rFonts w:cs="Times New Roman"/>
          <w:b/>
        </w:rPr>
        <w:t xml:space="preserve"> gender equality during the CPF</w:t>
      </w:r>
      <w:r w:rsidRPr="00834149">
        <w:rPr>
          <w:rFonts w:cs="Times New Roman"/>
          <w:b/>
        </w:rPr>
        <w:t xml:space="preserve"> period</w:t>
      </w:r>
      <w:r w:rsidR="00926925" w:rsidRPr="00834149">
        <w:rPr>
          <w:rFonts w:cs="Times New Roman"/>
          <w:b/>
        </w:rPr>
        <w:t xml:space="preserve"> will adhere to the </w:t>
      </w:r>
      <w:r w:rsidRPr="00834149">
        <w:rPr>
          <w:rFonts w:cs="Times New Roman"/>
          <w:b/>
        </w:rPr>
        <w:t>WBG’s</w:t>
      </w:r>
      <w:r w:rsidR="00926925" w:rsidRPr="00834149">
        <w:rPr>
          <w:rFonts w:cs="Times New Roman"/>
          <w:b/>
        </w:rPr>
        <w:t xml:space="preserve"> Gender Strategy for FY</w:t>
      </w:r>
      <w:r w:rsidRPr="00834149">
        <w:rPr>
          <w:rFonts w:cs="Times New Roman"/>
          <w:b/>
        </w:rPr>
        <w:t>20</w:t>
      </w:r>
      <w:r w:rsidR="00926925" w:rsidRPr="00834149">
        <w:rPr>
          <w:rFonts w:cs="Times New Roman"/>
          <w:b/>
        </w:rPr>
        <w:t>16</w:t>
      </w:r>
      <w:r w:rsidRPr="00834149">
        <w:rPr>
          <w:rFonts w:cs="Times New Roman"/>
          <w:b/>
        </w:rPr>
        <w:t>–</w:t>
      </w:r>
      <w:r w:rsidR="00926925" w:rsidRPr="00834149">
        <w:rPr>
          <w:rFonts w:cs="Times New Roman"/>
          <w:b/>
        </w:rPr>
        <w:t xml:space="preserve">23, </w:t>
      </w:r>
      <w:r w:rsidRPr="00834149">
        <w:rPr>
          <w:rFonts w:cs="Times New Roman"/>
          <w:b/>
        </w:rPr>
        <w:t xml:space="preserve">which focuses </w:t>
      </w:r>
      <w:r w:rsidR="00926925" w:rsidRPr="00834149">
        <w:rPr>
          <w:rFonts w:cs="Times New Roman"/>
          <w:b/>
        </w:rPr>
        <w:t>on four priority areas</w:t>
      </w:r>
      <w:r w:rsidR="00926925" w:rsidRPr="00834149">
        <w:rPr>
          <w:rFonts w:cs="Times New Roman"/>
        </w:rPr>
        <w:t xml:space="preserve">: </w:t>
      </w:r>
      <w:r w:rsidRPr="00834149">
        <w:rPr>
          <w:rFonts w:cs="Times New Roman"/>
        </w:rPr>
        <w:t>(</w:t>
      </w:r>
      <w:r w:rsidR="00926925" w:rsidRPr="00834149">
        <w:rPr>
          <w:rFonts w:cs="Times New Roman"/>
        </w:rPr>
        <w:t xml:space="preserve">i) </w:t>
      </w:r>
      <w:r w:rsidRPr="00834149">
        <w:rPr>
          <w:rFonts w:cs="Times New Roman"/>
        </w:rPr>
        <w:t>promoting</w:t>
      </w:r>
      <w:r w:rsidR="00926925" w:rsidRPr="00834149">
        <w:rPr>
          <w:rFonts w:cs="Times New Roman"/>
        </w:rPr>
        <w:t xml:space="preserve"> human endowment</w:t>
      </w:r>
      <w:r w:rsidRPr="00834149">
        <w:rPr>
          <w:rFonts w:cs="Times New Roman"/>
        </w:rPr>
        <w:t>s</w:t>
      </w:r>
      <w:r w:rsidR="00926925" w:rsidRPr="00834149">
        <w:rPr>
          <w:rFonts w:cs="Times New Roman"/>
        </w:rPr>
        <w:t xml:space="preserve"> (including access to health services, post-primary education and transition to work, early childhood development and safety nets); </w:t>
      </w:r>
      <w:r w:rsidRPr="00834149">
        <w:rPr>
          <w:rFonts w:cs="Times New Roman"/>
        </w:rPr>
        <w:t>(</w:t>
      </w:r>
      <w:r w:rsidR="00926925" w:rsidRPr="00834149">
        <w:rPr>
          <w:rFonts w:cs="Times New Roman"/>
        </w:rPr>
        <w:t xml:space="preserve">ii) </w:t>
      </w:r>
      <w:r w:rsidRPr="00834149">
        <w:rPr>
          <w:rFonts w:cs="Times New Roman"/>
        </w:rPr>
        <w:t>promoting</w:t>
      </w:r>
      <w:r w:rsidR="00926925" w:rsidRPr="00834149">
        <w:rPr>
          <w:rFonts w:cs="Times New Roman"/>
        </w:rPr>
        <w:t xml:space="preserve"> economic opportunities (by removing constraints to better jobs, including through training and child care services); </w:t>
      </w:r>
      <w:r w:rsidRPr="00834149">
        <w:rPr>
          <w:rFonts w:cs="Times New Roman"/>
        </w:rPr>
        <w:t>(</w:t>
      </w:r>
      <w:r w:rsidR="00926925" w:rsidRPr="00834149">
        <w:rPr>
          <w:rFonts w:cs="Times New Roman"/>
        </w:rPr>
        <w:t xml:space="preserve">iii) removing barriers to ownership of assets (including assessing land tenure issues and improving access to financial services); and </w:t>
      </w:r>
      <w:r w:rsidRPr="00834149">
        <w:rPr>
          <w:rFonts w:cs="Times New Roman"/>
        </w:rPr>
        <w:t>(</w:t>
      </w:r>
      <w:r w:rsidR="00926925" w:rsidRPr="00834149">
        <w:rPr>
          <w:rFonts w:cs="Times New Roman"/>
        </w:rPr>
        <w:t xml:space="preserve">iv) enhancing women’s voice and agency and engaging men and boys. A proposed Gender Analysis would help identify the most relevant gender gaps in Togo, what these gaps cost the Togolese economy in terms of lost productivity potential, and what it would take to close these gaps. The </w:t>
      </w:r>
      <w:r w:rsidR="00C1729A" w:rsidRPr="00834149">
        <w:rPr>
          <w:rFonts w:cs="Times New Roman"/>
        </w:rPr>
        <w:t>analysis</w:t>
      </w:r>
      <w:r w:rsidR="00926925" w:rsidRPr="00834149">
        <w:rPr>
          <w:rFonts w:cs="Times New Roman"/>
        </w:rPr>
        <w:t xml:space="preserve"> would inform </w:t>
      </w:r>
      <w:r w:rsidRPr="00834149">
        <w:rPr>
          <w:rFonts w:cs="Times New Roman"/>
        </w:rPr>
        <w:t>WBG</w:t>
      </w:r>
      <w:r w:rsidR="00926925" w:rsidRPr="00834149">
        <w:rPr>
          <w:rFonts w:cs="Times New Roman"/>
        </w:rPr>
        <w:t xml:space="preserve"> support in the latter part of the CPF period. In the meantime, the CPF has been informed by the SCD, consultations</w:t>
      </w:r>
      <w:r w:rsidRPr="00834149">
        <w:rPr>
          <w:rFonts w:cs="Times New Roman"/>
        </w:rPr>
        <w:t>,</w:t>
      </w:r>
      <w:r w:rsidR="00926925" w:rsidRPr="00834149">
        <w:rPr>
          <w:rFonts w:cs="Times New Roman"/>
        </w:rPr>
        <w:t xml:space="preserve"> and a range of gender analytical work that satisfies the requirements of OP/BP 4.20. </w:t>
      </w:r>
    </w:p>
    <w:p w14:paraId="0EF9787E" w14:textId="034A6EA2" w:rsidR="001F4DC4" w:rsidRPr="00834149" w:rsidRDefault="001F4DC4" w:rsidP="00A50430">
      <w:pPr>
        <w:rPr>
          <w:rFonts w:cs="Times New Roman"/>
          <w:b/>
          <w:caps/>
        </w:rPr>
      </w:pPr>
    </w:p>
    <w:p w14:paraId="47EE1EEE" w14:textId="3BBB0DB6" w:rsidR="0098178C" w:rsidRPr="00834149" w:rsidRDefault="0098178C" w:rsidP="00A50430">
      <w:pPr>
        <w:rPr>
          <w:rFonts w:cs="Times New Roman"/>
          <w:b/>
          <w:caps/>
        </w:rPr>
      </w:pPr>
      <w:r w:rsidRPr="00834149">
        <w:rPr>
          <w:rFonts w:cs="Times New Roman"/>
          <w:b/>
          <w:caps/>
        </w:rPr>
        <w:t xml:space="preserve">Focus Area 3: </w:t>
      </w:r>
      <w:r w:rsidR="00672F4D" w:rsidRPr="00834149">
        <w:rPr>
          <w:rFonts w:cs="Times New Roman"/>
          <w:b/>
          <w:caps/>
        </w:rPr>
        <w:t>ENVIRONMENTAL SUSTAINABILTY</w:t>
      </w:r>
      <w:r w:rsidRPr="00834149">
        <w:rPr>
          <w:rFonts w:cs="Times New Roman"/>
          <w:b/>
          <w:caps/>
        </w:rPr>
        <w:t xml:space="preserve"> and Resilience </w:t>
      </w:r>
    </w:p>
    <w:p w14:paraId="152570E6" w14:textId="77777777" w:rsidR="0098178C" w:rsidRPr="00834149" w:rsidRDefault="0098178C" w:rsidP="00A50430">
      <w:pPr>
        <w:jc w:val="both"/>
        <w:rPr>
          <w:rFonts w:cs="Times New Roman"/>
        </w:rPr>
      </w:pPr>
    </w:p>
    <w:p w14:paraId="0065388B" w14:textId="4D508D5A" w:rsidR="0088720D" w:rsidRPr="00834149" w:rsidRDefault="00672F4D" w:rsidP="00834149">
      <w:pPr>
        <w:pStyle w:val="ListParagraph"/>
        <w:numPr>
          <w:ilvl w:val="0"/>
          <w:numId w:val="2"/>
        </w:numPr>
        <w:ind w:left="0" w:firstLine="0"/>
        <w:contextualSpacing w:val="0"/>
        <w:jc w:val="both"/>
        <w:rPr>
          <w:rFonts w:cs="Times New Roman"/>
        </w:rPr>
      </w:pPr>
      <w:r w:rsidRPr="00834149">
        <w:rPr>
          <w:rFonts w:cs="Times New Roman"/>
          <w:b/>
        </w:rPr>
        <w:t>Togo faces major environmental sustainability risks, which impose significant economic costs</w:t>
      </w:r>
      <w:r w:rsidRPr="00834149">
        <w:rPr>
          <w:rFonts w:cs="Times New Roman"/>
        </w:rPr>
        <w:t xml:space="preserve">. Environmental and resource degradation (including air pollution, declining water quality, coastal erosion, and land degradation) are estimated to </w:t>
      </w:r>
      <w:r w:rsidR="00AC5BE0" w:rsidRPr="00834149">
        <w:rPr>
          <w:rFonts w:cs="Times New Roman"/>
        </w:rPr>
        <w:t>cost</w:t>
      </w:r>
      <w:r w:rsidRPr="00834149">
        <w:rPr>
          <w:rFonts w:cs="Times New Roman"/>
        </w:rPr>
        <w:t xml:space="preserve"> 6.8 percent of GDP per year, entirely offsetting </w:t>
      </w:r>
      <w:r w:rsidR="00AC5BE0" w:rsidRPr="00834149">
        <w:rPr>
          <w:rFonts w:cs="Times New Roman"/>
        </w:rPr>
        <w:t xml:space="preserve">Togo’s 5 percent </w:t>
      </w:r>
      <w:r w:rsidRPr="00834149">
        <w:rPr>
          <w:rFonts w:cs="Times New Roman"/>
        </w:rPr>
        <w:t xml:space="preserve">average </w:t>
      </w:r>
      <w:r w:rsidR="00AC5BE0" w:rsidRPr="00834149">
        <w:rPr>
          <w:rFonts w:cs="Times New Roman"/>
        </w:rPr>
        <w:t xml:space="preserve">annual </w:t>
      </w:r>
      <w:r w:rsidRPr="00834149">
        <w:rPr>
          <w:rFonts w:cs="Times New Roman"/>
        </w:rPr>
        <w:t>GDP growth over the past decade.</w:t>
      </w:r>
      <w:r w:rsidRPr="00834149">
        <w:rPr>
          <w:rStyle w:val="FootnoteReference"/>
          <w:rFonts w:cs="Times New Roman"/>
        </w:rPr>
        <w:footnoteReference w:id="11"/>
      </w:r>
      <w:r w:rsidRPr="00834149">
        <w:rPr>
          <w:rFonts w:cs="Times New Roman"/>
        </w:rPr>
        <w:t xml:space="preserve"> The CPF will support investments to strengthen the management of soil, coastal, and water resources and promote more integrated and effective mechanisms to mitigate the effects of natural disasters and climate change.</w:t>
      </w:r>
    </w:p>
    <w:p w14:paraId="264B8725" w14:textId="3937F5C5" w:rsidR="0088720D" w:rsidRPr="00834149" w:rsidRDefault="0088720D" w:rsidP="00A50430">
      <w:pPr>
        <w:rPr>
          <w:rFonts w:cs="Times New Roman"/>
        </w:rPr>
      </w:pPr>
    </w:p>
    <w:tbl>
      <w:tblPr>
        <w:tblStyle w:val="TableGrid"/>
        <w:tblW w:w="0" w:type="auto"/>
        <w:tblLook w:val="04A0" w:firstRow="1" w:lastRow="0" w:firstColumn="1" w:lastColumn="0" w:noHBand="0" w:noVBand="1"/>
      </w:tblPr>
      <w:tblGrid>
        <w:gridCol w:w="2230"/>
        <w:gridCol w:w="7120"/>
      </w:tblGrid>
      <w:tr w:rsidR="0098178C" w:rsidRPr="00A50430" w14:paraId="610F1B08" w14:textId="77777777" w:rsidTr="00C97360">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5742B6" w14:textId="77777777" w:rsidR="0098178C" w:rsidRPr="00834149" w:rsidRDefault="0098178C" w:rsidP="00A50430">
            <w:pPr>
              <w:jc w:val="both"/>
              <w:rPr>
                <w:rFonts w:cs="Times New Roman"/>
                <w:b/>
              </w:rPr>
            </w:pPr>
            <w:r w:rsidRPr="00834149">
              <w:rPr>
                <w:rFonts w:cs="Times New Roman"/>
                <w:b/>
              </w:rPr>
              <w:t>Focus Area 3</w:t>
            </w:r>
          </w:p>
        </w:tc>
        <w:tc>
          <w:tcPr>
            <w:tcW w:w="7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A708F2" w14:textId="24EA18FC" w:rsidR="0098178C" w:rsidRPr="00834149" w:rsidRDefault="00586F40" w:rsidP="00A50430">
            <w:pPr>
              <w:jc w:val="both"/>
              <w:rPr>
                <w:rFonts w:cs="Times New Roman"/>
                <w:b/>
              </w:rPr>
            </w:pPr>
            <w:r w:rsidRPr="00834149">
              <w:rPr>
                <w:rFonts w:cs="Times New Roman"/>
                <w:b/>
              </w:rPr>
              <w:t>Environmental S</w:t>
            </w:r>
            <w:r w:rsidR="00AC5BE0" w:rsidRPr="00834149">
              <w:rPr>
                <w:rFonts w:cs="Times New Roman"/>
                <w:b/>
              </w:rPr>
              <w:t xml:space="preserve">ustainability and </w:t>
            </w:r>
            <w:r w:rsidRPr="00834149">
              <w:rPr>
                <w:rFonts w:cs="Times New Roman"/>
                <w:b/>
              </w:rPr>
              <w:t>R</w:t>
            </w:r>
            <w:r w:rsidR="00AC5BE0" w:rsidRPr="00834149">
              <w:rPr>
                <w:rFonts w:cs="Times New Roman"/>
                <w:b/>
              </w:rPr>
              <w:t>esilience</w:t>
            </w:r>
          </w:p>
        </w:tc>
      </w:tr>
      <w:tr w:rsidR="0098178C" w:rsidRPr="00A50430" w14:paraId="7C1E3E1B" w14:textId="77777777" w:rsidTr="00C97360">
        <w:trPr>
          <w:trHeight w:val="575"/>
        </w:trPr>
        <w:tc>
          <w:tcPr>
            <w:tcW w:w="2268" w:type="dxa"/>
            <w:tcBorders>
              <w:top w:val="single" w:sz="4" w:space="0" w:color="auto"/>
              <w:left w:val="single" w:sz="4" w:space="0" w:color="auto"/>
              <w:bottom w:val="single" w:sz="4" w:space="0" w:color="auto"/>
              <w:right w:val="single" w:sz="4" w:space="0" w:color="auto"/>
            </w:tcBorders>
            <w:shd w:val="clear" w:color="auto" w:fill="F8F8F0" w:themeFill="background2" w:themeFillTint="33"/>
          </w:tcPr>
          <w:p w14:paraId="1B8CEA0F" w14:textId="77777777" w:rsidR="0098178C" w:rsidRPr="00834149" w:rsidRDefault="0098178C" w:rsidP="00A50430">
            <w:pPr>
              <w:jc w:val="both"/>
              <w:rPr>
                <w:rFonts w:cs="Times New Roman"/>
              </w:rPr>
            </w:pPr>
            <w:r w:rsidRPr="00834149">
              <w:rPr>
                <w:rFonts w:cs="Times New Roman"/>
              </w:rPr>
              <w:t>CPF Objectives</w:t>
            </w:r>
          </w:p>
          <w:p w14:paraId="07FC075C" w14:textId="77777777" w:rsidR="0098178C" w:rsidRPr="00834149" w:rsidRDefault="0098178C" w:rsidP="00A50430">
            <w:pPr>
              <w:jc w:val="both"/>
              <w:rPr>
                <w:rFonts w:cs="Times New Roman"/>
              </w:rPr>
            </w:pPr>
          </w:p>
        </w:tc>
        <w:tc>
          <w:tcPr>
            <w:tcW w:w="7308" w:type="dxa"/>
            <w:tcBorders>
              <w:top w:val="single" w:sz="4" w:space="0" w:color="auto"/>
              <w:left w:val="single" w:sz="4" w:space="0" w:color="auto"/>
              <w:bottom w:val="single" w:sz="4" w:space="0" w:color="auto"/>
              <w:right w:val="single" w:sz="4" w:space="0" w:color="auto"/>
            </w:tcBorders>
            <w:shd w:val="clear" w:color="auto" w:fill="F8F8F0" w:themeFill="background2" w:themeFillTint="33"/>
            <w:hideMark/>
          </w:tcPr>
          <w:p w14:paraId="6AB319F4" w14:textId="77777777" w:rsidR="0098178C" w:rsidRPr="00834149" w:rsidRDefault="0098178C" w:rsidP="00A50430">
            <w:pPr>
              <w:pStyle w:val="ListParagraph"/>
              <w:numPr>
                <w:ilvl w:val="1"/>
                <w:numId w:val="11"/>
              </w:numPr>
              <w:jc w:val="both"/>
              <w:rPr>
                <w:rFonts w:cs="Times New Roman"/>
              </w:rPr>
            </w:pPr>
            <w:r w:rsidRPr="00834149">
              <w:rPr>
                <w:rFonts w:cs="Times New Roman"/>
              </w:rPr>
              <w:t>Strengthen the management of productive natural resources</w:t>
            </w:r>
          </w:p>
          <w:p w14:paraId="73F7950E" w14:textId="3943B97C" w:rsidR="0098178C" w:rsidRPr="00834149" w:rsidRDefault="0098178C" w:rsidP="00A50430">
            <w:pPr>
              <w:pStyle w:val="ListParagraph"/>
              <w:numPr>
                <w:ilvl w:val="1"/>
                <w:numId w:val="11"/>
              </w:numPr>
              <w:jc w:val="both"/>
              <w:rPr>
                <w:rFonts w:cs="Times New Roman"/>
              </w:rPr>
            </w:pPr>
            <w:r w:rsidRPr="00834149">
              <w:rPr>
                <w:rFonts w:cs="Times New Roman"/>
              </w:rPr>
              <w:t xml:space="preserve">Strengthen resilience and adaptation to climate change </w:t>
            </w:r>
          </w:p>
        </w:tc>
      </w:tr>
    </w:tbl>
    <w:p w14:paraId="2F4193F6" w14:textId="77777777" w:rsidR="0098178C" w:rsidRPr="00834149" w:rsidRDefault="0098178C" w:rsidP="00A50430">
      <w:pPr>
        <w:jc w:val="both"/>
        <w:rPr>
          <w:rFonts w:cs="Times New Roman"/>
        </w:rPr>
      </w:pPr>
    </w:p>
    <w:p w14:paraId="01D60B7A" w14:textId="4C3CC333" w:rsidR="0098178C" w:rsidRPr="00834149" w:rsidRDefault="0098178C" w:rsidP="00A50430">
      <w:pPr>
        <w:jc w:val="both"/>
        <w:rPr>
          <w:rFonts w:cs="Times New Roman"/>
          <w:b/>
          <w:smallCaps/>
        </w:rPr>
      </w:pPr>
      <w:r w:rsidRPr="00834149">
        <w:rPr>
          <w:rFonts w:cs="Times New Roman"/>
          <w:b/>
          <w:smallCaps/>
        </w:rPr>
        <w:t xml:space="preserve">Objective 3.1: Strengthen the </w:t>
      </w:r>
      <w:r w:rsidR="00586F40" w:rsidRPr="00834149">
        <w:rPr>
          <w:rFonts w:cs="Times New Roman"/>
          <w:b/>
          <w:smallCaps/>
        </w:rPr>
        <w:t>M</w:t>
      </w:r>
      <w:r w:rsidRPr="00834149">
        <w:rPr>
          <w:rFonts w:cs="Times New Roman"/>
          <w:b/>
          <w:smallCaps/>
        </w:rPr>
        <w:t xml:space="preserve">anagement of </w:t>
      </w:r>
      <w:r w:rsidR="00586F40" w:rsidRPr="00834149">
        <w:rPr>
          <w:rFonts w:cs="Times New Roman"/>
          <w:b/>
          <w:smallCaps/>
        </w:rPr>
        <w:t>P</w:t>
      </w:r>
      <w:r w:rsidRPr="00834149">
        <w:rPr>
          <w:rFonts w:cs="Times New Roman"/>
          <w:b/>
          <w:smallCaps/>
        </w:rPr>
        <w:t xml:space="preserve">roductive </w:t>
      </w:r>
      <w:r w:rsidR="00586F40" w:rsidRPr="00834149">
        <w:rPr>
          <w:rFonts w:cs="Times New Roman"/>
          <w:b/>
          <w:smallCaps/>
        </w:rPr>
        <w:t>N</w:t>
      </w:r>
      <w:r w:rsidRPr="00834149">
        <w:rPr>
          <w:rFonts w:cs="Times New Roman"/>
          <w:b/>
          <w:smallCaps/>
        </w:rPr>
        <w:t xml:space="preserve">atural </w:t>
      </w:r>
      <w:r w:rsidR="00586F40" w:rsidRPr="00834149">
        <w:rPr>
          <w:rFonts w:cs="Times New Roman"/>
          <w:b/>
          <w:smallCaps/>
        </w:rPr>
        <w:t>R</w:t>
      </w:r>
      <w:r w:rsidRPr="00834149">
        <w:rPr>
          <w:rFonts w:cs="Times New Roman"/>
          <w:b/>
          <w:smallCaps/>
        </w:rPr>
        <w:t>esources</w:t>
      </w:r>
    </w:p>
    <w:p w14:paraId="0B830943" w14:textId="77777777" w:rsidR="0098178C" w:rsidRPr="00834149" w:rsidRDefault="0098178C" w:rsidP="00A50430">
      <w:pPr>
        <w:pStyle w:val="Default"/>
        <w:jc w:val="both"/>
        <w:rPr>
          <w:rFonts w:asciiTheme="minorHAnsi" w:hAnsiTheme="minorHAnsi"/>
          <w:sz w:val="22"/>
          <w:szCs w:val="22"/>
        </w:rPr>
      </w:pPr>
    </w:p>
    <w:p w14:paraId="58411A67" w14:textId="35E3DF91" w:rsidR="0098178C" w:rsidRPr="00834149" w:rsidRDefault="0098178C" w:rsidP="00834149">
      <w:pPr>
        <w:pStyle w:val="ListParagraph"/>
        <w:numPr>
          <w:ilvl w:val="0"/>
          <w:numId w:val="2"/>
        </w:numPr>
        <w:ind w:left="0" w:firstLine="0"/>
        <w:contextualSpacing w:val="0"/>
        <w:jc w:val="both"/>
        <w:rPr>
          <w:rFonts w:eastAsia="Times New Roman" w:cs="Times New Roman"/>
        </w:rPr>
      </w:pPr>
      <w:r w:rsidRPr="00834149">
        <w:rPr>
          <w:rFonts w:cs="Times New Roman"/>
          <w:b/>
          <w:color w:val="000000"/>
        </w:rPr>
        <w:t xml:space="preserve">Togo’s natural assets are subject to a vicious cycle of deforestation for biofuel, increased clearing of land for agriculture, worsening microclimates, declining availability of surface water, </w:t>
      </w:r>
      <w:r w:rsidRPr="00834149">
        <w:rPr>
          <w:rFonts w:cs="Times New Roman"/>
          <w:b/>
        </w:rPr>
        <w:t>rising evapotranspiration, and declining yields</w:t>
      </w:r>
      <w:r w:rsidRPr="00834149">
        <w:rPr>
          <w:rFonts w:cs="Times New Roman"/>
        </w:rPr>
        <w:t>.</w:t>
      </w:r>
      <w:r w:rsidRPr="00834149">
        <w:rPr>
          <w:rFonts w:cs="Times New Roman"/>
          <w:color w:val="000000"/>
        </w:rPr>
        <w:t xml:space="preserve"> </w:t>
      </w:r>
      <w:r w:rsidRPr="00834149">
        <w:rPr>
          <w:rFonts w:cs="Times New Roman"/>
        </w:rPr>
        <w:t>The World Bank’s main instrument to combat land degradation and strengthen the management of natural resources is the Integrated Disaster and Land Management (IDLM) Project, financed by IDA, GEF</w:t>
      </w:r>
      <w:r w:rsidR="00586F40" w:rsidRPr="00834149">
        <w:rPr>
          <w:rFonts w:cs="Times New Roman"/>
        </w:rPr>
        <w:t>,</w:t>
      </w:r>
      <w:r w:rsidRPr="00834149">
        <w:rPr>
          <w:rFonts w:cs="Times New Roman"/>
        </w:rPr>
        <w:t xml:space="preserve"> and other trust funds. The IDLM is helping urban and rural communities adapt to climate variability</w:t>
      </w:r>
      <w:r w:rsidR="00586F40" w:rsidRPr="00834149">
        <w:rPr>
          <w:rFonts w:cs="Times New Roman"/>
        </w:rPr>
        <w:t>,</w:t>
      </w:r>
      <w:r w:rsidRPr="00834149">
        <w:rPr>
          <w:rFonts w:cs="Times New Roman"/>
        </w:rPr>
        <w:t xml:space="preserve"> change their farm practices</w:t>
      </w:r>
      <w:r w:rsidR="00586F40" w:rsidRPr="00834149">
        <w:rPr>
          <w:rFonts w:cs="Times New Roman"/>
        </w:rPr>
        <w:t>,</w:t>
      </w:r>
      <w:r w:rsidRPr="00834149">
        <w:rPr>
          <w:rFonts w:cs="Times New Roman"/>
        </w:rPr>
        <w:t xml:space="preserve"> and improve their preparedness with the establishment of an early warning system to prevent flooding and implement more efficient interventions to respond to floods and flooding victims. The project uses a CDD approach and has supported small rural infrastructure construction and </w:t>
      </w:r>
      <w:r w:rsidR="00586F40" w:rsidRPr="00834149">
        <w:rPr>
          <w:rFonts w:cs="Times New Roman"/>
        </w:rPr>
        <w:t xml:space="preserve">provided </w:t>
      </w:r>
      <w:r w:rsidRPr="00834149">
        <w:rPr>
          <w:rFonts w:cs="Times New Roman"/>
        </w:rPr>
        <w:t xml:space="preserve">20,000 direct </w:t>
      </w:r>
      <w:r w:rsidR="00586F40" w:rsidRPr="00834149">
        <w:rPr>
          <w:rFonts w:cs="Times New Roman"/>
        </w:rPr>
        <w:t>jobs</w:t>
      </w:r>
      <w:r w:rsidRPr="00834149">
        <w:rPr>
          <w:rFonts w:cs="Times New Roman"/>
        </w:rPr>
        <w:t>.</w:t>
      </w:r>
    </w:p>
    <w:p w14:paraId="0204804B" w14:textId="77777777" w:rsidR="00F402C4" w:rsidRPr="00834149" w:rsidRDefault="00F402C4" w:rsidP="00834149">
      <w:pPr>
        <w:pStyle w:val="ListParagraph"/>
        <w:ind w:left="0"/>
        <w:contextualSpacing w:val="0"/>
        <w:jc w:val="both"/>
        <w:rPr>
          <w:rFonts w:eastAsia="Times New Roman" w:cs="Times New Roman"/>
        </w:rPr>
      </w:pPr>
    </w:p>
    <w:p w14:paraId="47487ECE" w14:textId="46E39F29" w:rsidR="009B62FA" w:rsidRPr="00834149" w:rsidRDefault="0098178C" w:rsidP="00834149">
      <w:pPr>
        <w:pStyle w:val="ListParagraph"/>
        <w:numPr>
          <w:ilvl w:val="0"/>
          <w:numId w:val="2"/>
        </w:numPr>
        <w:ind w:left="0" w:firstLine="0"/>
        <w:contextualSpacing w:val="0"/>
        <w:jc w:val="both"/>
        <w:rPr>
          <w:rFonts w:eastAsia="Times New Roman"/>
        </w:rPr>
      </w:pPr>
      <w:r w:rsidRPr="00834149">
        <w:rPr>
          <w:rFonts w:cs="Times New Roman"/>
          <w:b/>
        </w:rPr>
        <w:t xml:space="preserve">The IDLM is complemented by REDD+ (Reduction of </w:t>
      </w:r>
      <w:r w:rsidR="008A01A2" w:rsidRPr="00834149">
        <w:rPr>
          <w:rFonts w:cs="Times New Roman"/>
          <w:b/>
        </w:rPr>
        <w:t>C</w:t>
      </w:r>
      <w:r w:rsidRPr="00834149">
        <w:rPr>
          <w:rFonts w:cs="Times New Roman"/>
          <w:b/>
        </w:rPr>
        <w:t xml:space="preserve">arbon </w:t>
      </w:r>
      <w:r w:rsidR="008A01A2" w:rsidRPr="00834149">
        <w:rPr>
          <w:rFonts w:cs="Times New Roman"/>
          <w:b/>
        </w:rPr>
        <w:t>E</w:t>
      </w:r>
      <w:r w:rsidRPr="00834149">
        <w:rPr>
          <w:rFonts w:cs="Times New Roman"/>
          <w:b/>
        </w:rPr>
        <w:t xml:space="preserve">missions due to </w:t>
      </w:r>
      <w:r w:rsidR="00586F40" w:rsidRPr="00834149">
        <w:rPr>
          <w:rFonts w:cs="Times New Roman"/>
          <w:b/>
        </w:rPr>
        <w:t>D</w:t>
      </w:r>
      <w:r w:rsidRPr="00834149">
        <w:rPr>
          <w:rFonts w:cs="Times New Roman"/>
          <w:b/>
        </w:rPr>
        <w:t xml:space="preserve">eforestation and </w:t>
      </w:r>
      <w:r w:rsidR="00586F40" w:rsidRPr="00834149">
        <w:rPr>
          <w:rFonts w:cs="Times New Roman"/>
          <w:b/>
        </w:rPr>
        <w:t>D</w:t>
      </w:r>
      <w:r w:rsidRPr="00834149">
        <w:rPr>
          <w:rFonts w:cs="Times New Roman"/>
          <w:b/>
        </w:rPr>
        <w:t xml:space="preserve">egradation of </w:t>
      </w:r>
      <w:r w:rsidR="008A01A2" w:rsidRPr="00834149">
        <w:rPr>
          <w:rFonts w:cs="Times New Roman"/>
          <w:b/>
        </w:rPr>
        <w:t>F</w:t>
      </w:r>
      <w:r w:rsidRPr="00834149">
        <w:rPr>
          <w:rFonts w:cs="Times New Roman"/>
          <w:b/>
        </w:rPr>
        <w:t>orests), a grant financed by the Forest Carbon Partnership facility to help Togo design a socially and environmentally sound national strategy to reduce emissions from deforestation and forest degradation</w:t>
      </w:r>
      <w:r w:rsidRPr="00834149">
        <w:rPr>
          <w:rFonts w:cs="Times New Roman"/>
        </w:rPr>
        <w:t xml:space="preserve">. The goal is to maintain forest cover </w:t>
      </w:r>
      <w:r w:rsidR="00586F40" w:rsidRPr="00834149">
        <w:rPr>
          <w:rFonts w:cs="Times New Roman"/>
        </w:rPr>
        <w:t xml:space="preserve">at </w:t>
      </w:r>
      <w:r w:rsidRPr="00834149">
        <w:rPr>
          <w:rFonts w:cs="Times New Roman"/>
        </w:rPr>
        <w:t>current level</w:t>
      </w:r>
      <w:r w:rsidR="00586F40" w:rsidRPr="00834149">
        <w:rPr>
          <w:rFonts w:cs="Times New Roman"/>
        </w:rPr>
        <w:t xml:space="preserve">s, </w:t>
      </w:r>
      <w:r w:rsidRPr="00834149">
        <w:rPr>
          <w:rFonts w:cs="Times New Roman"/>
        </w:rPr>
        <w:t>undertake a second inventory of national forest cover in 2020</w:t>
      </w:r>
      <w:r w:rsidR="00586F40" w:rsidRPr="00834149">
        <w:rPr>
          <w:rFonts w:cs="Times New Roman"/>
        </w:rPr>
        <w:t>,</w:t>
      </w:r>
      <w:r w:rsidR="008A01A2" w:rsidRPr="00834149">
        <w:rPr>
          <w:rFonts w:cs="Times New Roman"/>
        </w:rPr>
        <w:t xml:space="preserve"> </w:t>
      </w:r>
      <w:r w:rsidR="00586F40" w:rsidRPr="00834149">
        <w:rPr>
          <w:rFonts w:cs="Times New Roman"/>
        </w:rPr>
        <w:t>improve forest</w:t>
      </w:r>
      <w:r w:rsidRPr="00834149">
        <w:rPr>
          <w:rFonts w:cs="Times New Roman"/>
        </w:rPr>
        <w:t xml:space="preserve"> governance by strengthening the capacity of stakeholders to implement </w:t>
      </w:r>
      <w:r w:rsidR="00586F40" w:rsidRPr="00834149">
        <w:rPr>
          <w:rFonts w:cs="Times New Roman"/>
        </w:rPr>
        <w:t>the forestry legal framework,</w:t>
      </w:r>
      <w:r w:rsidRPr="00834149">
        <w:rPr>
          <w:rFonts w:cs="Times New Roman"/>
        </w:rPr>
        <w:t xml:space="preserve"> and train and assist private land owners and communities in </w:t>
      </w:r>
      <w:r w:rsidRPr="00834149">
        <w:rPr>
          <w:rFonts w:cs="Times New Roman"/>
        </w:rPr>
        <w:lastRenderedPageBreak/>
        <w:t>forested areas to better manage plantations and to establish a cadaster of these properties. The project also helps to establish and make operational a grievance and redress mechanism. An IDLM additional financing (</w:t>
      </w:r>
      <w:r w:rsidR="00586F40" w:rsidRPr="00834149">
        <w:rPr>
          <w:rFonts w:cs="Times New Roman"/>
        </w:rPr>
        <w:t>FY1</w:t>
      </w:r>
      <w:r w:rsidR="00F6268E" w:rsidRPr="00834149">
        <w:rPr>
          <w:rFonts w:cs="Times New Roman"/>
        </w:rPr>
        <w:t>9</w:t>
      </w:r>
      <w:r w:rsidRPr="00834149">
        <w:rPr>
          <w:rFonts w:cs="Times New Roman"/>
        </w:rPr>
        <w:t xml:space="preserve">) could support the preparation of new investments and measures to be implemented under the REDD+ strategy, and bridge any time gap. The REDD+ program is also supported by GIZ. </w:t>
      </w:r>
    </w:p>
    <w:p w14:paraId="255DC45C" w14:textId="00288A03" w:rsidR="00F402C4" w:rsidRPr="00A50430" w:rsidRDefault="00F402C4" w:rsidP="00834149">
      <w:pPr>
        <w:pStyle w:val="ListParagraph"/>
        <w:ind w:left="0"/>
        <w:contextualSpacing w:val="0"/>
        <w:jc w:val="both"/>
        <w:rPr>
          <w:rFonts w:eastAsia="Times New Roman"/>
        </w:rPr>
      </w:pPr>
    </w:p>
    <w:p w14:paraId="29CA1501" w14:textId="45825847" w:rsidR="0098178C" w:rsidRPr="00834149" w:rsidRDefault="0098178C" w:rsidP="00A50430">
      <w:pPr>
        <w:pBdr>
          <w:top w:val="single" w:sz="4" w:space="1" w:color="auto"/>
          <w:left w:val="single" w:sz="4" w:space="4" w:color="auto"/>
          <w:right w:val="single" w:sz="4" w:space="4" w:color="auto"/>
        </w:pBdr>
        <w:shd w:val="clear" w:color="auto" w:fill="D9D9D9" w:themeFill="background1" w:themeFillShade="D9"/>
        <w:rPr>
          <w:rFonts w:cs="Times New Roman"/>
          <w:b/>
          <w:i/>
        </w:rPr>
      </w:pPr>
      <w:r w:rsidRPr="00834149">
        <w:rPr>
          <w:rFonts w:cs="Times New Roman"/>
          <w:b/>
          <w:i/>
        </w:rPr>
        <w:t xml:space="preserve">Results Indicators for Objective 3.1: Strengthen the </w:t>
      </w:r>
      <w:r w:rsidR="009B62FA" w:rsidRPr="00834149">
        <w:rPr>
          <w:rFonts w:cs="Times New Roman"/>
          <w:b/>
          <w:i/>
        </w:rPr>
        <w:t>M</w:t>
      </w:r>
      <w:r w:rsidRPr="00834149">
        <w:rPr>
          <w:rFonts w:cs="Times New Roman"/>
          <w:b/>
          <w:i/>
        </w:rPr>
        <w:t xml:space="preserve">anagement of </w:t>
      </w:r>
      <w:r w:rsidR="009B62FA" w:rsidRPr="00834149">
        <w:rPr>
          <w:rFonts w:cs="Times New Roman"/>
          <w:b/>
          <w:i/>
        </w:rPr>
        <w:t>P</w:t>
      </w:r>
      <w:r w:rsidRPr="00834149">
        <w:rPr>
          <w:rFonts w:cs="Times New Roman"/>
          <w:b/>
          <w:i/>
        </w:rPr>
        <w:t xml:space="preserve">roductive </w:t>
      </w:r>
      <w:r w:rsidR="009B62FA" w:rsidRPr="00834149">
        <w:rPr>
          <w:rFonts w:cs="Times New Roman"/>
          <w:b/>
          <w:i/>
        </w:rPr>
        <w:t>N</w:t>
      </w:r>
      <w:r w:rsidRPr="00834149">
        <w:rPr>
          <w:rFonts w:cs="Times New Roman"/>
          <w:b/>
          <w:i/>
        </w:rPr>
        <w:t xml:space="preserve">atural </w:t>
      </w:r>
      <w:r w:rsidR="009B62FA" w:rsidRPr="00834149">
        <w:rPr>
          <w:rFonts w:cs="Times New Roman"/>
          <w:b/>
          <w:i/>
        </w:rPr>
        <w:t>R</w:t>
      </w:r>
      <w:r w:rsidRPr="00834149">
        <w:rPr>
          <w:rFonts w:cs="Times New Roman"/>
          <w:b/>
          <w:i/>
        </w:rPr>
        <w:t>esources</w:t>
      </w:r>
    </w:p>
    <w:p w14:paraId="48949CB5" w14:textId="68A9E3BD" w:rsidR="0098178C" w:rsidRPr="00834149" w:rsidRDefault="0098178C" w:rsidP="00A50430">
      <w:pPr>
        <w:pBdr>
          <w:top w:val="single" w:sz="4" w:space="0" w:color="auto"/>
          <w:left w:val="single" w:sz="4" w:space="4" w:color="auto"/>
          <w:bottom w:val="single" w:sz="4" w:space="1" w:color="auto"/>
          <w:right w:val="single" w:sz="4" w:space="4" w:color="auto"/>
        </w:pBdr>
        <w:shd w:val="clear" w:color="auto" w:fill="F8F8F0" w:themeFill="background2" w:themeFillTint="33"/>
        <w:rPr>
          <w:rFonts w:cs="Times New Roman"/>
          <w:b/>
        </w:rPr>
      </w:pPr>
      <w:r w:rsidRPr="00834149">
        <w:rPr>
          <w:rFonts w:cs="Times New Roman"/>
          <w:b/>
        </w:rPr>
        <w:t xml:space="preserve">Indicator 1: </w:t>
      </w:r>
      <w:r w:rsidRPr="00834149">
        <w:rPr>
          <w:rFonts w:cs="Times New Roman"/>
        </w:rPr>
        <w:t>Additional land area with Sustainable Landscape Management practices and/or climate resilient agricultural practices</w:t>
      </w:r>
      <w:r w:rsidR="008F11ED" w:rsidRPr="00834149">
        <w:rPr>
          <w:rFonts w:cs="Times New Roman"/>
        </w:rPr>
        <w:t xml:space="preserve"> (</w:t>
      </w:r>
      <w:r w:rsidR="008F11ED" w:rsidRPr="00834149">
        <w:rPr>
          <w:rFonts w:cs="Times New Roman"/>
          <w:i/>
        </w:rPr>
        <w:t xml:space="preserve">from </w:t>
      </w:r>
      <w:r w:rsidR="009B62FA" w:rsidRPr="00834149">
        <w:rPr>
          <w:rFonts w:cs="Times New Roman"/>
          <w:i/>
        </w:rPr>
        <w:t xml:space="preserve">1,200 </w:t>
      </w:r>
      <w:r w:rsidR="008F11ED" w:rsidRPr="00834149">
        <w:rPr>
          <w:rFonts w:cs="Times New Roman"/>
          <w:i/>
        </w:rPr>
        <w:t xml:space="preserve">in 2017 to </w:t>
      </w:r>
      <w:r w:rsidR="009B62FA" w:rsidRPr="00834149">
        <w:rPr>
          <w:rFonts w:cs="Times New Roman"/>
          <w:i/>
        </w:rPr>
        <w:t>2,000</w:t>
      </w:r>
      <w:r w:rsidR="008F11ED" w:rsidRPr="00834149">
        <w:rPr>
          <w:rFonts w:cs="Times New Roman"/>
          <w:i/>
        </w:rPr>
        <w:t xml:space="preserve"> in </w:t>
      </w:r>
      <w:r w:rsidR="009B62FA" w:rsidRPr="00834149">
        <w:rPr>
          <w:rFonts w:cs="Times New Roman"/>
          <w:i/>
        </w:rPr>
        <w:t>2020</w:t>
      </w:r>
      <w:r w:rsidR="009B62FA" w:rsidRPr="00834149">
        <w:rPr>
          <w:rFonts w:cs="Times New Roman"/>
        </w:rPr>
        <w:t>)</w:t>
      </w:r>
    </w:p>
    <w:p w14:paraId="084CA153" w14:textId="0CC47D0F" w:rsidR="0098178C" w:rsidRPr="00834149" w:rsidRDefault="0098178C" w:rsidP="00A50430">
      <w:pPr>
        <w:pBdr>
          <w:top w:val="single" w:sz="4" w:space="0" w:color="auto"/>
          <w:left w:val="single" w:sz="4" w:space="4" w:color="auto"/>
          <w:bottom w:val="single" w:sz="4" w:space="1" w:color="auto"/>
          <w:right w:val="single" w:sz="4" w:space="4" w:color="auto"/>
        </w:pBdr>
        <w:shd w:val="clear" w:color="auto" w:fill="F8F8F0" w:themeFill="background2" w:themeFillTint="33"/>
        <w:rPr>
          <w:rFonts w:cs="Times New Roman"/>
        </w:rPr>
      </w:pPr>
      <w:r w:rsidRPr="00834149">
        <w:rPr>
          <w:rFonts w:cs="Times New Roman"/>
          <w:b/>
        </w:rPr>
        <w:t>Indicator 2:</w:t>
      </w:r>
      <w:r w:rsidRPr="00834149">
        <w:rPr>
          <w:rFonts w:cs="Times New Roman"/>
        </w:rPr>
        <w:t xml:space="preserve"> Forest area brought under management plans (community and private forests)</w:t>
      </w:r>
      <w:r w:rsidR="008F11ED" w:rsidRPr="00834149">
        <w:rPr>
          <w:rFonts w:cs="Times New Roman"/>
        </w:rPr>
        <w:t xml:space="preserve"> (</w:t>
      </w:r>
      <w:r w:rsidR="008F11ED" w:rsidRPr="00834149">
        <w:rPr>
          <w:rFonts w:cs="Times New Roman"/>
          <w:i/>
        </w:rPr>
        <w:t xml:space="preserve">from </w:t>
      </w:r>
      <w:r w:rsidR="00F3647E" w:rsidRPr="00834149">
        <w:rPr>
          <w:rFonts w:cs="Times New Roman"/>
          <w:i/>
        </w:rPr>
        <w:t>6,050 hectares</w:t>
      </w:r>
      <w:r w:rsidR="008F11ED" w:rsidRPr="00834149">
        <w:rPr>
          <w:rFonts w:cs="Times New Roman"/>
          <w:i/>
        </w:rPr>
        <w:t xml:space="preserve"> in 2017 to </w:t>
      </w:r>
      <w:r w:rsidR="00F3647E" w:rsidRPr="00834149">
        <w:rPr>
          <w:rFonts w:cs="Times New Roman"/>
          <w:i/>
        </w:rPr>
        <w:t>10,000</w:t>
      </w:r>
      <w:r w:rsidR="008F11ED" w:rsidRPr="00834149">
        <w:rPr>
          <w:rFonts w:cs="Times New Roman"/>
          <w:i/>
        </w:rPr>
        <w:t xml:space="preserve"> </w:t>
      </w:r>
      <w:r w:rsidR="00F3647E" w:rsidRPr="00834149">
        <w:rPr>
          <w:rFonts w:cs="Times New Roman"/>
          <w:i/>
        </w:rPr>
        <w:t xml:space="preserve">hectares </w:t>
      </w:r>
      <w:r w:rsidR="008F11ED" w:rsidRPr="00834149">
        <w:rPr>
          <w:rFonts w:cs="Times New Roman"/>
          <w:i/>
        </w:rPr>
        <w:t>in 2020</w:t>
      </w:r>
      <w:r w:rsidR="009B62FA" w:rsidRPr="00834149">
        <w:rPr>
          <w:rFonts w:cs="Times New Roman"/>
        </w:rPr>
        <w:t>)</w:t>
      </w:r>
    </w:p>
    <w:p w14:paraId="4937E0CD" w14:textId="35FB7807" w:rsidR="001751FF" w:rsidRPr="00834149" w:rsidRDefault="001751FF" w:rsidP="00A50430">
      <w:pPr>
        <w:rPr>
          <w:rFonts w:cs="Times New Roman"/>
          <w:b/>
          <w:smallCaps/>
        </w:rPr>
      </w:pPr>
    </w:p>
    <w:p w14:paraId="41555C03" w14:textId="32DC51B8" w:rsidR="0098178C" w:rsidRPr="00834149" w:rsidRDefault="0098178C" w:rsidP="00A50430">
      <w:pPr>
        <w:rPr>
          <w:rFonts w:cs="Times New Roman"/>
          <w:b/>
          <w:smallCaps/>
        </w:rPr>
      </w:pPr>
      <w:r w:rsidRPr="00834149">
        <w:rPr>
          <w:rFonts w:cs="Times New Roman"/>
          <w:b/>
          <w:smallCaps/>
        </w:rPr>
        <w:t xml:space="preserve">Objective 3.2: Strengthen </w:t>
      </w:r>
      <w:r w:rsidR="009B62FA" w:rsidRPr="00834149">
        <w:rPr>
          <w:rFonts w:cs="Times New Roman"/>
          <w:b/>
          <w:smallCaps/>
        </w:rPr>
        <w:t>R</w:t>
      </w:r>
      <w:r w:rsidRPr="00834149">
        <w:rPr>
          <w:rFonts w:cs="Times New Roman"/>
          <w:b/>
          <w:smallCaps/>
        </w:rPr>
        <w:t xml:space="preserve">esilience and </w:t>
      </w:r>
      <w:r w:rsidR="009B62FA" w:rsidRPr="00834149">
        <w:rPr>
          <w:rFonts w:cs="Times New Roman"/>
          <w:b/>
          <w:smallCaps/>
        </w:rPr>
        <w:t>A</w:t>
      </w:r>
      <w:r w:rsidRPr="00834149">
        <w:rPr>
          <w:rFonts w:cs="Times New Roman"/>
          <w:b/>
          <w:smallCaps/>
        </w:rPr>
        <w:t xml:space="preserve">daptation to </w:t>
      </w:r>
      <w:r w:rsidR="009B62FA" w:rsidRPr="00834149">
        <w:rPr>
          <w:rFonts w:cs="Times New Roman"/>
          <w:b/>
          <w:smallCaps/>
        </w:rPr>
        <w:t>C</w:t>
      </w:r>
      <w:r w:rsidRPr="00834149">
        <w:rPr>
          <w:rFonts w:cs="Times New Roman"/>
          <w:b/>
          <w:smallCaps/>
        </w:rPr>
        <w:t xml:space="preserve">limate </w:t>
      </w:r>
      <w:r w:rsidR="009B62FA" w:rsidRPr="00834149">
        <w:rPr>
          <w:rFonts w:cs="Times New Roman"/>
          <w:b/>
          <w:smallCaps/>
        </w:rPr>
        <w:t>C</w:t>
      </w:r>
      <w:r w:rsidRPr="00834149">
        <w:rPr>
          <w:rFonts w:cs="Times New Roman"/>
          <w:b/>
          <w:smallCaps/>
        </w:rPr>
        <w:t>hange</w:t>
      </w:r>
    </w:p>
    <w:p w14:paraId="5C77FD0E" w14:textId="67CEB006" w:rsidR="0098178C" w:rsidRPr="00834149" w:rsidRDefault="0098178C" w:rsidP="00A50430">
      <w:pPr>
        <w:pStyle w:val="ListParagraph"/>
        <w:ind w:left="0"/>
        <w:jc w:val="both"/>
        <w:rPr>
          <w:rFonts w:cs="Times New Roman"/>
        </w:rPr>
      </w:pPr>
    </w:p>
    <w:p w14:paraId="220994B0" w14:textId="128E0393" w:rsidR="0098178C" w:rsidRPr="00834149" w:rsidRDefault="00F6268E" w:rsidP="00834149">
      <w:pPr>
        <w:pStyle w:val="ListParagraph"/>
        <w:numPr>
          <w:ilvl w:val="0"/>
          <w:numId w:val="2"/>
        </w:numPr>
        <w:ind w:left="0" w:firstLine="0"/>
        <w:contextualSpacing w:val="0"/>
        <w:jc w:val="both"/>
        <w:rPr>
          <w:rFonts w:eastAsia="Times New Roman" w:cs="Times New Roman"/>
        </w:rPr>
      </w:pPr>
      <w:r w:rsidRPr="00834149">
        <w:rPr>
          <w:rFonts w:cs="Times New Roman"/>
          <w:b/>
        </w:rPr>
        <w:t>R</w:t>
      </w:r>
      <w:r w:rsidR="0098178C" w:rsidRPr="00834149">
        <w:rPr>
          <w:rFonts w:cs="Times New Roman"/>
          <w:b/>
        </w:rPr>
        <w:t>ising sea levels and changing sea and weather patterns, port construction, sand mining (now illegal) and the Akossombo</w:t>
      </w:r>
      <w:r w:rsidRPr="00834149">
        <w:rPr>
          <w:rFonts w:cs="Times New Roman"/>
          <w:b/>
        </w:rPr>
        <w:t xml:space="preserve"> Dam</w:t>
      </w:r>
      <w:r w:rsidR="0098178C" w:rsidRPr="00834149">
        <w:rPr>
          <w:rFonts w:cs="Times New Roman"/>
          <w:b/>
        </w:rPr>
        <w:t xml:space="preserve"> (Ghana)</w:t>
      </w:r>
      <w:r w:rsidRPr="00834149">
        <w:rPr>
          <w:rFonts w:cs="Times New Roman"/>
          <w:b/>
        </w:rPr>
        <w:t xml:space="preserve"> are the main causes of accelerated coastal erosion in Togo</w:t>
      </w:r>
      <w:r w:rsidR="0098178C" w:rsidRPr="00834149">
        <w:rPr>
          <w:rFonts w:cs="Times New Roman"/>
        </w:rPr>
        <w:t>.</w:t>
      </w:r>
      <w:r w:rsidR="0098178C" w:rsidRPr="00834149">
        <w:rPr>
          <w:rFonts w:cs="Times New Roman"/>
          <w:vertAlign w:val="superscript"/>
        </w:rPr>
        <w:footnoteReference w:id="12"/>
      </w:r>
      <w:r w:rsidR="0098178C" w:rsidRPr="00834149">
        <w:rPr>
          <w:rFonts w:cs="Times New Roman"/>
          <w:vertAlign w:val="superscript"/>
        </w:rPr>
        <w:t xml:space="preserve"> </w:t>
      </w:r>
      <w:r w:rsidR="0098178C" w:rsidRPr="00834149">
        <w:rPr>
          <w:rFonts w:cs="Times New Roman"/>
        </w:rPr>
        <w:t>Erosion and flooding jeopardize economic assets, including roads, ports, housing and hotels</w:t>
      </w:r>
      <w:r w:rsidR="009B62FA" w:rsidRPr="00834149">
        <w:rPr>
          <w:rFonts w:cs="Times New Roman"/>
        </w:rPr>
        <w:t>. I</w:t>
      </w:r>
      <w:r w:rsidR="0098178C" w:rsidRPr="00834149">
        <w:rPr>
          <w:rFonts w:cs="Times New Roman"/>
        </w:rPr>
        <w:t>mportantly, livelihoods</w:t>
      </w:r>
      <w:r w:rsidR="009B62FA" w:rsidRPr="00834149">
        <w:rPr>
          <w:rFonts w:cs="Times New Roman"/>
        </w:rPr>
        <w:t>—</w:t>
      </w:r>
      <w:r w:rsidR="0098178C" w:rsidRPr="00834149">
        <w:rPr>
          <w:rFonts w:cs="Times New Roman"/>
        </w:rPr>
        <w:t>in particular those of artisanal fishermen</w:t>
      </w:r>
      <w:r w:rsidR="009B62FA" w:rsidRPr="00834149">
        <w:rPr>
          <w:rFonts w:cs="Times New Roman"/>
        </w:rPr>
        <w:t>—</w:t>
      </w:r>
      <w:r w:rsidR="0098178C" w:rsidRPr="00834149">
        <w:rPr>
          <w:rFonts w:cs="Times New Roman"/>
        </w:rPr>
        <w:t xml:space="preserve">and human lives are at risk. </w:t>
      </w:r>
      <w:r w:rsidR="00A97383" w:rsidRPr="00834149">
        <w:rPr>
          <w:rFonts w:cs="Times New Roman"/>
        </w:rPr>
        <w:t>C</w:t>
      </w:r>
      <w:r w:rsidR="0098178C" w:rsidRPr="00834149">
        <w:rPr>
          <w:rFonts w:cs="Times New Roman"/>
        </w:rPr>
        <w:t xml:space="preserve">limate change is likely to exacerbate the effects of poor coastal zone management. Climate scenarios for the West African region as a whole indicate an increase in </w:t>
      </w:r>
      <w:r w:rsidR="009B62FA" w:rsidRPr="00834149">
        <w:rPr>
          <w:rFonts w:cs="Times New Roman"/>
        </w:rPr>
        <w:t xml:space="preserve">the </w:t>
      </w:r>
      <w:r w:rsidR="0098178C" w:rsidRPr="00834149">
        <w:rPr>
          <w:rFonts w:cs="Times New Roman"/>
        </w:rPr>
        <w:t xml:space="preserve">frequency and intensity of tidal waves and storm surge, which will exacerbate coastal erosion </w:t>
      </w:r>
      <w:r w:rsidR="009B62FA" w:rsidRPr="00834149">
        <w:rPr>
          <w:rFonts w:cs="Times New Roman"/>
        </w:rPr>
        <w:t xml:space="preserve">and </w:t>
      </w:r>
      <w:r w:rsidR="0098178C" w:rsidRPr="00834149">
        <w:rPr>
          <w:rFonts w:cs="Times New Roman"/>
        </w:rPr>
        <w:t xml:space="preserve">damage to infrastructure and increase the displacement of vulnerable communities. In addition, water temperatures and changing precipitation patterns will affect </w:t>
      </w:r>
      <w:r w:rsidR="009B62FA" w:rsidRPr="00834149">
        <w:rPr>
          <w:rFonts w:cs="Times New Roman"/>
        </w:rPr>
        <w:t xml:space="preserve">the </w:t>
      </w:r>
      <w:r w:rsidR="0098178C" w:rsidRPr="00834149">
        <w:rPr>
          <w:rFonts w:cs="Times New Roman"/>
        </w:rPr>
        <w:t>productivity of coastal lands and water.</w:t>
      </w:r>
    </w:p>
    <w:p w14:paraId="6D2BCF67" w14:textId="77777777" w:rsidR="001F7FDE" w:rsidRPr="00834149" w:rsidRDefault="001F7FDE" w:rsidP="00834149">
      <w:pPr>
        <w:pStyle w:val="ListParagraph"/>
        <w:ind w:left="0"/>
        <w:contextualSpacing w:val="0"/>
        <w:jc w:val="both"/>
        <w:rPr>
          <w:rFonts w:eastAsia="Times New Roman" w:cs="Times New Roman"/>
        </w:rPr>
      </w:pPr>
    </w:p>
    <w:p w14:paraId="1DE89FEE" w14:textId="68FE6105" w:rsidR="00A97383" w:rsidRPr="00834149" w:rsidRDefault="0098178C" w:rsidP="00834149">
      <w:pPr>
        <w:pStyle w:val="ListParagraph"/>
        <w:numPr>
          <w:ilvl w:val="0"/>
          <w:numId w:val="2"/>
        </w:numPr>
        <w:ind w:left="0" w:firstLine="0"/>
        <w:contextualSpacing w:val="0"/>
        <w:jc w:val="both"/>
        <w:rPr>
          <w:rFonts w:eastAsia="Times New Roman" w:cs="Times New Roman"/>
        </w:rPr>
      </w:pPr>
      <w:r w:rsidRPr="00834149">
        <w:rPr>
          <w:rFonts w:cs="Times New Roman"/>
          <w:b/>
        </w:rPr>
        <w:t xml:space="preserve">The </w:t>
      </w:r>
      <w:r w:rsidR="000F5595" w:rsidRPr="00834149">
        <w:rPr>
          <w:rFonts w:cs="Times New Roman"/>
          <w:b/>
        </w:rPr>
        <w:t>G</w:t>
      </w:r>
      <w:r w:rsidR="00A97383" w:rsidRPr="00834149">
        <w:rPr>
          <w:rFonts w:cs="Times New Roman"/>
          <w:b/>
        </w:rPr>
        <w:t xml:space="preserve">overnment has made addressing the issue of severe coastal erosion </w:t>
      </w:r>
      <w:r w:rsidR="00F7655C" w:rsidRPr="00834149">
        <w:rPr>
          <w:rFonts w:cs="Times New Roman"/>
          <w:b/>
        </w:rPr>
        <w:t xml:space="preserve">a top priority </w:t>
      </w:r>
      <w:r w:rsidR="00A97383" w:rsidRPr="00834149">
        <w:rPr>
          <w:rFonts w:cs="Times New Roman"/>
          <w:b/>
        </w:rPr>
        <w:t>given its significant impact on coastal communities and economy activity.</w:t>
      </w:r>
      <w:r w:rsidR="00A97383" w:rsidRPr="00834149">
        <w:rPr>
          <w:rFonts w:cs="Times New Roman"/>
        </w:rPr>
        <w:t xml:space="preserve"> The Government of Togo has identified a range of possible actions and interventions to build the ocean and coastal economies, namely port improvement, promoting </w:t>
      </w:r>
      <w:r w:rsidR="009B62FA" w:rsidRPr="00834149">
        <w:rPr>
          <w:rFonts w:cs="Times New Roman"/>
        </w:rPr>
        <w:t>PPPs</w:t>
      </w:r>
      <w:r w:rsidR="00A97383" w:rsidRPr="00834149">
        <w:rPr>
          <w:rFonts w:cs="Times New Roman"/>
        </w:rPr>
        <w:t>, investing in sustainable management of marine resources, rationalizing the country’s coastal and marine fisheries and creating a strong, skilled workforce through training targeted on ‘blue’ sectors. In addition to these, there may be other opportunities within the maritime environment that have yet to be explored, including value-added industries for fisheries, transport, off-shore renewables, and skilled labor creation. Prioritizing and understanding the interlinkages between sectors and actions will be key to protecting natural capital while promoting growth and reducing poverty</w:t>
      </w:r>
      <w:r w:rsidR="009B62FA" w:rsidRPr="00834149">
        <w:rPr>
          <w:rFonts w:cs="Times New Roman"/>
        </w:rPr>
        <w:t>.</w:t>
      </w:r>
    </w:p>
    <w:p w14:paraId="65A8ADDF" w14:textId="689E9C8B" w:rsidR="001F7FDE" w:rsidRPr="00834149" w:rsidRDefault="001F7FDE" w:rsidP="00834149">
      <w:pPr>
        <w:pStyle w:val="ListParagraph"/>
        <w:ind w:left="0"/>
        <w:contextualSpacing w:val="0"/>
        <w:jc w:val="both"/>
        <w:rPr>
          <w:rFonts w:eastAsia="Times New Roman" w:cs="Times New Roman"/>
        </w:rPr>
      </w:pPr>
    </w:p>
    <w:p w14:paraId="5AAA2E59" w14:textId="01DCDBFB" w:rsidR="00A97383" w:rsidRPr="00834149" w:rsidRDefault="00A97383" w:rsidP="00834149">
      <w:pPr>
        <w:pStyle w:val="ListParagraph"/>
        <w:numPr>
          <w:ilvl w:val="0"/>
          <w:numId w:val="2"/>
        </w:numPr>
        <w:ind w:left="0" w:firstLine="0"/>
        <w:contextualSpacing w:val="0"/>
        <w:jc w:val="both"/>
        <w:rPr>
          <w:rFonts w:eastAsia="Times New Roman" w:cs="Times New Roman"/>
        </w:rPr>
      </w:pPr>
      <w:r w:rsidRPr="00834149">
        <w:rPr>
          <w:rFonts w:cs="Times New Roman"/>
          <w:b/>
        </w:rPr>
        <w:t xml:space="preserve">The CPF seeks to support efforts </w:t>
      </w:r>
      <w:r w:rsidR="0098178C" w:rsidRPr="00834149">
        <w:rPr>
          <w:rFonts w:cs="Times New Roman"/>
          <w:b/>
        </w:rPr>
        <w:t>to improve management of natural and man</w:t>
      </w:r>
      <w:r w:rsidR="00F2648F" w:rsidRPr="00834149">
        <w:rPr>
          <w:rFonts w:cs="Times New Roman"/>
          <w:b/>
        </w:rPr>
        <w:t>-</w:t>
      </w:r>
      <w:r w:rsidR="0098178C" w:rsidRPr="00834149">
        <w:rPr>
          <w:rFonts w:cs="Times New Roman"/>
          <w:b/>
        </w:rPr>
        <w:t xml:space="preserve">made risks, including climate change, affecting targeted coastal communities and areas in </w:t>
      </w:r>
      <w:r w:rsidRPr="00834149">
        <w:rPr>
          <w:rFonts w:cs="Times New Roman"/>
          <w:b/>
        </w:rPr>
        <w:t>Togo</w:t>
      </w:r>
      <w:r w:rsidRPr="00834149">
        <w:rPr>
          <w:rFonts w:cs="Times New Roman"/>
        </w:rPr>
        <w:t xml:space="preserve">. World Bank interventions would aim </w:t>
      </w:r>
      <w:r w:rsidR="009B62FA" w:rsidRPr="00834149">
        <w:rPr>
          <w:rFonts w:cs="Times New Roman"/>
        </w:rPr>
        <w:t>to</w:t>
      </w:r>
      <w:r w:rsidR="0098178C" w:rsidRPr="00834149">
        <w:rPr>
          <w:rFonts w:cs="Times New Roman"/>
        </w:rPr>
        <w:t xml:space="preserve">: (i) </w:t>
      </w:r>
      <w:r w:rsidR="009B62FA" w:rsidRPr="00834149">
        <w:rPr>
          <w:rFonts w:cs="Times New Roman"/>
          <w:i/>
        </w:rPr>
        <w:t>s</w:t>
      </w:r>
      <w:r w:rsidRPr="00834149">
        <w:rPr>
          <w:rFonts w:cs="Times New Roman"/>
          <w:i/>
        </w:rPr>
        <w:t>trengthen g</w:t>
      </w:r>
      <w:r w:rsidR="0098178C" w:rsidRPr="00834149">
        <w:rPr>
          <w:rFonts w:cs="Times New Roman"/>
          <w:i/>
        </w:rPr>
        <w:t>overnance and knowledge</w:t>
      </w:r>
      <w:r w:rsidR="009B62FA" w:rsidRPr="00834149">
        <w:rPr>
          <w:rFonts w:cs="Times New Roman"/>
        </w:rPr>
        <w:t xml:space="preserve"> by c</w:t>
      </w:r>
      <w:r w:rsidR="0098178C" w:rsidRPr="00834149">
        <w:rPr>
          <w:rFonts w:cs="Times New Roman"/>
        </w:rPr>
        <w:t xml:space="preserve">reating </w:t>
      </w:r>
      <w:r w:rsidR="0098178C" w:rsidRPr="00834149">
        <w:rPr>
          <w:rFonts w:eastAsia="Times New Roman" w:cs="Times New Roman"/>
          <w:lang w:val="en-GB"/>
        </w:rPr>
        <w:t>national platforms for multisector dialogue between the authorities and key stakeholders; developing an adequate policy framework and tools to operationalize a coastal erosion strategy; and strengthen</w:t>
      </w:r>
      <w:r w:rsidR="007260F7" w:rsidRPr="00834149">
        <w:rPr>
          <w:rFonts w:eastAsia="Times New Roman" w:cs="Times New Roman"/>
          <w:lang w:val="en-GB"/>
        </w:rPr>
        <w:t>ing</w:t>
      </w:r>
      <w:r w:rsidR="0098178C" w:rsidRPr="00834149">
        <w:rPr>
          <w:rFonts w:eastAsia="Times New Roman" w:cs="Times New Roman"/>
          <w:lang w:val="en-GB"/>
        </w:rPr>
        <w:t xml:space="preserve"> coastal and climate change information and knowledge as a basis for informed decision</w:t>
      </w:r>
      <w:r w:rsidR="009B62FA" w:rsidRPr="00834149">
        <w:rPr>
          <w:rFonts w:eastAsia="Times New Roman" w:cs="Times New Roman"/>
          <w:lang w:val="en-GB"/>
        </w:rPr>
        <w:t xml:space="preserve"> </w:t>
      </w:r>
      <w:r w:rsidR="0098178C" w:rsidRPr="00834149">
        <w:rPr>
          <w:rFonts w:eastAsia="Times New Roman" w:cs="Times New Roman"/>
          <w:lang w:val="en-GB"/>
        </w:rPr>
        <w:t xml:space="preserve">making; and (ii) </w:t>
      </w:r>
      <w:r w:rsidR="009B62FA" w:rsidRPr="00834149">
        <w:rPr>
          <w:rFonts w:eastAsia="Times New Roman" w:cs="Times New Roman"/>
          <w:i/>
          <w:lang w:val="en-GB"/>
        </w:rPr>
        <w:t>financ</w:t>
      </w:r>
      <w:r w:rsidR="00F2648F" w:rsidRPr="00834149">
        <w:rPr>
          <w:rFonts w:eastAsia="Times New Roman" w:cs="Times New Roman"/>
          <w:i/>
          <w:lang w:val="en-GB"/>
        </w:rPr>
        <w:t>e</w:t>
      </w:r>
      <w:r w:rsidR="009B62FA" w:rsidRPr="00834149">
        <w:rPr>
          <w:rFonts w:eastAsia="Times New Roman" w:cs="Times New Roman"/>
          <w:i/>
          <w:lang w:val="en-GB"/>
        </w:rPr>
        <w:t xml:space="preserve"> </w:t>
      </w:r>
      <w:r w:rsidRPr="00834149">
        <w:rPr>
          <w:rFonts w:eastAsia="Times New Roman" w:cs="Times New Roman"/>
          <w:i/>
          <w:lang w:val="en-GB"/>
        </w:rPr>
        <w:t>i</w:t>
      </w:r>
      <w:r w:rsidR="0098178C" w:rsidRPr="00834149">
        <w:rPr>
          <w:rFonts w:eastAsia="Times New Roman" w:cs="Times New Roman"/>
          <w:i/>
          <w:lang w:val="en-GB"/>
        </w:rPr>
        <w:t>nvestments</w:t>
      </w:r>
      <w:r w:rsidR="0098178C" w:rsidRPr="00834149">
        <w:rPr>
          <w:rFonts w:eastAsia="Times New Roman" w:cs="Times New Roman"/>
          <w:lang w:val="en-GB"/>
        </w:rPr>
        <w:t xml:space="preserve"> to protect vulnerable areas from coastal pressures, such as erosion and flooding; coastal and marine pollution control measures; coastal integrated waste management; adaptation investments promoting climate-resilient coastal development in the urban, transport, tourism and other sectors of relevance.  </w:t>
      </w:r>
    </w:p>
    <w:p w14:paraId="40BCD690" w14:textId="77777777" w:rsidR="001F7FDE" w:rsidRPr="001F7FDE" w:rsidRDefault="001F7FDE" w:rsidP="00834149">
      <w:pPr>
        <w:pStyle w:val="ListParagraph"/>
        <w:rPr>
          <w:rFonts w:eastAsia="Times New Roman" w:cs="Times New Roman"/>
        </w:rPr>
      </w:pPr>
    </w:p>
    <w:p w14:paraId="08C29791" w14:textId="4E5335D1" w:rsidR="0098178C" w:rsidRPr="00834149" w:rsidRDefault="00A97383" w:rsidP="00834149">
      <w:pPr>
        <w:pStyle w:val="ListParagraph"/>
        <w:numPr>
          <w:ilvl w:val="0"/>
          <w:numId w:val="2"/>
        </w:numPr>
        <w:ind w:left="0" w:firstLine="0"/>
        <w:contextualSpacing w:val="0"/>
        <w:jc w:val="both"/>
        <w:rPr>
          <w:rFonts w:eastAsia="Times New Roman" w:cs="Times New Roman"/>
        </w:rPr>
      </w:pPr>
      <w:r w:rsidRPr="00834149">
        <w:rPr>
          <w:rFonts w:cs="Times New Roman"/>
          <w:b/>
        </w:rPr>
        <w:lastRenderedPageBreak/>
        <w:t>The World Bank will seek to achieve these objectives through the regional West Africa Coastal Areas TA (FY1</w:t>
      </w:r>
      <w:r w:rsidR="006850A5">
        <w:rPr>
          <w:rFonts w:cs="Times New Roman"/>
          <w:b/>
        </w:rPr>
        <w:t>6</w:t>
      </w:r>
      <w:r w:rsidRPr="00834149">
        <w:rPr>
          <w:rFonts w:cs="Times New Roman"/>
          <w:b/>
        </w:rPr>
        <w:t>)</w:t>
      </w:r>
      <w:r w:rsidR="00862844" w:rsidRPr="00834149">
        <w:rPr>
          <w:rFonts w:cs="Times New Roman"/>
          <w:b/>
        </w:rPr>
        <w:t>,</w:t>
      </w:r>
      <w:r w:rsidRPr="00834149">
        <w:rPr>
          <w:rFonts w:cs="Times New Roman"/>
          <w:b/>
        </w:rPr>
        <w:t xml:space="preserve"> which</w:t>
      </w:r>
      <w:r w:rsidR="00F2648F" w:rsidRPr="00834149">
        <w:rPr>
          <w:rFonts w:cs="Times New Roman"/>
          <w:b/>
        </w:rPr>
        <w:t xml:space="preserve"> </w:t>
      </w:r>
      <w:r w:rsidRPr="00834149">
        <w:rPr>
          <w:rFonts w:cs="Times New Roman"/>
          <w:b/>
        </w:rPr>
        <w:t xml:space="preserve">includes preparing an investment plan </w:t>
      </w:r>
      <w:r w:rsidR="00F2648F" w:rsidRPr="00834149">
        <w:rPr>
          <w:rFonts w:cs="Times New Roman"/>
          <w:b/>
        </w:rPr>
        <w:t xml:space="preserve">for infrastructure and interventions to mitigate </w:t>
      </w:r>
      <w:r w:rsidRPr="00834149">
        <w:rPr>
          <w:rFonts w:cs="Times New Roman"/>
          <w:b/>
        </w:rPr>
        <w:t>coastal erosion</w:t>
      </w:r>
      <w:r w:rsidR="00F2648F" w:rsidRPr="00834149">
        <w:rPr>
          <w:rFonts w:cs="Times New Roman"/>
          <w:b/>
        </w:rPr>
        <w:t>;</w:t>
      </w:r>
      <w:r w:rsidR="00F7655C" w:rsidRPr="00834149">
        <w:rPr>
          <w:rFonts w:cs="Times New Roman"/>
          <w:b/>
        </w:rPr>
        <w:t xml:space="preserve"> </w:t>
      </w:r>
      <w:r w:rsidR="00F2648F" w:rsidRPr="00834149">
        <w:rPr>
          <w:rFonts w:cs="Times New Roman"/>
          <w:b/>
        </w:rPr>
        <w:t xml:space="preserve">and </w:t>
      </w:r>
      <w:r w:rsidR="00F7655C" w:rsidRPr="00834149">
        <w:rPr>
          <w:rFonts w:cs="Times New Roman"/>
          <w:b/>
        </w:rPr>
        <w:t>the on-going IDA IDLM project</w:t>
      </w:r>
      <w:r w:rsidR="00F2648F" w:rsidRPr="00834149">
        <w:rPr>
          <w:rFonts w:cs="Times New Roman"/>
          <w:b/>
        </w:rPr>
        <w:t xml:space="preserve"> (FY12). </w:t>
      </w:r>
      <w:r w:rsidR="00F2648F" w:rsidRPr="00834149">
        <w:rPr>
          <w:rFonts w:cs="Times New Roman"/>
        </w:rPr>
        <w:t>T</w:t>
      </w:r>
      <w:r w:rsidRPr="00834149">
        <w:rPr>
          <w:rFonts w:cs="Times New Roman"/>
        </w:rPr>
        <w:t xml:space="preserve">he </w:t>
      </w:r>
      <w:r w:rsidR="00F6268E" w:rsidRPr="00834149">
        <w:rPr>
          <w:rFonts w:cs="Times New Roman"/>
        </w:rPr>
        <w:t xml:space="preserve">proposed </w:t>
      </w:r>
      <w:r w:rsidRPr="00834149">
        <w:rPr>
          <w:rFonts w:cs="Times New Roman"/>
        </w:rPr>
        <w:t xml:space="preserve">IDA and GEF-financed </w:t>
      </w:r>
      <w:r w:rsidRPr="00834149">
        <w:rPr>
          <w:rFonts w:cs="Times New Roman"/>
          <w:bCs/>
        </w:rPr>
        <w:t>West Africa Coastal Areas (WACA) Resilience project (</w:t>
      </w:r>
      <w:r w:rsidR="00F7655C" w:rsidRPr="00834149">
        <w:rPr>
          <w:rFonts w:cs="Times New Roman"/>
          <w:bCs/>
        </w:rPr>
        <w:t>FY18</w:t>
      </w:r>
      <w:r w:rsidRPr="00834149">
        <w:rPr>
          <w:rFonts w:cs="Times New Roman"/>
          <w:bCs/>
        </w:rPr>
        <w:t>)</w:t>
      </w:r>
      <w:r w:rsidR="00F6268E" w:rsidRPr="00834149">
        <w:rPr>
          <w:rFonts w:cs="Times New Roman"/>
          <w:bCs/>
        </w:rPr>
        <w:t xml:space="preserve"> will be a flagship activity for this objective, however proposed results indicators would be reflected in the PLR (FY19)</w:t>
      </w:r>
      <w:r w:rsidRPr="00834149">
        <w:rPr>
          <w:rFonts w:cs="Times New Roman"/>
          <w:bCs/>
        </w:rPr>
        <w:t xml:space="preserve">. </w:t>
      </w:r>
      <w:r w:rsidRPr="00834149">
        <w:rPr>
          <w:rFonts w:cs="Times New Roman"/>
        </w:rPr>
        <w:t xml:space="preserve">Participating countries </w:t>
      </w:r>
      <w:r w:rsidR="00F6268E" w:rsidRPr="00834149">
        <w:rPr>
          <w:rFonts w:cs="Times New Roman"/>
        </w:rPr>
        <w:t xml:space="preserve">in this regional project </w:t>
      </w:r>
      <w:r w:rsidRPr="00834149">
        <w:rPr>
          <w:rFonts w:cs="Times New Roman"/>
        </w:rPr>
        <w:t>include Benin, C</w:t>
      </w:r>
      <w:r w:rsidR="009B62FA" w:rsidRPr="00834149">
        <w:rPr>
          <w:rFonts w:cs="Times New Roman"/>
        </w:rPr>
        <w:t>ô</w:t>
      </w:r>
      <w:r w:rsidRPr="00834149">
        <w:rPr>
          <w:rFonts w:cs="Times New Roman"/>
        </w:rPr>
        <w:t xml:space="preserve">te d’Ivoire, Mauritania, Sao </w:t>
      </w:r>
      <w:r w:rsidR="00F7655C" w:rsidRPr="00834149">
        <w:rPr>
          <w:rFonts w:cs="Times New Roman"/>
        </w:rPr>
        <w:t xml:space="preserve">Tomé </w:t>
      </w:r>
      <w:r w:rsidRPr="00834149">
        <w:rPr>
          <w:rFonts w:cs="Times New Roman"/>
        </w:rPr>
        <w:t>and Principe, Senegal</w:t>
      </w:r>
      <w:r w:rsidR="009B62FA" w:rsidRPr="00834149">
        <w:rPr>
          <w:rFonts w:cs="Times New Roman"/>
        </w:rPr>
        <w:t>,</w:t>
      </w:r>
      <w:r w:rsidRPr="00834149">
        <w:rPr>
          <w:rFonts w:cs="Times New Roman"/>
        </w:rPr>
        <w:t xml:space="preserve"> and Togo</w:t>
      </w:r>
      <w:r w:rsidR="009B62FA" w:rsidRPr="00834149">
        <w:rPr>
          <w:rFonts w:cs="Times New Roman"/>
        </w:rPr>
        <w:t>.</w:t>
      </w:r>
      <w:r w:rsidRPr="00834149">
        <w:rPr>
          <w:rFonts w:eastAsia="Times New Roman" w:cs="Times New Roman"/>
          <w:lang w:val="en-GB"/>
        </w:rPr>
        <w:t xml:space="preserve"> </w:t>
      </w:r>
      <w:r w:rsidR="0098178C" w:rsidRPr="00834149">
        <w:rPr>
          <w:rFonts w:eastAsia="Times New Roman" w:cs="Times New Roman"/>
          <w:lang w:val="en-GB"/>
        </w:rPr>
        <w:t xml:space="preserve">The project will also finance </w:t>
      </w:r>
      <w:r w:rsidR="009B62FA" w:rsidRPr="00834149">
        <w:rPr>
          <w:rFonts w:eastAsia="Times New Roman" w:cs="Times New Roman"/>
          <w:lang w:val="en-GB"/>
        </w:rPr>
        <w:t>CDD</w:t>
      </w:r>
      <w:r w:rsidR="0098178C" w:rsidRPr="00834149">
        <w:rPr>
          <w:rFonts w:eastAsia="Times New Roman" w:cs="Times New Roman"/>
          <w:lang w:val="en-GB"/>
        </w:rPr>
        <w:t xml:space="preserve"> through country-specific frameworks developed by the project</w:t>
      </w:r>
      <w:r w:rsidR="00F6268E" w:rsidRPr="00834149">
        <w:rPr>
          <w:rFonts w:eastAsia="Times New Roman" w:cs="Times New Roman"/>
          <w:lang w:val="en-GB"/>
        </w:rPr>
        <w:t xml:space="preserve"> and</w:t>
      </w:r>
      <w:r w:rsidR="0098178C" w:rsidRPr="00834149">
        <w:rPr>
          <w:rFonts w:cs="Times New Roman"/>
        </w:rPr>
        <w:t xml:space="preserve"> will be complemented by the Hydromet Modernization Project (Green Climate Fund grant)</w:t>
      </w:r>
      <w:r w:rsidR="009B62FA" w:rsidRPr="00834149">
        <w:rPr>
          <w:rFonts w:cs="Times New Roman"/>
        </w:rPr>
        <w:t>,</w:t>
      </w:r>
      <w:r w:rsidR="0098178C" w:rsidRPr="00834149">
        <w:rPr>
          <w:rFonts w:cs="Times New Roman"/>
        </w:rPr>
        <w:t xml:space="preserve"> which will strengthen hydro-meteorological services and disaster management in Togo.</w:t>
      </w:r>
      <w:r w:rsidR="00FC60C7" w:rsidRPr="00834149">
        <w:rPr>
          <w:rFonts w:cs="Times New Roman"/>
        </w:rPr>
        <w:t xml:space="preserve"> The </w:t>
      </w:r>
      <w:r w:rsidR="00F6268E" w:rsidRPr="00834149">
        <w:rPr>
          <w:rFonts w:cs="Times New Roman"/>
        </w:rPr>
        <w:t xml:space="preserve">progress made toward this objective </w:t>
      </w:r>
      <w:r w:rsidR="00FC60C7" w:rsidRPr="00834149">
        <w:rPr>
          <w:rFonts w:cs="Times New Roman"/>
        </w:rPr>
        <w:t xml:space="preserve">during the CPF period will be </w:t>
      </w:r>
      <w:r w:rsidR="00F6268E" w:rsidRPr="00834149">
        <w:rPr>
          <w:rFonts w:cs="Times New Roman"/>
        </w:rPr>
        <w:t xml:space="preserve">based on </w:t>
      </w:r>
      <w:r w:rsidR="00FC60C7" w:rsidRPr="00834149">
        <w:rPr>
          <w:rFonts w:cs="Times New Roman"/>
        </w:rPr>
        <w:t>the IDLM project given that the results from WACA investment project are still to be defined.</w:t>
      </w:r>
    </w:p>
    <w:p w14:paraId="4DC67377" w14:textId="77777777" w:rsidR="001F7FDE" w:rsidRPr="00834149" w:rsidRDefault="001F7FDE" w:rsidP="00834149">
      <w:pPr>
        <w:pStyle w:val="ListParagraph"/>
        <w:ind w:left="0"/>
        <w:contextualSpacing w:val="0"/>
        <w:jc w:val="both"/>
        <w:rPr>
          <w:rFonts w:eastAsia="Times New Roman" w:cs="Times New Roman"/>
        </w:rPr>
      </w:pPr>
    </w:p>
    <w:p w14:paraId="3D0A5361" w14:textId="1438DFC4" w:rsidR="0098178C" w:rsidRPr="00834149" w:rsidRDefault="0098178C" w:rsidP="00834149">
      <w:pPr>
        <w:pStyle w:val="ListParagraph"/>
        <w:numPr>
          <w:ilvl w:val="0"/>
          <w:numId w:val="2"/>
        </w:numPr>
        <w:ind w:left="0" w:firstLine="0"/>
        <w:contextualSpacing w:val="0"/>
        <w:jc w:val="both"/>
        <w:rPr>
          <w:rFonts w:eastAsia="Times New Roman" w:cs="Times New Roman"/>
        </w:rPr>
      </w:pPr>
      <w:r w:rsidRPr="00834149">
        <w:rPr>
          <w:rFonts w:cs="Times New Roman"/>
          <w:b/>
        </w:rPr>
        <w:t xml:space="preserve">The World Bank is helping Togo </w:t>
      </w:r>
      <w:r w:rsidR="009B62FA" w:rsidRPr="00834149">
        <w:rPr>
          <w:rFonts w:cs="Times New Roman"/>
          <w:b/>
        </w:rPr>
        <w:t xml:space="preserve">to </w:t>
      </w:r>
      <w:r w:rsidRPr="00834149">
        <w:rPr>
          <w:rFonts w:cs="Times New Roman"/>
          <w:b/>
        </w:rPr>
        <w:t>develop and implement its “Blue Economy Strategy” to optimize the country’s potential socioeconomic coastal and marine benefits</w:t>
      </w:r>
      <w:r w:rsidRPr="00834149">
        <w:rPr>
          <w:rFonts w:cs="Times New Roman"/>
        </w:rPr>
        <w:t>. The study makes an attempt to accurately assess the contribution of different sectors to the blue economy</w:t>
      </w:r>
      <w:r w:rsidRPr="00834149">
        <w:rPr>
          <w:rStyle w:val="FootnoteReference"/>
          <w:rFonts w:cs="Times New Roman"/>
        </w:rPr>
        <w:footnoteReference w:id="13"/>
      </w:r>
      <w:r w:rsidRPr="00834149">
        <w:rPr>
          <w:rFonts w:cs="Times New Roman"/>
        </w:rPr>
        <w:t xml:space="preserve"> and help guide policy decisions. The study</w:t>
      </w:r>
      <w:r w:rsidR="008E5E6A" w:rsidRPr="00834149">
        <w:rPr>
          <w:rFonts w:cs="Times New Roman"/>
        </w:rPr>
        <w:t>, along with accompanying TA,</w:t>
      </w:r>
      <w:r w:rsidRPr="00834149">
        <w:rPr>
          <w:rFonts w:cs="Times New Roman"/>
        </w:rPr>
        <w:t xml:space="preserve"> will inform the </w:t>
      </w:r>
      <w:r w:rsidR="009B62FA" w:rsidRPr="00834149">
        <w:rPr>
          <w:rFonts w:cs="Times New Roman"/>
        </w:rPr>
        <w:t>PND</w:t>
      </w:r>
      <w:r w:rsidRPr="00834149">
        <w:rPr>
          <w:rFonts w:cs="Times New Roman"/>
        </w:rPr>
        <w:t xml:space="preserve"> and help the authorities make </w:t>
      </w:r>
      <w:r w:rsidR="009B62FA" w:rsidRPr="00834149">
        <w:rPr>
          <w:rFonts w:cs="Times New Roman"/>
        </w:rPr>
        <w:t>policy</w:t>
      </w:r>
      <w:r w:rsidRPr="00834149">
        <w:rPr>
          <w:rFonts w:cs="Times New Roman"/>
        </w:rPr>
        <w:t xml:space="preserve"> decisions to address the challenges facing the development of the country’s blue economy, initiate the necessary </w:t>
      </w:r>
      <w:r w:rsidR="00A97383" w:rsidRPr="00834149">
        <w:rPr>
          <w:rFonts w:cs="Times New Roman"/>
        </w:rPr>
        <w:t>reforms</w:t>
      </w:r>
      <w:r w:rsidR="009B62FA" w:rsidRPr="00834149">
        <w:rPr>
          <w:rFonts w:cs="Times New Roman"/>
        </w:rPr>
        <w:t>,</w:t>
      </w:r>
      <w:r w:rsidR="00A97383" w:rsidRPr="00834149">
        <w:rPr>
          <w:rFonts w:cs="Times New Roman"/>
        </w:rPr>
        <w:t xml:space="preserve"> and sequence priorities</w:t>
      </w:r>
      <w:r w:rsidRPr="00834149">
        <w:rPr>
          <w:rFonts w:cs="Times New Roman"/>
        </w:rPr>
        <w:t>.</w:t>
      </w:r>
    </w:p>
    <w:p w14:paraId="64ED1261" w14:textId="564548BE" w:rsidR="001F7FDE" w:rsidRPr="00834149" w:rsidRDefault="001F7FDE" w:rsidP="00834149">
      <w:pPr>
        <w:pStyle w:val="ListParagraph"/>
        <w:ind w:left="0"/>
        <w:contextualSpacing w:val="0"/>
        <w:jc w:val="both"/>
        <w:rPr>
          <w:rFonts w:eastAsia="Times New Roman" w:cs="Times New Roman"/>
        </w:rPr>
      </w:pPr>
    </w:p>
    <w:p w14:paraId="7A795C94" w14:textId="27DE3B07" w:rsidR="0098178C" w:rsidRPr="00834149" w:rsidRDefault="0098178C" w:rsidP="00A50430">
      <w:pPr>
        <w:pBdr>
          <w:top w:val="single" w:sz="4" w:space="1" w:color="auto"/>
          <w:left w:val="single" w:sz="4" w:space="4" w:color="auto"/>
          <w:right w:val="single" w:sz="4" w:space="4" w:color="auto"/>
        </w:pBdr>
        <w:shd w:val="clear" w:color="auto" w:fill="D9D9D9" w:themeFill="background1" w:themeFillShade="D9"/>
        <w:rPr>
          <w:rFonts w:cs="Times New Roman"/>
          <w:b/>
          <w:i/>
        </w:rPr>
      </w:pPr>
      <w:r w:rsidRPr="00834149">
        <w:rPr>
          <w:rFonts w:cs="Times New Roman"/>
          <w:b/>
          <w:i/>
        </w:rPr>
        <w:t>Results Indicator for Objective 3.2</w:t>
      </w:r>
      <w:r w:rsidR="009B62FA" w:rsidRPr="00834149">
        <w:rPr>
          <w:rFonts w:cs="Times New Roman"/>
          <w:b/>
          <w:i/>
        </w:rPr>
        <w:t>:</w:t>
      </w:r>
      <w:r w:rsidR="00056FF8">
        <w:rPr>
          <w:rFonts w:cs="Times New Roman"/>
          <w:b/>
          <w:i/>
        </w:rPr>
        <w:t xml:space="preserve"> Strengthen</w:t>
      </w:r>
      <w:r w:rsidRPr="00834149">
        <w:rPr>
          <w:rFonts w:cs="Times New Roman"/>
          <w:b/>
          <w:i/>
        </w:rPr>
        <w:t xml:space="preserve"> </w:t>
      </w:r>
      <w:r w:rsidR="009B62FA" w:rsidRPr="00834149">
        <w:rPr>
          <w:rFonts w:cs="Times New Roman"/>
          <w:b/>
          <w:i/>
        </w:rPr>
        <w:t>R</w:t>
      </w:r>
      <w:r w:rsidRPr="00834149">
        <w:rPr>
          <w:rFonts w:cs="Times New Roman"/>
          <w:b/>
          <w:i/>
        </w:rPr>
        <w:t xml:space="preserve">esilience and </w:t>
      </w:r>
      <w:r w:rsidR="009B62FA" w:rsidRPr="00834149">
        <w:rPr>
          <w:rFonts w:cs="Times New Roman"/>
          <w:b/>
          <w:i/>
        </w:rPr>
        <w:t>A</w:t>
      </w:r>
      <w:r w:rsidRPr="00834149">
        <w:rPr>
          <w:rFonts w:cs="Times New Roman"/>
          <w:b/>
          <w:i/>
        </w:rPr>
        <w:t xml:space="preserve">daptation to </w:t>
      </w:r>
      <w:r w:rsidR="009B62FA" w:rsidRPr="00834149">
        <w:rPr>
          <w:rFonts w:cs="Times New Roman"/>
          <w:b/>
          <w:i/>
        </w:rPr>
        <w:t>C</w:t>
      </w:r>
      <w:r w:rsidRPr="00834149">
        <w:rPr>
          <w:rFonts w:cs="Times New Roman"/>
          <w:b/>
          <w:i/>
        </w:rPr>
        <w:t xml:space="preserve">limate </w:t>
      </w:r>
      <w:r w:rsidR="009B62FA" w:rsidRPr="00834149">
        <w:rPr>
          <w:rFonts w:cs="Times New Roman"/>
          <w:b/>
          <w:i/>
        </w:rPr>
        <w:t>C</w:t>
      </w:r>
      <w:r w:rsidRPr="00834149">
        <w:rPr>
          <w:rFonts w:cs="Times New Roman"/>
          <w:b/>
          <w:i/>
        </w:rPr>
        <w:t>hange</w:t>
      </w:r>
    </w:p>
    <w:p w14:paraId="1CE189C9" w14:textId="5AD7D800" w:rsidR="0098178C" w:rsidRPr="00834149" w:rsidRDefault="0098178C" w:rsidP="00A50430">
      <w:pPr>
        <w:pBdr>
          <w:top w:val="single" w:sz="4" w:space="0" w:color="auto"/>
          <w:left w:val="single" w:sz="4" w:space="4" w:color="auto"/>
          <w:bottom w:val="single" w:sz="4" w:space="1" w:color="auto"/>
          <w:right w:val="single" w:sz="4" w:space="4" w:color="auto"/>
        </w:pBdr>
        <w:shd w:val="clear" w:color="auto" w:fill="F8F8F0" w:themeFill="background2" w:themeFillTint="33"/>
        <w:rPr>
          <w:rFonts w:cs="Times New Roman"/>
        </w:rPr>
      </w:pPr>
      <w:r w:rsidRPr="00834149">
        <w:rPr>
          <w:rFonts w:cs="Times New Roman"/>
          <w:b/>
        </w:rPr>
        <w:t>Indicator 1:</w:t>
      </w:r>
      <w:r w:rsidRPr="00834149">
        <w:rPr>
          <w:rFonts w:cs="Times New Roman"/>
        </w:rPr>
        <w:t xml:space="preserve"> Percentage of households in targeted coastal areas at reduced risk of flooding and erosion (inland and coastal)</w:t>
      </w:r>
      <w:r w:rsidR="008F69CE" w:rsidRPr="00834149">
        <w:rPr>
          <w:rFonts w:cs="Times New Roman"/>
        </w:rPr>
        <w:t xml:space="preserve"> (</w:t>
      </w:r>
      <w:r w:rsidR="008F69CE" w:rsidRPr="00834149">
        <w:rPr>
          <w:rFonts w:cs="Times New Roman"/>
          <w:i/>
        </w:rPr>
        <w:t xml:space="preserve">from 10% in </w:t>
      </w:r>
      <w:r w:rsidR="009B62FA" w:rsidRPr="00834149">
        <w:rPr>
          <w:rFonts w:cs="Times New Roman"/>
          <w:i/>
        </w:rPr>
        <w:t>2017</w:t>
      </w:r>
      <w:r w:rsidR="008F69CE" w:rsidRPr="00834149">
        <w:rPr>
          <w:rFonts w:cs="Times New Roman"/>
          <w:i/>
        </w:rPr>
        <w:t xml:space="preserve"> to </w:t>
      </w:r>
      <w:r w:rsidR="009B62FA" w:rsidRPr="00834149">
        <w:rPr>
          <w:rFonts w:cs="Times New Roman"/>
          <w:i/>
        </w:rPr>
        <w:t xml:space="preserve">30% </w:t>
      </w:r>
      <w:r w:rsidR="008F69CE" w:rsidRPr="00834149">
        <w:rPr>
          <w:rFonts w:cs="Times New Roman"/>
          <w:i/>
        </w:rPr>
        <w:t>in 2020</w:t>
      </w:r>
      <w:r w:rsidR="008F69CE" w:rsidRPr="00834149">
        <w:rPr>
          <w:rFonts w:cs="Times New Roman"/>
        </w:rPr>
        <w:t xml:space="preserve">) </w:t>
      </w:r>
    </w:p>
    <w:p w14:paraId="136FACC7" w14:textId="59B594C0" w:rsidR="0098178C" w:rsidRPr="00834149" w:rsidRDefault="0098178C" w:rsidP="00A50430">
      <w:pPr>
        <w:pBdr>
          <w:top w:val="single" w:sz="4" w:space="0" w:color="auto"/>
          <w:left w:val="single" w:sz="4" w:space="4" w:color="auto"/>
          <w:bottom w:val="single" w:sz="4" w:space="1" w:color="auto"/>
          <w:right w:val="single" w:sz="4" w:space="4" w:color="auto"/>
        </w:pBdr>
        <w:shd w:val="clear" w:color="auto" w:fill="F8F8F0" w:themeFill="background2" w:themeFillTint="33"/>
        <w:rPr>
          <w:rFonts w:cs="Times New Roman"/>
        </w:rPr>
      </w:pPr>
      <w:r w:rsidRPr="00834149">
        <w:rPr>
          <w:rFonts w:cs="Times New Roman"/>
          <w:b/>
        </w:rPr>
        <w:t>Indicator 2:</w:t>
      </w:r>
      <w:r w:rsidRPr="00834149">
        <w:rPr>
          <w:rFonts w:cs="Times New Roman"/>
        </w:rPr>
        <w:t xml:space="preserve"> Priority actions of Blue Economy Strateg</w:t>
      </w:r>
      <w:r w:rsidR="00F777D3" w:rsidRPr="00834149">
        <w:rPr>
          <w:rFonts w:cs="Times New Roman"/>
        </w:rPr>
        <w:t xml:space="preserve">ic Framework </w:t>
      </w:r>
      <w:r w:rsidRPr="00834149">
        <w:rPr>
          <w:rFonts w:cs="Times New Roman"/>
        </w:rPr>
        <w:t>integrated in National Development Plan and under implementation</w:t>
      </w:r>
      <w:r w:rsidR="00200952" w:rsidRPr="00834149">
        <w:rPr>
          <w:rFonts w:cs="Times New Roman"/>
        </w:rPr>
        <w:t xml:space="preserve"> (</w:t>
      </w:r>
      <w:r w:rsidR="00F7655C" w:rsidRPr="00834149">
        <w:rPr>
          <w:rFonts w:cs="Times New Roman"/>
          <w:i/>
        </w:rPr>
        <w:t xml:space="preserve">from </w:t>
      </w:r>
      <w:r w:rsidR="00200952" w:rsidRPr="00834149">
        <w:rPr>
          <w:rFonts w:cs="Times New Roman"/>
          <w:i/>
        </w:rPr>
        <w:t xml:space="preserve">not integrated in 2017 to integrated in </w:t>
      </w:r>
      <w:r w:rsidR="00F777D3" w:rsidRPr="00834149">
        <w:rPr>
          <w:rFonts w:cs="Times New Roman"/>
          <w:i/>
        </w:rPr>
        <w:t>2020</w:t>
      </w:r>
      <w:r w:rsidR="00F777D3" w:rsidRPr="00834149">
        <w:rPr>
          <w:rFonts w:cs="Times New Roman"/>
        </w:rPr>
        <w:t>)</w:t>
      </w:r>
    </w:p>
    <w:p w14:paraId="3E441015" w14:textId="77777777" w:rsidR="0098178C" w:rsidRPr="00834149" w:rsidRDefault="0098178C" w:rsidP="00A50430">
      <w:pPr>
        <w:rPr>
          <w:rFonts w:cs="Times New Roman"/>
        </w:rPr>
      </w:pPr>
    </w:p>
    <w:p w14:paraId="1FDA3D55" w14:textId="70909F80" w:rsidR="00E46004" w:rsidRPr="00834149" w:rsidRDefault="002002A9" w:rsidP="00A50430">
      <w:pPr>
        <w:pStyle w:val="Heading2"/>
        <w:spacing w:before="0"/>
        <w:jc w:val="both"/>
        <w:rPr>
          <w:rFonts w:asciiTheme="minorHAnsi" w:hAnsiTheme="minorHAnsi" w:cs="Times New Roman"/>
          <w:sz w:val="22"/>
          <w:szCs w:val="22"/>
        </w:rPr>
      </w:pPr>
      <w:bookmarkStart w:id="29" w:name="_Toc480207640"/>
      <w:r w:rsidRPr="00834149">
        <w:rPr>
          <w:rFonts w:asciiTheme="minorHAnsi" w:hAnsiTheme="minorHAnsi" w:cs="Times New Roman"/>
          <w:sz w:val="22"/>
          <w:szCs w:val="22"/>
        </w:rPr>
        <w:t xml:space="preserve">3.3 </w:t>
      </w:r>
      <w:r w:rsidR="00E46004" w:rsidRPr="00834149">
        <w:rPr>
          <w:rFonts w:asciiTheme="minorHAnsi" w:hAnsiTheme="minorHAnsi" w:cs="Times New Roman"/>
          <w:sz w:val="22"/>
          <w:szCs w:val="22"/>
        </w:rPr>
        <w:t>Implementing the Country Partnership Framework</w:t>
      </w:r>
      <w:bookmarkEnd w:id="29"/>
    </w:p>
    <w:p w14:paraId="126FAD24" w14:textId="77777777" w:rsidR="002002A9" w:rsidRPr="00834149" w:rsidRDefault="002002A9" w:rsidP="00A50430">
      <w:pPr>
        <w:jc w:val="both"/>
        <w:rPr>
          <w:rFonts w:cs="Times New Roman"/>
        </w:rPr>
      </w:pPr>
    </w:p>
    <w:p w14:paraId="6151E796" w14:textId="0067D258" w:rsidR="002002A9" w:rsidRPr="00834149" w:rsidRDefault="002002A9" w:rsidP="00A50430">
      <w:pPr>
        <w:pStyle w:val="Heading3"/>
        <w:spacing w:before="0" w:line="240" w:lineRule="auto"/>
        <w:jc w:val="both"/>
        <w:rPr>
          <w:rFonts w:asciiTheme="minorHAnsi" w:hAnsiTheme="minorHAnsi" w:cs="Times New Roman"/>
        </w:rPr>
      </w:pPr>
      <w:bookmarkStart w:id="30" w:name="_Toc480207641"/>
      <w:r w:rsidRPr="00834149">
        <w:rPr>
          <w:rFonts w:asciiTheme="minorHAnsi" w:hAnsiTheme="minorHAnsi" w:cs="Times New Roman"/>
        </w:rPr>
        <w:t>3.3.1 IDA and Trust Fund Resources</w:t>
      </w:r>
      <w:bookmarkEnd w:id="30"/>
      <w:r w:rsidRPr="00834149">
        <w:rPr>
          <w:rFonts w:asciiTheme="minorHAnsi" w:hAnsiTheme="minorHAnsi" w:cs="Times New Roman"/>
        </w:rPr>
        <w:t xml:space="preserve"> </w:t>
      </w:r>
    </w:p>
    <w:p w14:paraId="1E2E5776" w14:textId="77777777" w:rsidR="00B67E33" w:rsidRPr="00834149" w:rsidRDefault="00B67E33" w:rsidP="00A50430">
      <w:pPr>
        <w:jc w:val="both"/>
        <w:rPr>
          <w:rFonts w:cs="Times New Roman"/>
        </w:rPr>
      </w:pPr>
    </w:p>
    <w:p w14:paraId="068123B4" w14:textId="0A7C171B" w:rsidR="00442937" w:rsidRPr="00834149" w:rsidRDefault="00E46004" w:rsidP="00A50430">
      <w:pPr>
        <w:pStyle w:val="ListParagraph"/>
        <w:numPr>
          <w:ilvl w:val="0"/>
          <w:numId w:val="2"/>
        </w:numPr>
        <w:ind w:left="0" w:firstLine="0"/>
        <w:contextualSpacing w:val="0"/>
        <w:jc w:val="both"/>
        <w:rPr>
          <w:rFonts w:eastAsia="Times New Roman" w:cs="Times New Roman"/>
        </w:rPr>
      </w:pPr>
      <w:r w:rsidRPr="00834149">
        <w:rPr>
          <w:rFonts w:cs="Times New Roman"/>
          <w:b/>
          <w:bCs/>
        </w:rPr>
        <w:t>Togo will benefit from scaled up IDA resources during the CPF period, covering the last year of IDA17 and the full IDA18 period</w:t>
      </w:r>
      <w:r w:rsidRPr="00834149">
        <w:rPr>
          <w:rFonts w:cs="Times New Roman"/>
          <w:bCs/>
        </w:rPr>
        <w:t>.</w:t>
      </w:r>
      <w:r w:rsidRPr="00834149">
        <w:rPr>
          <w:rFonts w:cs="Times New Roman"/>
        </w:rPr>
        <w:t xml:space="preserve"> Togo’s available IDA financing envelope during the CPF period (FY17</w:t>
      </w:r>
      <w:r w:rsidR="00A24FBB" w:rsidRPr="00834149">
        <w:rPr>
          <w:rFonts w:cs="Times New Roman"/>
        </w:rPr>
        <w:t>–</w:t>
      </w:r>
      <w:r w:rsidR="001F7FDE">
        <w:rPr>
          <w:rFonts w:cs="Times New Roman"/>
        </w:rPr>
        <w:t>FY</w:t>
      </w:r>
      <w:r w:rsidRPr="00834149">
        <w:rPr>
          <w:rFonts w:cs="Times New Roman"/>
        </w:rPr>
        <w:t>20) is expected to be as follows: under IDA17, Togo has a balance of SDR</w:t>
      </w:r>
      <w:r w:rsidR="001F7FDE">
        <w:rPr>
          <w:rFonts w:cs="Times New Roman"/>
        </w:rPr>
        <w:t xml:space="preserve"> </w:t>
      </w:r>
      <w:r w:rsidRPr="00834149">
        <w:rPr>
          <w:rFonts w:cs="Times New Roman"/>
        </w:rPr>
        <w:t>65.5 million available in FY17; in addition, SDR</w:t>
      </w:r>
      <w:r w:rsidR="001F7FDE">
        <w:rPr>
          <w:rFonts w:cs="Times New Roman"/>
        </w:rPr>
        <w:t xml:space="preserve"> </w:t>
      </w:r>
      <w:r w:rsidRPr="00834149">
        <w:rPr>
          <w:rFonts w:cs="Times New Roman"/>
        </w:rPr>
        <w:t>5 million of canceled IDA resources are available for recommitment to Togo in FY17, for a total of SDR</w:t>
      </w:r>
      <w:r w:rsidR="001F7FDE">
        <w:rPr>
          <w:rFonts w:cs="Times New Roman"/>
        </w:rPr>
        <w:t xml:space="preserve"> </w:t>
      </w:r>
      <w:r w:rsidRPr="00834149">
        <w:rPr>
          <w:rFonts w:cs="Times New Roman"/>
        </w:rPr>
        <w:t xml:space="preserve">70.5 million under the IDA17 cycle. As a country at moderate risk of debt distress, </w:t>
      </w:r>
      <w:r w:rsidR="009D67B6" w:rsidRPr="00834149">
        <w:rPr>
          <w:rFonts w:cs="Times New Roman"/>
          <w:szCs w:val="24"/>
        </w:rPr>
        <w:t>Togo’s IDA allocation was provided as a mix of grants and credits during IDA17 period. Under the proposed IDA18 financing framework, Togo is expected to significantly benefit from the scale-up in concessional resources for fragile states, with a notional envelope of US$200–230 million equivalent for FY18–20.</w:t>
      </w:r>
      <w:r w:rsidR="009D67B6" w:rsidRPr="00834149">
        <w:rPr>
          <w:rStyle w:val="FootnoteReference"/>
          <w:rFonts w:cs="Times New Roman"/>
          <w:szCs w:val="24"/>
        </w:rPr>
        <w:footnoteReference w:id="14"/>
      </w:r>
      <w:r w:rsidR="009D67B6" w:rsidRPr="00834149">
        <w:rPr>
          <w:rFonts w:cs="Times New Roman"/>
          <w:szCs w:val="24"/>
        </w:rPr>
        <w:t xml:space="preserve"> As in IDA17, grant eligibility in IDA18 will be determined based on the latest DSA available at the time the allocation exercise is performed for a particular fiscal year.</w:t>
      </w:r>
    </w:p>
    <w:p w14:paraId="7DF06566" w14:textId="77777777" w:rsidR="003F399A" w:rsidRPr="00834149" w:rsidRDefault="003F399A" w:rsidP="00A50430">
      <w:pPr>
        <w:pStyle w:val="ListParagraph"/>
        <w:ind w:left="0"/>
        <w:contextualSpacing w:val="0"/>
        <w:jc w:val="both"/>
        <w:rPr>
          <w:rFonts w:eastAsia="Times New Roman" w:cs="Times New Roman"/>
        </w:rPr>
      </w:pPr>
    </w:p>
    <w:p w14:paraId="63AC8CA3" w14:textId="053FA8E8" w:rsidR="00E5110B" w:rsidRPr="00834149" w:rsidRDefault="00E46004" w:rsidP="00A50430">
      <w:pPr>
        <w:pStyle w:val="ListParagraph"/>
        <w:numPr>
          <w:ilvl w:val="0"/>
          <w:numId w:val="2"/>
        </w:numPr>
        <w:ind w:left="0" w:firstLine="0"/>
        <w:contextualSpacing w:val="0"/>
        <w:jc w:val="both"/>
        <w:rPr>
          <w:rFonts w:eastAsia="Times New Roman" w:cs="Times New Roman"/>
        </w:rPr>
      </w:pPr>
      <w:r w:rsidRPr="00834149">
        <w:rPr>
          <w:rFonts w:cs="Times New Roman"/>
          <w:b/>
        </w:rPr>
        <w:t>Togo has been benefitting from additional resources under the exceptional re-engaging regime as a result of an extension of the phase-out period for the duration of IDA17</w:t>
      </w:r>
      <w:r w:rsidRPr="00834149">
        <w:rPr>
          <w:rFonts w:cs="Times New Roman"/>
        </w:rPr>
        <w:t>. Countries that benefitted from the regime, including Togo, will reach the end of the phase-out period in FY17 and revert to regular</w:t>
      </w:r>
      <w:r w:rsidR="00200952" w:rsidRPr="00834149">
        <w:rPr>
          <w:rFonts w:cs="Times New Roman"/>
        </w:rPr>
        <w:t xml:space="preserve"> </w:t>
      </w:r>
      <w:r w:rsidR="00200952" w:rsidRPr="00834149">
        <w:rPr>
          <w:rFonts w:cs="Times New Roman"/>
        </w:rPr>
        <w:lastRenderedPageBreak/>
        <w:t>performance-based allocation</w:t>
      </w:r>
      <w:r w:rsidR="009D67B6">
        <w:rPr>
          <w:rFonts w:cs="Times New Roman"/>
        </w:rPr>
        <w:t>s</w:t>
      </w:r>
      <w:r w:rsidRPr="00834149">
        <w:rPr>
          <w:rFonts w:cs="Times New Roman"/>
        </w:rPr>
        <w:t xml:space="preserve"> in FY18 unless they are eligible for support under the Turn-around Regime (TAR). Togo has been a recipient of HIPC and MDRI debt relief. </w:t>
      </w:r>
      <w:r w:rsidR="00302D89" w:rsidRPr="00834149">
        <w:rPr>
          <w:rFonts w:cs="Times New Roman"/>
        </w:rPr>
        <w:t>The tables below present the indicative IDA lending program for FY17 and IDA18</w:t>
      </w:r>
      <w:r w:rsidR="00E5110B" w:rsidRPr="00834149">
        <w:rPr>
          <w:rFonts w:cs="Times New Roman"/>
        </w:rPr>
        <w:t>, as well as the proposed ASA program</w:t>
      </w:r>
      <w:r w:rsidR="00302D89" w:rsidRPr="00834149">
        <w:rPr>
          <w:rFonts w:cs="Times New Roman"/>
        </w:rPr>
        <w:t>.</w:t>
      </w:r>
    </w:p>
    <w:p w14:paraId="521E1CFC" w14:textId="2213503C" w:rsidR="0088720D" w:rsidRPr="00834149" w:rsidRDefault="0088720D" w:rsidP="00A50430">
      <w:pPr>
        <w:rPr>
          <w:rFonts w:cs="Times New Roman"/>
        </w:rPr>
      </w:pPr>
    </w:p>
    <w:p w14:paraId="4302FAC8" w14:textId="763F8F57" w:rsidR="00E46004" w:rsidRPr="00834149" w:rsidRDefault="00E602BE" w:rsidP="00A50430">
      <w:pPr>
        <w:pStyle w:val="Caption"/>
        <w:rPr>
          <w:rFonts w:cs="Times New Roman"/>
          <w:iCs/>
          <w:caps w:val="0"/>
          <w:sz w:val="22"/>
          <w:szCs w:val="22"/>
        </w:rPr>
      </w:pPr>
      <w:bookmarkStart w:id="31" w:name="_Toc480207646"/>
      <w:r w:rsidRPr="00834149">
        <w:rPr>
          <w:rFonts w:cs="Times New Roman"/>
          <w:caps w:val="0"/>
          <w:sz w:val="22"/>
          <w:szCs w:val="22"/>
        </w:rPr>
        <w:t xml:space="preserve">Table </w:t>
      </w:r>
      <w:r w:rsidRPr="00834149">
        <w:rPr>
          <w:rFonts w:cs="Times New Roman"/>
          <w:caps w:val="0"/>
          <w:sz w:val="22"/>
          <w:szCs w:val="22"/>
        </w:rPr>
        <w:fldChar w:fldCharType="begin"/>
      </w:r>
      <w:r w:rsidRPr="00834149">
        <w:rPr>
          <w:rFonts w:cs="Times New Roman"/>
          <w:caps w:val="0"/>
          <w:sz w:val="22"/>
          <w:szCs w:val="22"/>
        </w:rPr>
        <w:instrText xml:space="preserve"> SEQ Table \* ARABIC </w:instrText>
      </w:r>
      <w:r w:rsidRPr="00834149">
        <w:rPr>
          <w:rFonts w:cs="Times New Roman"/>
          <w:caps w:val="0"/>
          <w:sz w:val="22"/>
          <w:szCs w:val="22"/>
        </w:rPr>
        <w:fldChar w:fldCharType="separate"/>
      </w:r>
      <w:r w:rsidR="000D6ABB">
        <w:rPr>
          <w:rFonts w:cs="Times New Roman"/>
          <w:caps w:val="0"/>
          <w:noProof/>
          <w:sz w:val="22"/>
          <w:szCs w:val="22"/>
        </w:rPr>
        <w:t>2</w:t>
      </w:r>
      <w:r w:rsidRPr="00834149">
        <w:rPr>
          <w:rFonts w:cs="Times New Roman"/>
          <w:caps w:val="0"/>
          <w:sz w:val="22"/>
          <w:szCs w:val="22"/>
        </w:rPr>
        <w:fldChar w:fldCharType="end"/>
      </w:r>
      <w:r w:rsidR="00347DE0" w:rsidRPr="00834149">
        <w:rPr>
          <w:rFonts w:cs="Times New Roman"/>
          <w:iCs/>
          <w:caps w:val="0"/>
          <w:sz w:val="22"/>
          <w:szCs w:val="22"/>
        </w:rPr>
        <w:t>: FY17 IDA Lending Program</w:t>
      </w:r>
      <w:bookmarkEnd w:id="31"/>
    </w:p>
    <w:tbl>
      <w:tblPr>
        <w:tblW w:w="7650" w:type="dxa"/>
        <w:tblLook w:val="04A0" w:firstRow="1" w:lastRow="0" w:firstColumn="1" w:lastColumn="0" w:noHBand="0" w:noVBand="1"/>
      </w:tblPr>
      <w:tblGrid>
        <w:gridCol w:w="5260"/>
        <w:gridCol w:w="2390"/>
      </w:tblGrid>
      <w:tr w:rsidR="00A24FBB" w:rsidRPr="00D12703" w14:paraId="6CC0D80E" w14:textId="77777777" w:rsidTr="00834149">
        <w:trPr>
          <w:trHeight w:val="540"/>
        </w:trPr>
        <w:tc>
          <w:tcPr>
            <w:tcW w:w="5260" w:type="dxa"/>
            <w:tcBorders>
              <w:top w:val="single" w:sz="4" w:space="0" w:color="auto"/>
              <w:left w:val="nil"/>
              <w:bottom w:val="double" w:sz="6" w:space="0" w:color="auto"/>
              <w:right w:val="nil"/>
            </w:tcBorders>
            <w:shd w:val="clear" w:color="auto" w:fill="EBF2F1" w:themeFill="accent2" w:themeFillTint="33"/>
            <w:noWrap/>
            <w:vAlign w:val="center"/>
            <w:hideMark/>
          </w:tcPr>
          <w:p w14:paraId="6FA83AC5" w14:textId="77777777" w:rsidR="00A24FBB" w:rsidRPr="00834149" w:rsidRDefault="00A24FBB" w:rsidP="00A50430">
            <w:pPr>
              <w:rPr>
                <w:rFonts w:eastAsia="Times New Roman" w:cs="Times New Roman"/>
                <w:b/>
                <w:bCs/>
                <w:color w:val="000000"/>
              </w:rPr>
            </w:pPr>
            <w:r w:rsidRPr="00834149">
              <w:rPr>
                <w:rFonts w:eastAsia="Times New Roman" w:cs="Times New Roman"/>
                <w:b/>
                <w:bCs/>
                <w:color w:val="000000"/>
              </w:rPr>
              <w:t>Project Name</w:t>
            </w:r>
          </w:p>
        </w:tc>
        <w:tc>
          <w:tcPr>
            <w:tcW w:w="2390" w:type="dxa"/>
            <w:tcBorders>
              <w:top w:val="single" w:sz="4" w:space="0" w:color="auto"/>
              <w:left w:val="nil"/>
              <w:bottom w:val="double" w:sz="6" w:space="0" w:color="auto"/>
            </w:tcBorders>
            <w:shd w:val="clear" w:color="auto" w:fill="EBF2F1" w:themeFill="accent2" w:themeFillTint="33"/>
            <w:vAlign w:val="bottom"/>
            <w:hideMark/>
          </w:tcPr>
          <w:p w14:paraId="23E39466" w14:textId="54B3C172" w:rsidR="00A24FBB" w:rsidRPr="00834149" w:rsidRDefault="00A24FBB" w:rsidP="00A50430">
            <w:pPr>
              <w:jc w:val="center"/>
              <w:rPr>
                <w:rFonts w:eastAsia="Times New Roman" w:cs="Times New Roman"/>
                <w:b/>
                <w:bCs/>
                <w:color w:val="000000"/>
              </w:rPr>
            </w:pPr>
            <w:r w:rsidRPr="00834149">
              <w:rPr>
                <w:rFonts w:eastAsia="Times New Roman" w:cs="Times New Roman"/>
                <w:b/>
                <w:bCs/>
                <w:color w:val="000000"/>
              </w:rPr>
              <w:t>(US$ million</w:t>
            </w:r>
            <w:r w:rsidR="00F02045" w:rsidRPr="00834149">
              <w:rPr>
                <w:rFonts w:eastAsia="Times New Roman" w:cs="Times New Roman"/>
                <w:b/>
                <w:bCs/>
                <w:color w:val="000000"/>
              </w:rPr>
              <w:t>s</w:t>
            </w:r>
            <w:r w:rsidRPr="00834149">
              <w:rPr>
                <w:rFonts w:eastAsia="Times New Roman" w:cs="Times New Roman"/>
                <w:b/>
                <w:bCs/>
                <w:color w:val="000000"/>
              </w:rPr>
              <w:t>)</w:t>
            </w:r>
          </w:p>
        </w:tc>
      </w:tr>
      <w:tr w:rsidR="00F02045" w:rsidRPr="00D12703" w14:paraId="32B345EA" w14:textId="77777777" w:rsidTr="00834149">
        <w:trPr>
          <w:trHeight w:val="315"/>
        </w:trPr>
        <w:tc>
          <w:tcPr>
            <w:tcW w:w="7650" w:type="dxa"/>
            <w:gridSpan w:val="2"/>
            <w:tcBorders>
              <w:top w:val="single" w:sz="4" w:space="0" w:color="auto"/>
              <w:left w:val="nil"/>
              <w:bottom w:val="single" w:sz="4" w:space="0" w:color="auto"/>
            </w:tcBorders>
            <w:shd w:val="clear" w:color="auto" w:fill="F8F8F0" w:themeFill="background2" w:themeFillTint="33"/>
            <w:noWrap/>
            <w:vAlign w:val="bottom"/>
          </w:tcPr>
          <w:p w14:paraId="490DD50E" w14:textId="2E34BC1C" w:rsidR="00F02045" w:rsidRPr="00834149" w:rsidRDefault="00F02045" w:rsidP="00A50430">
            <w:pPr>
              <w:rPr>
                <w:rFonts w:eastAsia="Times New Roman" w:cs="Times New Roman"/>
                <w:b/>
                <w:color w:val="000000"/>
              </w:rPr>
            </w:pPr>
            <w:r w:rsidRPr="00834149">
              <w:rPr>
                <w:rFonts w:eastAsia="Times New Roman" w:cs="Times New Roman"/>
                <w:b/>
                <w:color w:val="000000"/>
              </w:rPr>
              <w:t>Focus Area 1: Private Sector Performance and Job Creation</w:t>
            </w:r>
          </w:p>
        </w:tc>
      </w:tr>
      <w:tr w:rsidR="00A24FBB" w:rsidRPr="00D12703" w14:paraId="2D705F98" w14:textId="77777777" w:rsidTr="00834149">
        <w:trPr>
          <w:trHeight w:val="315"/>
        </w:trPr>
        <w:tc>
          <w:tcPr>
            <w:tcW w:w="5260" w:type="dxa"/>
            <w:tcBorders>
              <w:top w:val="nil"/>
              <w:left w:val="nil"/>
              <w:bottom w:val="nil"/>
              <w:right w:val="nil"/>
            </w:tcBorders>
            <w:shd w:val="clear" w:color="auto" w:fill="FFFFFF" w:themeFill="background1"/>
            <w:noWrap/>
            <w:vAlign w:val="bottom"/>
            <w:hideMark/>
          </w:tcPr>
          <w:p w14:paraId="17260153" w14:textId="1856CCBD" w:rsidR="00A24FBB" w:rsidRPr="00834149" w:rsidRDefault="00A24FBB" w:rsidP="00A50430">
            <w:pPr>
              <w:rPr>
                <w:rFonts w:eastAsia="Times New Roman" w:cs="Times New Roman"/>
                <w:color w:val="000000"/>
              </w:rPr>
            </w:pPr>
            <w:r w:rsidRPr="00834149">
              <w:rPr>
                <w:rFonts w:eastAsia="Times New Roman" w:cs="Times New Roman"/>
                <w:color w:val="000000"/>
              </w:rPr>
              <w:t>Agricultural Sector Support Project (AF)</w:t>
            </w:r>
          </w:p>
        </w:tc>
        <w:tc>
          <w:tcPr>
            <w:tcW w:w="2390" w:type="dxa"/>
            <w:tcBorders>
              <w:top w:val="nil"/>
              <w:left w:val="nil"/>
              <w:bottom w:val="nil"/>
            </w:tcBorders>
            <w:shd w:val="clear" w:color="auto" w:fill="FFFFFF" w:themeFill="background1"/>
            <w:noWrap/>
            <w:vAlign w:val="bottom"/>
            <w:hideMark/>
          </w:tcPr>
          <w:p w14:paraId="280D9DED" w14:textId="77777777" w:rsidR="00A24FBB" w:rsidRPr="00834149" w:rsidRDefault="00A24FBB" w:rsidP="00A50430">
            <w:pPr>
              <w:jc w:val="center"/>
              <w:rPr>
                <w:rFonts w:eastAsia="Times New Roman" w:cs="Times New Roman"/>
                <w:color w:val="000000"/>
              </w:rPr>
            </w:pPr>
            <w:r w:rsidRPr="00834149">
              <w:rPr>
                <w:rFonts w:eastAsia="Times New Roman" w:cs="Times New Roman"/>
                <w:color w:val="000000"/>
              </w:rPr>
              <w:t>20</w:t>
            </w:r>
          </w:p>
        </w:tc>
      </w:tr>
      <w:tr w:rsidR="00A24FBB" w:rsidRPr="00D12703" w14:paraId="3EF07679" w14:textId="77777777" w:rsidTr="00834149">
        <w:trPr>
          <w:trHeight w:val="300"/>
        </w:trPr>
        <w:tc>
          <w:tcPr>
            <w:tcW w:w="5260" w:type="dxa"/>
            <w:tcBorders>
              <w:top w:val="nil"/>
              <w:left w:val="nil"/>
              <w:bottom w:val="nil"/>
              <w:right w:val="nil"/>
            </w:tcBorders>
            <w:shd w:val="clear" w:color="auto" w:fill="FFFFFF" w:themeFill="background1"/>
            <w:noWrap/>
            <w:vAlign w:val="bottom"/>
            <w:hideMark/>
          </w:tcPr>
          <w:p w14:paraId="45300607" w14:textId="54F9407B" w:rsidR="00A24FBB" w:rsidRPr="00834149" w:rsidRDefault="00A24FBB" w:rsidP="00A50430">
            <w:pPr>
              <w:rPr>
                <w:rFonts w:eastAsia="Times New Roman" w:cs="Times New Roman"/>
                <w:color w:val="000000"/>
              </w:rPr>
            </w:pPr>
            <w:r w:rsidRPr="00834149">
              <w:rPr>
                <w:rFonts w:eastAsia="Times New Roman" w:cs="Times New Roman"/>
                <w:color w:val="000000"/>
              </w:rPr>
              <w:t>West Africa Agricultural Productivity Project (AF)</w:t>
            </w:r>
          </w:p>
        </w:tc>
        <w:tc>
          <w:tcPr>
            <w:tcW w:w="2390" w:type="dxa"/>
            <w:tcBorders>
              <w:top w:val="nil"/>
              <w:left w:val="nil"/>
              <w:bottom w:val="nil"/>
            </w:tcBorders>
            <w:shd w:val="clear" w:color="auto" w:fill="FFFFFF" w:themeFill="background1"/>
            <w:noWrap/>
            <w:vAlign w:val="bottom"/>
            <w:hideMark/>
          </w:tcPr>
          <w:p w14:paraId="5E640A6A" w14:textId="77777777" w:rsidR="00A24FBB" w:rsidRPr="00834149" w:rsidRDefault="00A24FBB" w:rsidP="00A50430">
            <w:pPr>
              <w:jc w:val="center"/>
              <w:rPr>
                <w:rFonts w:eastAsia="Times New Roman" w:cs="Times New Roman"/>
                <w:color w:val="000000"/>
              </w:rPr>
            </w:pPr>
            <w:r w:rsidRPr="00834149">
              <w:rPr>
                <w:rFonts w:eastAsia="Times New Roman" w:cs="Times New Roman"/>
                <w:color w:val="000000"/>
              </w:rPr>
              <w:t>10</w:t>
            </w:r>
          </w:p>
        </w:tc>
      </w:tr>
      <w:tr w:rsidR="000749B6" w:rsidRPr="00D12703" w14:paraId="119CA62F" w14:textId="77777777" w:rsidTr="00834149">
        <w:trPr>
          <w:trHeight w:val="300"/>
        </w:trPr>
        <w:tc>
          <w:tcPr>
            <w:tcW w:w="5260" w:type="dxa"/>
            <w:tcBorders>
              <w:top w:val="nil"/>
              <w:left w:val="nil"/>
              <w:bottom w:val="single" w:sz="4" w:space="0" w:color="auto"/>
              <w:right w:val="nil"/>
            </w:tcBorders>
            <w:shd w:val="clear" w:color="auto" w:fill="FFFFFF" w:themeFill="background1"/>
            <w:noWrap/>
            <w:vAlign w:val="bottom"/>
            <w:hideMark/>
          </w:tcPr>
          <w:p w14:paraId="29E20CDF" w14:textId="77777777" w:rsidR="000749B6" w:rsidRPr="00834149" w:rsidRDefault="000749B6" w:rsidP="00A50430">
            <w:pPr>
              <w:rPr>
                <w:rFonts w:eastAsia="Times New Roman" w:cs="Times New Roman"/>
                <w:color w:val="000000"/>
              </w:rPr>
            </w:pPr>
            <w:r w:rsidRPr="00834149">
              <w:rPr>
                <w:rFonts w:eastAsia="Times New Roman" w:cs="Times New Roman"/>
                <w:color w:val="000000"/>
              </w:rPr>
              <w:t>Transport and Logistics Facilitation</w:t>
            </w:r>
          </w:p>
        </w:tc>
        <w:tc>
          <w:tcPr>
            <w:tcW w:w="2390" w:type="dxa"/>
            <w:tcBorders>
              <w:top w:val="nil"/>
              <w:left w:val="nil"/>
              <w:bottom w:val="single" w:sz="4" w:space="0" w:color="auto"/>
            </w:tcBorders>
            <w:shd w:val="clear" w:color="auto" w:fill="FFFFFF" w:themeFill="background1"/>
            <w:noWrap/>
            <w:vAlign w:val="bottom"/>
            <w:hideMark/>
          </w:tcPr>
          <w:p w14:paraId="60149B74" w14:textId="77777777" w:rsidR="000749B6" w:rsidRPr="00834149" w:rsidRDefault="000749B6" w:rsidP="00A50430">
            <w:pPr>
              <w:jc w:val="center"/>
              <w:rPr>
                <w:rFonts w:eastAsia="Times New Roman" w:cs="Times New Roman"/>
                <w:color w:val="000000"/>
              </w:rPr>
            </w:pPr>
            <w:r w:rsidRPr="00834149">
              <w:rPr>
                <w:rFonts w:eastAsia="Times New Roman" w:cs="Times New Roman"/>
                <w:color w:val="000000"/>
              </w:rPr>
              <w:t>18</w:t>
            </w:r>
          </w:p>
        </w:tc>
      </w:tr>
      <w:tr w:rsidR="000749B6" w:rsidRPr="00D12703" w14:paraId="527260D8" w14:textId="77777777" w:rsidTr="00834149">
        <w:trPr>
          <w:trHeight w:val="315"/>
        </w:trPr>
        <w:tc>
          <w:tcPr>
            <w:tcW w:w="5260" w:type="dxa"/>
            <w:tcBorders>
              <w:top w:val="single" w:sz="4" w:space="0" w:color="auto"/>
              <w:left w:val="nil"/>
              <w:bottom w:val="single" w:sz="4" w:space="0" w:color="auto"/>
              <w:right w:val="nil"/>
            </w:tcBorders>
            <w:shd w:val="clear" w:color="auto" w:fill="F8F8F0" w:themeFill="background2" w:themeFillTint="33"/>
            <w:noWrap/>
            <w:vAlign w:val="bottom"/>
          </w:tcPr>
          <w:p w14:paraId="3B95424F" w14:textId="36538F74" w:rsidR="000749B6" w:rsidRPr="00834149" w:rsidRDefault="000749B6" w:rsidP="00A50430">
            <w:pPr>
              <w:rPr>
                <w:rFonts w:eastAsia="Times New Roman" w:cs="Times New Roman"/>
                <w:b/>
                <w:color w:val="000000"/>
              </w:rPr>
            </w:pPr>
            <w:r w:rsidRPr="00834149">
              <w:rPr>
                <w:rFonts w:eastAsia="Times New Roman" w:cs="Times New Roman"/>
                <w:b/>
                <w:color w:val="000000"/>
              </w:rPr>
              <w:t>Focus Area 2: Inclusive Public Service Delivery</w:t>
            </w:r>
          </w:p>
        </w:tc>
        <w:tc>
          <w:tcPr>
            <w:tcW w:w="2390" w:type="dxa"/>
            <w:tcBorders>
              <w:top w:val="single" w:sz="4" w:space="0" w:color="auto"/>
              <w:left w:val="nil"/>
              <w:bottom w:val="single" w:sz="4" w:space="0" w:color="auto"/>
            </w:tcBorders>
            <w:shd w:val="clear" w:color="auto" w:fill="F8F8F0" w:themeFill="background2" w:themeFillTint="33"/>
            <w:noWrap/>
            <w:vAlign w:val="bottom"/>
          </w:tcPr>
          <w:p w14:paraId="681D988E" w14:textId="77777777" w:rsidR="000749B6" w:rsidRPr="00834149" w:rsidRDefault="000749B6" w:rsidP="00A50430">
            <w:pPr>
              <w:jc w:val="center"/>
              <w:rPr>
                <w:rFonts w:eastAsia="Times New Roman" w:cs="Times New Roman"/>
                <w:b/>
                <w:color w:val="000000"/>
              </w:rPr>
            </w:pPr>
          </w:p>
        </w:tc>
      </w:tr>
      <w:tr w:rsidR="00A24FBB" w:rsidRPr="00D12703" w14:paraId="5E76092C" w14:textId="77777777" w:rsidTr="00834149">
        <w:trPr>
          <w:trHeight w:val="300"/>
        </w:trPr>
        <w:tc>
          <w:tcPr>
            <w:tcW w:w="5260" w:type="dxa"/>
            <w:tcBorders>
              <w:top w:val="single" w:sz="4" w:space="0" w:color="auto"/>
              <w:left w:val="nil"/>
              <w:bottom w:val="nil"/>
              <w:right w:val="nil"/>
            </w:tcBorders>
            <w:shd w:val="clear" w:color="auto" w:fill="FFFFFF" w:themeFill="background1"/>
            <w:noWrap/>
            <w:vAlign w:val="bottom"/>
            <w:hideMark/>
          </w:tcPr>
          <w:p w14:paraId="0C2E868D" w14:textId="71E071BB" w:rsidR="00A24FBB" w:rsidRPr="00834149" w:rsidRDefault="00A24FBB" w:rsidP="00A50430">
            <w:pPr>
              <w:rPr>
                <w:rFonts w:eastAsia="Times New Roman" w:cs="Times New Roman"/>
                <w:color w:val="000000"/>
              </w:rPr>
            </w:pPr>
            <w:r w:rsidRPr="00834149">
              <w:rPr>
                <w:rFonts w:eastAsia="Times New Roman" w:cs="Times New Roman"/>
                <w:color w:val="000000"/>
              </w:rPr>
              <w:t xml:space="preserve">Safety Nets </w:t>
            </w:r>
            <w:r w:rsidR="00E642EA" w:rsidRPr="00834149">
              <w:rPr>
                <w:rFonts w:eastAsia="Times New Roman" w:cs="Times New Roman"/>
                <w:color w:val="000000"/>
              </w:rPr>
              <w:t xml:space="preserve">and </w:t>
            </w:r>
            <w:r w:rsidRPr="00834149">
              <w:rPr>
                <w:rFonts w:eastAsia="Times New Roman" w:cs="Times New Roman"/>
                <w:color w:val="000000"/>
              </w:rPr>
              <w:t>Basic Services</w:t>
            </w:r>
          </w:p>
        </w:tc>
        <w:tc>
          <w:tcPr>
            <w:tcW w:w="2390" w:type="dxa"/>
            <w:tcBorders>
              <w:top w:val="single" w:sz="4" w:space="0" w:color="auto"/>
              <w:left w:val="nil"/>
              <w:bottom w:val="nil"/>
            </w:tcBorders>
            <w:shd w:val="clear" w:color="auto" w:fill="FFFFFF" w:themeFill="background1"/>
            <w:noWrap/>
            <w:vAlign w:val="bottom"/>
            <w:hideMark/>
          </w:tcPr>
          <w:p w14:paraId="6FEC7CA0" w14:textId="77777777" w:rsidR="00A24FBB" w:rsidRPr="00834149" w:rsidRDefault="00A24FBB" w:rsidP="00A50430">
            <w:pPr>
              <w:jc w:val="center"/>
              <w:rPr>
                <w:rFonts w:eastAsia="Times New Roman" w:cs="Times New Roman"/>
                <w:color w:val="000000"/>
              </w:rPr>
            </w:pPr>
            <w:r w:rsidRPr="00834149">
              <w:rPr>
                <w:rFonts w:eastAsia="Times New Roman" w:cs="Times New Roman"/>
                <w:color w:val="000000"/>
              </w:rPr>
              <w:t>29</w:t>
            </w:r>
          </w:p>
        </w:tc>
      </w:tr>
      <w:tr w:rsidR="00A24FBB" w:rsidRPr="00D12703" w14:paraId="0EE78D81" w14:textId="77777777" w:rsidTr="00834149">
        <w:trPr>
          <w:trHeight w:val="300"/>
        </w:trPr>
        <w:tc>
          <w:tcPr>
            <w:tcW w:w="5260" w:type="dxa"/>
            <w:tcBorders>
              <w:top w:val="nil"/>
              <w:left w:val="nil"/>
              <w:bottom w:val="nil"/>
              <w:right w:val="nil"/>
            </w:tcBorders>
            <w:shd w:val="clear" w:color="auto" w:fill="FFFFFF" w:themeFill="background1"/>
            <w:noWrap/>
            <w:vAlign w:val="bottom"/>
            <w:hideMark/>
          </w:tcPr>
          <w:p w14:paraId="5E4E208B" w14:textId="1826B713" w:rsidR="00A24FBB" w:rsidRPr="00834149" w:rsidRDefault="00A24FBB" w:rsidP="00A50430">
            <w:pPr>
              <w:rPr>
                <w:rFonts w:eastAsia="Times New Roman" w:cs="Times New Roman"/>
                <w:color w:val="000000"/>
              </w:rPr>
            </w:pPr>
            <w:r w:rsidRPr="00834149">
              <w:rPr>
                <w:rFonts w:eastAsia="Times New Roman" w:cs="Times New Roman"/>
                <w:color w:val="000000"/>
              </w:rPr>
              <w:t>Employment Opportunities for Vulnerable Youth</w:t>
            </w:r>
          </w:p>
        </w:tc>
        <w:tc>
          <w:tcPr>
            <w:tcW w:w="2390" w:type="dxa"/>
            <w:tcBorders>
              <w:top w:val="nil"/>
              <w:left w:val="nil"/>
              <w:bottom w:val="nil"/>
            </w:tcBorders>
            <w:shd w:val="clear" w:color="auto" w:fill="FFFFFF" w:themeFill="background1"/>
            <w:noWrap/>
            <w:vAlign w:val="bottom"/>
            <w:hideMark/>
          </w:tcPr>
          <w:p w14:paraId="76434CD5" w14:textId="77777777" w:rsidR="00A24FBB" w:rsidRPr="00834149" w:rsidRDefault="00A24FBB" w:rsidP="00A50430">
            <w:pPr>
              <w:jc w:val="center"/>
              <w:rPr>
                <w:rFonts w:eastAsia="Times New Roman" w:cs="Times New Roman"/>
                <w:color w:val="000000"/>
              </w:rPr>
            </w:pPr>
            <w:r w:rsidRPr="00834149">
              <w:rPr>
                <w:rFonts w:eastAsia="Times New Roman" w:cs="Times New Roman"/>
                <w:color w:val="000000"/>
              </w:rPr>
              <w:t>15</w:t>
            </w:r>
          </w:p>
        </w:tc>
      </w:tr>
      <w:tr w:rsidR="00A24FBB" w:rsidRPr="00D12703" w14:paraId="5A84AB29" w14:textId="77777777" w:rsidTr="00834149">
        <w:trPr>
          <w:trHeight w:val="315"/>
        </w:trPr>
        <w:tc>
          <w:tcPr>
            <w:tcW w:w="5260" w:type="dxa"/>
            <w:tcBorders>
              <w:top w:val="nil"/>
              <w:left w:val="nil"/>
              <w:bottom w:val="double" w:sz="6" w:space="0" w:color="auto"/>
              <w:right w:val="nil"/>
            </w:tcBorders>
            <w:shd w:val="clear" w:color="auto" w:fill="FFFFFF" w:themeFill="background1"/>
            <w:noWrap/>
            <w:vAlign w:val="bottom"/>
            <w:hideMark/>
          </w:tcPr>
          <w:p w14:paraId="6668A1FF" w14:textId="56CFBA75" w:rsidR="00A24FBB" w:rsidRPr="00834149" w:rsidRDefault="00A24FBB" w:rsidP="00A50430">
            <w:pPr>
              <w:rPr>
                <w:rFonts w:eastAsia="Times New Roman" w:cs="Times New Roman"/>
                <w:color w:val="000000"/>
              </w:rPr>
            </w:pPr>
            <w:r w:rsidRPr="00834149">
              <w:rPr>
                <w:rFonts w:eastAsia="Times New Roman" w:cs="Times New Roman"/>
                <w:color w:val="000000"/>
              </w:rPr>
              <w:t>Regional Disease Surveillance System Enhancement*</w:t>
            </w:r>
          </w:p>
        </w:tc>
        <w:tc>
          <w:tcPr>
            <w:tcW w:w="2390" w:type="dxa"/>
            <w:tcBorders>
              <w:top w:val="nil"/>
              <w:left w:val="nil"/>
              <w:bottom w:val="double" w:sz="6" w:space="0" w:color="auto"/>
            </w:tcBorders>
            <w:shd w:val="clear" w:color="auto" w:fill="FFFFFF" w:themeFill="background1"/>
            <w:noWrap/>
            <w:vAlign w:val="bottom"/>
            <w:hideMark/>
          </w:tcPr>
          <w:p w14:paraId="571BA48D" w14:textId="77777777" w:rsidR="00A24FBB" w:rsidRPr="00834149" w:rsidRDefault="00A24FBB" w:rsidP="00A50430">
            <w:pPr>
              <w:jc w:val="center"/>
              <w:rPr>
                <w:rFonts w:eastAsia="Times New Roman" w:cs="Times New Roman"/>
                <w:color w:val="000000"/>
              </w:rPr>
            </w:pPr>
            <w:r w:rsidRPr="00834149">
              <w:rPr>
                <w:rFonts w:eastAsia="Times New Roman" w:cs="Times New Roman"/>
                <w:color w:val="000000"/>
              </w:rPr>
              <w:t>21</w:t>
            </w:r>
          </w:p>
        </w:tc>
      </w:tr>
      <w:tr w:rsidR="00A24FBB" w:rsidRPr="00D12703" w14:paraId="7BB80621" w14:textId="77777777" w:rsidTr="00834149">
        <w:trPr>
          <w:trHeight w:val="315"/>
        </w:trPr>
        <w:tc>
          <w:tcPr>
            <w:tcW w:w="5260" w:type="dxa"/>
            <w:tcBorders>
              <w:top w:val="nil"/>
              <w:left w:val="nil"/>
              <w:bottom w:val="single" w:sz="4" w:space="0" w:color="auto"/>
              <w:right w:val="nil"/>
            </w:tcBorders>
            <w:shd w:val="clear" w:color="auto" w:fill="F8F8F0" w:themeFill="background2" w:themeFillTint="33"/>
            <w:noWrap/>
            <w:vAlign w:val="center"/>
            <w:hideMark/>
          </w:tcPr>
          <w:p w14:paraId="5B9CCD6F" w14:textId="77777777" w:rsidR="00A24FBB" w:rsidRPr="00834149" w:rsidRDefault="00A24FBB" w:rsidP="00A50430">
            <w:pPr>
              <w:rPr>
                <w:rFonts w:eastAsia="Times New Roman" w:cs="Times New Roman"/>
                <w:b/>
                <w:bCs/>
                <w:color w:val="000000"/>
              </w:rPr>
            </w:pPr>
            <w:r w:rsidRPr="00834149">
              <w:rPr>
                <w:rFonts w:eastAsia="Times New Roman" w:cs="Times New Roman"/>
                <w:b/>
                <w:bCs/>
                <w:color w:val="000000"/>
              </w:rPr>
              <w:t>TOTAL IDA</w:t>
            </w:r>
          </w:p>
        </w:tc>
        <w:tc>
          <w:tcPr>
            <w:tcW w:w="2390" w:type="dxa"/>
            <w:tcBorders>
              <w:top w:val="nil"/>
              <w:left w:val="nil"/>
              <w:bottom w:val="single" w:sz="4" w:space="0" w:color="auto"/>
            </w:tcBorders>
            <w:shd w:val="clear" w:color="auto" w:fill="F8F8F0" w:themeFill="background2" w:themeFillTint="33"/>
            <w:noWrap/>
            <w:vAlign w:val="center"/>
            <w:hideMark/>
          </w:tcPr>
          <w:p w14:paraId="298202F4" w14:textId="77777777" w:rsidR="00A24FBB" w:rsidRPr="00834149" w:rsidRDefault="00A24FBB" w:rsidP="00A50430">
            <w:pPr>
              <w:jc w:val="center"/>
              <w:rPr>
                <w:rFonts w:eastAsia="Times New Roman" w:cs="Times New Roman"/>
                <w:b/>
                <w:color w:val="000000"/>
              </w:rPr>
            </w:pPr>
            <w:r w:rsidRPr="00834149">
              <w:rPr>
                <w:rFonts w:eastAsia="Times New Roman" w:cs="Times New Roman"/>
                <w:b/>
                <w:color w:val="000000"/>
              </w:rPr>
              <w:t>113</w:t>
            </w:r>
          </w:p>
        </w:tc>
      </w:tr>
    </w:tbl>
    <w:p w14:paraId="60F16096" w14:textId="4E1E6996" w:rsidR="008D5C1C" w:rsidRPr="00834149" w:rsidRDefault="008D5C1C" w:rsidP="00A50430">
      <w:pPr>
        <w:jc w:val="both"/>
        <w:rPr>
          <w:rFonts w:eastAsia="Times New Roman" w:cs="Times New Roman"/>
          <w:i/>
          <w:color w:val="000000"/>
        </w:rPr>
      </w:pPr>
      <w:r w:rsidRPr="00834149">
        <w:rPr>
          <w:rFonts w:eastAsia="Times New Roman" w:cs="Times New Roman"/>
          <w:i/>
          <w:color w:val="000000"/>
        </w:rPr>
        <w:t xml:space="preserve">*Includes US$14 million from regional IDA </w:t>
      </w:r>
      <w:r w:rsidR="006F24EA" w:rsidRPr="00834149">
        <w:rPr>
          <w:rFonts w:eastAsia="Times New Roman" w:cs="Times New Roman"/>
          <w:i/>
          <w:color w:val="000000"/>
        </w:rPr>
        <w:t>resources</w:t>
      </w:r>
      <w:r w:rsidRPr="00834149">
        <w:rPr>
          <w:rFonts w:eastAsia="Times New Roman" w:cs="Times New Roman"/>
          <w:i/>
          <w:color w:val="000000"/>
        </w:rPr>
        <w:t xml:space="preserve"> and US$7 million national IDA</w:t>
      </w:r>
      <w:r w:rsidR="006F24EA" w:rsidRPr="00834149">
        <w:rPr>
          <w:rFonts w:eastAsia="Times New Roman" w:cs="Times New Roman"/>
          <w:i/>
          <w:color w:val="000000"/>
        </w:rPr>
        <w:t xml:space="preserve"> resources</w:t>
      </w:r>
    </w:p>
    <w:p w14:paraId="7827D5F1" w14:textId="6E161FB9" w:rsidR="003B42D3" w:rsidRPr="00834149" w:rsidRDefault="003B42D3" w:rsidP="00A50430">
      <w:pPr>
        <w:rPr>
          <w:rFonts w:eastAsia="Times New Roman" w:cs="Times New Roman"/>
        </w:rPr>
      </w:pPr>
    </w:p>
    <w:p w14:paraId="4B589A12" w14:textId="5A46FD64" w:rsidR="00A32CA3" w:rsidRPr="00834149" w:rsidRDefault="00A32CA3" w:rsidP="00A50430">
      <w:pPr>
        <w:pStyle w:val="ListParagraph"/>
        <w:numPr>
          <w:ilvl w:val="0"/>
          <w:numId w:val="2"/>
        </w:numPr>
        <w:ind w:left="0" w:firstLine="0"/>
        <w:contextualSpacing w:val="0"/>
        <w:jc w:val="both"/>
        <w:rPr>
          <w:rFonts w:eastAsia="Times New Roman" w:cs="Times New Roman"/>
        </w:rPr>
      </w:pPr>
      <w:r w:rsidRPr="00834149">
        <w:rPr>
          <w:rFonts w:cs="Times New Roman"/>
          <w:b/>
        </w:rPr>
        <w:t>T</w:t>
      </w:r>
      <w:r w:rsidR="00C67DBA" w:rsidRPr="00834149">
        <w:rPr>
          <w:rFonts w:cs="Times New Roman"/>
          <w:b/>
        </w:rPr>
        <w:t>wo engagement scenarios are proposed for IDA during t</w:t>
      </w:r>
      <w:r w:rsidRPr="00834149">
        <w:rPr>
          <w:rFonts w:cs="Times New Roman"/>
          <w:b/>
        </w:rPr>
        <w:t xml:space="preserve">he CPF </w:t>
      </w:r>
      <w:r w:rsidR="00C67DBA" w:rsidRPr="00834149">
        <w:rPr>
          <w:rFonts w:cs="Times New Roman"/>
          <w:b/>
        </w:rPr>
        <w:t>period</w:t>
      </w:r>
      <w:r w:rsidRPr="00834149">
        <w:rPr>
          <w:rFonts w:cs="Times New Roman"/>
        </w:rPr>
        <w:t xml:space="preserve">. </w:t>
      </w:r>
      <w:r w:rsidR="00C67DBA" w:rsidRPr="00834149">
        <w:rPr>
          <w:rFonts w:cs="Times New Roman"/>
        </w:rPr>
        <w:t xml:space="preserve">Under </w:t>
      </w:r>
      <w:r w:rsidR="00E642EA" w:rsidRPr="00834149">
        <w:rPr>
          <w:rFonts w:cs="Times New Roman"/>
        </w:rPr>
        <w:t>E</w:t>
      </w:r>
      <w:r w:rsidR="00C67DBA" w:rsidRPr="00834149">
        <w:rPr>
          <w:rFonts w:cs="Times New Roman"/>
        </w:rPr>
        <w:t xml:space="preserve">ngagement </w:t>
      </w:r>
      <w:r w:rsidR="00E642EA" w:rsidRPr="00834149">
        <w:rPr>
          <w:rFonts w:cs="Times New Roman"/>
        </w:rPr>
        <w:t>S</w:t>
      </w:r>
      <w:r w:rsidR="00C67DBA" w:rsidRPr="00834149">
        <w:rPr>
          <w:rFonts w:cs="Times New Roman"/>
        </w:rPr>
        <w:t>cenario</w:t>
      </w:r>
      <w:r w:rsidR="00E642EA" w:rsidRPr="00834149">
        <w:rPr>
          <w:rFonts w:cs="Times New Roman"/>
        </w:rPr>
        <w:t xml:space="preserve"> 1</w:t>
      </w:r>
      <w:r w:rsidR="00C67DBA" w:rsidRPr="00834149">
        <w:rPr>
          <w:rFonts w:cs="Times New Roman"/>
        </w:rPr>
        <w:t xml:space="preserve">, IDA lending would include </w:t>
      </w:r>
      <w:r w:rsidR="000F47CA" w:rsidRPr="00834149">
        <w:rPr>
          <w:rFonts w:cs="Times New Roman"/>
        </w:rPr>
        <w:t xml:space="preserve">investment financing and </w:t>
      </w:r>
      <w:r w:rsidR="00C67DBA" w:rsidRPr="00834149">
        <w:rPr>
          <w:rFonts w:cs="Times New Roman"/>
        </w:rPr>
        <w:t>a new programmatic DPO series (FY18 and FY19) which would be presented to the Board and implemented on the basis of two criteria: (i) an adequate macroeconomic framework, as monitored/evaluated by IMF and IDA; and (ii) satisfactory economic governance, as demonstrated by implementation of reforms supported by the FY18–</w:t>
      </w:r>
      <w:r w:rsidR="00D12703">
        <w:rPr>
          <w:rFonts w:cs="Times New Roman"/>
        </w:rPr>
        <w:t>FY</w:t>
      </w:r>
      <w:r w:rsidR="00C67DBA" w:rsidRPr="00834149">
        <w:rPr>
          <w:rFonts w:cs="Times New Roman"/>
        </w:rPr>
        <w:t>19 DPO series. Under this engagement scenario, IDA</w:t>
      </w:r>
      <w:r w:rsidR="00F33DF6" w:rsidRPr="00834149">
        <w:rPr>
          <w:rFonts w:cs="Times New Roman"/>
        </w:rPr>
        <w:t xml:space="preserve">18 </w:t>
      </w:r>
      <w:r w:rsidR="00C67DBA" w:rsidRPr="00834149">
        <w:rPr>
          <w:rFonts w:cs="Times New Roman"/>
        </w:rPr>
        <w:t xml:space="preserve">resources </w:t>
      </w:r>
      <w:r w:rsidR="0002099C" w:rsidRPr="00834149">
        <w:rPr>
          <w:rFonts w:cs="Times New Roman"/>
        </w:rPr>
        <w:t>are expected to</w:t>
      </w:r>
      <w:r w:rsidR="00C67DBA" w:rsidRPr="00834149">
        <w:rPr>
          <w:rFonts w:cs="Times New Roman"/>
        </w:rPr>
        <w:t xml:space="preserve"> be frontloaded in FY18. Under </w:t>
      </w:r>
      <w:r w:rsidR="00E642EA" w:rsidRPr="00834149">
        <w:rPr>
          <w:rFonts w:cs="Times New Roman"/>
        </w:rPr>
        <w:t>E</w:t>
      </w:r>
      <w:r w:rsidR="00C67DBA" w:rsidRPr="00834149">
        <w:rPr>
          <w:rFonts w:cs="Times New Roman"/>
        </w:rPr>
        <w:t xml:space="preserve">ngagement </w:t>
      </w:r>
      <w:r w:rsidR="00E642EA" w:rsidRPr="00834149">
        <w:rPr>
          <w:rFonts w:cs="Times New Roman"/>
        </w:rPr>
        <w:t>S</w:t>
      </w:r>
      <w:r w:rsidR="00C67DBA" w:rsidRPr="00834149">
        <w:rPr>
          <w:rFonts w:cs="Times New Roman"/>
        </w:rPr>
        <w:t>cenario</w:t>
      </w:r>
      <w:r w:rsidR="00E642EA" w:rsidRPr="00834149">
        <w:rPr>
          <w:rFonts w:cs="Times New Roman"/>
        </w:rPr>
        <w:t xml:space="preserve"> 2</w:t>
      </w:r>
      <w:r w:rsidR="0002099C" w:rsidRPr="00834149">
        <w:rPr>
          <w:rFonts w:cs="Times New Roman"/>
        </w:rPr>
        <w:t>—</w:t>
      </w:r>
      <w:r w:rsidR="00C67DBA" w:rsidRPr="00834149">
        <w:rPr>
          <w:rFonts w:cs="Times New Roman"/>
        </w:rPr>
        <w:t>i</w:t>
      </w:r>
      <w:r w:rsidR="0025639E" w:rsidRPr="00834149">
        <w:rPr>
          <w:rFonts w:cs="Times New Roman"/>
        </w:rPr>
        <w:t xml:space="preserve">n the </w:t>
      </w:r>
      <w:r w:rsidR="00D87828" w:rsidRPr="00834149">
        <w:rPr>
          <w:rFonts w:cs="Times New Roman"/>
        </w:rPr>
        <w:t xml:space="preserve">absence of </w:t>
      </w:r>
      <w:r w:rsidR="00C67DBA" w:rsidRPr="00834149">
        <w:rPr>
          <w:rFonts w:cs="Times New Roman"/>
        </w:rPr>
        <w:t xml:space="preserve">IDA </w:t>
      </w:r>
      <w:r w:rsidR="00D87828" w:rsidRPr="00834149">
        <w:rPr>
          <w:rFonts w:cs="Times New Roman"/>
        </w:rPr>
        <w:t>DPO</w:t>
      </w:r>
      <w:r w:rsidR="0002099C" w:rsidRPr="00834149">
        <w:rPr>
          <w:rFonts w:cs="Times New Roman"/>
        </w:rPr>
        <w:t xml:space="preserve"> </w:t>
      </w:r>
      <w:r w:rsidR="00D87828" w:rsidRPr="00834149">
        <w:rPr>
          <w:rFonts w:cs="Times New Roman"/>
        </w:rPr>
        <w:t>financing</w:t>
      </w:r>
      <w:r w:rsidR="0002099C" w:rsidRPr="00834149">
        <w:rPr>
          <w:rFonts w:cs="Times New Roman"/>
        </w:rPr>
        <w:t>—</w:t>
      </w:r>
      <w:r w:rsidR="0025639E" w:rsidRPr="00834149">
        <w:rPr>
          <w:rFonts w:cs="Times New Roman"/>
        </w:rPr>
        <w:t xml:space="preserve">IDA resources </w:t>
      </w:r>
      <w:r w:rsidR="00D95B38" w:rsidRPr="00834149">
        <w:rPr>
          <w:rFonts w:cs="Times New Roman"/>
        </w:rPr>
        <w:t xml:space="preserve">would </w:t>
      </w:r>
      <w:r w:rsidR="000F47CA" w:rsidRPr="00834149">
        <w:rPr>
          <w:rFonts w:cs="Times New Roman"/>
        </w:rPr>
        <w:t xml:space="preserve">only be used to finance </w:t>
      </w:r>
      <w:r w:rsidR="00041424" w:rsidRPr="00834149">
        <w:rPr>
          <w:rFonts w:cs="Times New Roman"/>
        </w:rPr>
        <w:t>proposed</w:t>
      </w:r>
      <w:r w:rsidR="00C67DBA" w:rsidRPr="00834149">
        <w:rPr>
          <w:rFonts w:cs="Times New Roman"/>
        </w:rPr>
        <w:t xml:space="preserve"> investment operations </w:t>
      </w:r>
      <w:r w:rsidR="0002099C" w:rsidRPr="00834149">
        <w:rPr>
          <w:rFonts w:cs="Times New Roman"/>
        </w:rPr>
        <w:t>(Table 3)</w:t>
      </w:r>
      <w:r w:rsidR="0025639E" w:rsidRPr="00834149">
        <w:rPr>
          <w:rFonts w:cs="Times New Roman"/>
        </w:rPr>
        <w:t>.</w:t>
      </w:r>
      <w:r w:rsidR="00151ED3" w:rsidRPr="00834149">
        <w:rPr>
          <w:rFonts w:cs="Times New Roman"/>
        </w:rPr>
        <w:t xml:space="preserve"> Given the higher risks associated with Engagement Scenario 1, the </w:t>
      </w:r>
      <w:r w:rsidR="00D9186D" w:rsidRPr="00834149">
        <w:rPr>
          <w:rFonts w:cs="Times New Roman"/>
        </w:rPr>
        <w:t xml:space="preserve">CPF </w:t>
      </w:r>
      <w:r w:rsidR="00151ED3" w:rsidRPr="00834149">
        <w:rPr>
          <w:rFonts w:cs="Times New Roman"/>
        </w:rPr>
        <w:t>results matrix reflects the results indicators of Engagement Scenario 2.</w:t>
      </w:r>
    </w:p>
    <w:p w14:paraId="3E275358" w14:textId="77777777" w:rsidR="002C11D6" w:rsidRPr="00834149" w:rsidRDefault="002C11D6" w:rsidP="00A50430">
      <w:pPr>
        <w:rPr>
          <w:rFonts w:cs="Times New Roman"/>
          <w:b/>
          <w:bCs/>
        </w:rPr>
      </w:pPr>
      <w:r w:rsidRPr="00834149">
        <w:rPr>
          <w:rFonts w:cs="Times New Roman"/>
          <w:caps/>
        </w:rPr>
        <w:br w:type="page"/>
      </w:r>
    </w:p>
    <w:p w14:paraId="1E1AF846" w14:textId="7073D0B3" w:rsidR="00347DE0" w:rsidRPr="00834149" w:rsidRDefault="00E602BE" w:rsidP="00A50430">
      <w:pPr>
        <w:pStyle w:val="Caption"/>
        <w:rPr>
          <w:rFonts w:cs="Times New Roman"/>
          <w:iCs/>
          <w:caps w:val="0"/>
          <w:sz w:val="22"/>
          <w:szCs w:val="22"/>
        </w:rPr>
      </w:pPr>
      <w:bookmarkStart w:id="32" w:name="_Toc480207647"/>
      <w:r w:rsidRPr="00834149">
        <w:rPr>
          <w:rFonts w:cs="Times New Roman"/>
          <w:caps w:val="0"/>
          <w:sz w:val="22"/>
          <w:szCs w:val="22"/>
        </w:rPr>
        <w:lastRenderedPageBreak/>
        <w:t xml:space="preserve">Table </w:t>
      </w:r>
      <w:r w:rsidRPr="00834149">
        <w:rPr>
          <w:rFonts w:cs="Times New Roman"/>
          <w:caps w:val="0"/>
          <w:sz w:val="22"/>
          <w:szCs w:val="22"/>
        </w:rPr>
        <w:fldChar w:fldCharType="begin"/>
      </w:r>
      <w:r w:rsidRPr="00834149">
        <w:rPr>
          <w:rFonts w:cs="Times New Roman"/>
          <w:caps w:val="0"/>
          <w:sz w:val="22"/>
          <w:szCs w:val="22"/>
        </w:rPr>
        <w:instrText xml:space="preserve"> SEQ Table \* ARABIC </w:instrText>
      </w:r>
      <w:r w:rsidRPr="00834149">
        <w:rPr>
          <w:rFonts w:cs="Times New Roman"/>
          <w:caps w:val="0"/>
          <w:sz w:val="22"/>
          <w:szCs w:val="22"/>
        </w:rPr>
        <w:fldChar w:fldCharType="separate"/>
      </w:r>
      <w:r w:rsidR="000D6ABB">
        <w:rPr>
          <w:rFonts w:cs="Times New Roman"/>
          <w:caps w:val="0"/>
          <w:noProof/>
          <w:sz w:val="22"/>
          <w:szCs w:val="22"/>
        </w:rPr>
        <w:t>3</w:t>
      </w:r>
      <w:r w:rsidRPr="00834149">
        <w:rPr>
          <w:rFonts w:cs="Times New Roman"/>
          <w:caps w:val="0"/>
          <w:sz w:val="22"/>
          <w:szCs w:val="22"/>
        </w:rPr>
        <w:fldChar w:fldCharType="end"/>
      </w:r>
      <w:r w:rsidR="00347DE0" w:rsidRPr="00834149">
        <w:rPr>
          <w:rFonts w:cs="Times New Roman"/>
          <w:iCs/>
          <w:caps w:val="0"/>
          <w:sz w:val="22"/>
          <w:szCs w:val="22"/>
        </w:rPr>
        <w:t xml:space="preserve">: Indicative IDA18 </w:t>
      </w:r>
      <w:r w:rsidR="005D2601" w:rsidRPr="00834149">
        <w:rPr>
          <w:rFonts w:cs="Times New Roman"/>
          <w:iCs/>
          <w:caps w:val="0"/>
          <w:sz w:val="22"/>
          <w:szCs w:val="22"/>
        </w:rPr>
        <w:t>Financing</w:t>
      </w:r>
      <w:r w:rsidR="00347DE0" w:rsidRPr="00834149">
        <w:rPr>
          <w:rFonts w:cs="Times New Roman"/>
          <w:iCs/>
          <w:caps w:val="0"/>
          <w:sz w:val="22"/>
          <w:szCs w:val="22"/>
        </w:rPr>
        <w:t xml:space="preserve"> Program</w:t>
      </w:r>
      <w:bookmarkEnd w:id="32"/>
    </w:p>
    <w:tbl>
      <w:tblPr>
        <w:tblW w:w="9355" w:type="dxa"/>
        <w:tblLook w:val="04A0" w:firstRow="1" w:lastRow="0" w:firstColumn="1" w:lastColumn="0" w:noHBand="0" w:noVBand="1"/>
      </w:tblPr>
      <w:tblGrid>
        <w:gridCol w:w="714"/>
        <w:gridCol w:w="3150"/>
        <w:gridCol w:w="2364"/>
        <w:gridCol w:w="3127"/>
      </w:tblGrid>
      <w:tr w:rsidR="00751B4A" w:rsidRPr="00D12703" w14:paraId="2E7C6ABB" w14:textId="77777777" w:rsidTr="00834149">
        <w:trPr>
          <w:trHeight w:val="1207"/>
        </w:trPr>
        <w:tc>
          <w:tcPr>
            <w:tcW w:w="535" w:type="dxa"/>
            <w:tcBorders>
              <w:top w:val="single" w:sz="4" w:space="0" w:color="auto"/>
              <w:left w:val="single" w:sz="4" w:space="0" w:color="auto"/>
              <w:bottom w:val="single" w:sz="4" w:space="0" w:color="auto"/>
              <w:right w:val="single" w:sz="4" w:space="0" w:color="auto"/>
            </w:tcBorders>
            <w:shd w:val="clear" w:color="auto" w:fill="EBF2F1" w:themeFill="accent2" w:themeFillTint="33"/>
            <w:vAlign w:val="center"/>
            <w:hideMark/>
          </w:tcPr>
          <w:p w14:paraId="6805005B" w14:textId="77777777" w:rsidR="00751B4A" w:rsidRPr="00834149" w:rsidRDefault="00751B4A" w:rsidP="00A50430">
            <w:pPr>
              <w:jc w:val="center"/>
              <w:rPr>
                <w:rFonts w:eastAsia="Times New Roman" w:cs="Times New Roman"/>
                <w:b/>
                <w:color w:val="000000"/>
              </w:rPr>
            </w:pPr>
            <w:r w:rsidRPr="00834149">
              <w:rPr>
                <w:rFonts w:eastAsia="Times New Roman" w:cs="Times New Roman"/>
                <w:b/>
                <w:color w:val="000000"/>
              </w:rPr>
              <w:t>Fiscal Year</w:t>
            </w:r>
          </w:p>
        </w:tc>
        <w:tc>
          <w:tcPr>
            <w:tcW w:w="3150" w:type="dxa"/>
            <w:tcBorders>
              <w:top w:val="single" w:sz="4" w:space="0" w:color="auto"/>
              <w:left w:val="nil"/>
              <w:bottom w:val="single" w:sz="4" w:space="0" w:color="auto"/>
              <w:right w:val="single" w:sz="4" w:space="0" w:color="auto"/>
            </w:tcBorders>
            <w:shd w:val="clear" w:color="auto" w:fill="EBF2F1" w:themeFill="accent2" w:themeFillTint="33"/>
            <w:vAlign w:val="center"/>
            <w:hideMark/>
          </w:tcPr>
          <w:p w14:paraId="0F37655E" w14:textId="23E439D9" w:rsidR="003D413C" w:rsidRPr="00834149" w:rsidRDefault="00751B4A" w:rsidP="00A50430">
            <w:pPr>
              <w:jc w:val="center"/>
              <w:rPr>
                <w:rFonts w:eastAsia="Times New Roman" w:cs="Times New Roman"/>
                <w:b/>
                <w:color w:val="000000"/>
              </w:rPr>
            </w:pPr>
            <w:r w:rsidRPr="00834149">
              <w:rPr>
                <w:rFonts w:eastAsia="Times New Roman" w:cs="Times New Roman"/>
                <w:b/>
                <w:color w:val="000000"/>
              </w:rPr>
              <w:t>Focus Area 1:</w:t>
            </w:r>
          </w:p>
          <w:p w14:paraId="22EB8E22" w14:textId="5B388F74" w:rsidR="00751B4A" w:rsidRPr="00834149" w:rsidRDefault="00751B4A" w:rsidP="00A50430">
            <w:pPr>
              <w:jc w:val="center"/>
              <w:rPr>
                <w:rFonts w:eastAsia="Times New Roman" w:cs="Times New Roman"/>
                <w:b/>
                <w:color w:val="000000"/>
              </w:rPr>
            </w:pPr>
            <w:r w:rsidRPr="00834149">
              <w:rPr>
                <w:rFonts w:eastAsia="Times New Roman" w:cs="Times New Roman"/>
                <w:b/>
                <w:color w:val="000000"/>
              </w:rPr>
              <w:t>Private Sector Performance and Job Creation</w:t>
            </w:r>
          </w:p>
        </w:tc>
        <w:tc>
          <w:tcPr>
            <w:tcW w:w="2430" w:type="dxa"/>
            <w:tcBorders>
              <w:top w:val="single" w:sz="4" w:space="0" w:color="auto"/>
              <w:left w:val="nil"/>
              <w:bottom w:val="single" w:sz="4" w:space="0" w:color="auto"/>
              <w:right w:val="single" w:sz="4" w:space="0" w:color="auto"/>
            </w:tcBorders>
            <w:shd w:val="clear" w:color="auto" w:fill="EBF2F1" w:themeFill="accent2" w:themeFillTint="33"/>
            <w:vAlign w:val="center"/>
            <w:hideMark/>
          </w:tcPr>
          <w:p w14:paraId="6718D71C" w14:textId="77777777" w:rsidR="00D12703" w:rsidRDefault="00751B4A" w:rsidP="00A50430">
            <w:pPr>
              <w:jc w:val="center"/>
              <w:rPr>
                <w:rFonts w:eastAsia="Times New Roman" w:cs="Times New Roman"/>
                <w:b/>
                <w:color w:val="000000"/>
              </w:rPr>
            </w:pPr>
            <w:r w:rsidRPr="00834149">
              <w:rPr>
                <w:rFonts w:eastAsia="Times New Roman" w:cs="Times New Roman"/>
                <w:b/>
                <w:color w:val="000000"/>
              </w:rPr>
              <w:t xml:space="preserve">Focus Area 2: </w:t>
            </w:r>
          </w:p>
          <w:p w14:paraId="41B8777B" w14:textId="6AC01CAC" w:rsidR="00751B4A" w:rsidRPr="00834149" w:rsidRDefault="00751B4A" w:rsidP="00A50430">
            <w:pPr>
              <w:jc w:val="center"/>
              <w:rPr>
                <w:rFonts w:eastAsia="Times New Roman" w:cs="Times New Roman"/>
                <w:b/>
                <w:color w:val="000000"/>
              </w:rPr>
            </w:pPr>
            <w:r w:rsidRPr="00834149">
              <w:rPr>
                <w:rFonts w:eastAsia="Times New Roman" w:cs="Times New Roman"/>
                <w:b/>
                <w:color w:val="000000"/>
              </w:rPr>
              <w:t>Inclusive Public Service Delivery</w:t>
            </w:r>
          </w:p>
        </w:tc>
        <w:tc>
          <w:tcPr>
            <w:tcW w:w="3240" w:type="dxa"/>
            <w:tcBorders>
              <w:top w:val="single" w:sz="4" w:space="0" w:color="auto"/>
              <w:left w:val="nil"/>
              <w:bottom w:val="single" w:sz="4" w:space="0" w:color="auto"/>
              <w:right w:val="single" w:sz="4" w:space="0" w:color="auto"/>
            </w:tcBorders>
            <w:shd w:val="clear" w:color="auto" w:fill="EBF2F1" w:themeFill="accent2" w:themeFillTint="33"/>
            <w:vAlign w:val="center"/>
            <w:hideMark/>
          </w:tcPr>
          <w:p w14:paraId="468967BE" w14:textId="77777777" w:rsidR="00D12703" w:rsidRDefault="00751B4A" w:rsidP="00A50430">
            <w:pPr>
              <w:jc w:val="center"/>
              <w:rPr>
                <w:rFonts w:eastAsia="Times New Roman" w:cs="Times New Roman"/>
                <w:b/>
                <w:color w:val="000000"/>
              </w:rPr>
            </w:pPr>
            <w:r w:rsidRPr="00834149">
              <w:rPr>
                <w:rFonts w:eastAsia="Times New Roman" w:cs="Times New Roman"/>
                <w:b/>
                <w:color w:val="000000"/>
              </w:rPr>
              <w:t xml:space="preserve">Focus Area 3: </w:t>
            </w:r>
          </w:p>
          <w:p w14:paraId="5CCC8E50" w14:textId="2C655562" w:rsidR="00751B4A" w:rsidRPr="00834149" w:rsidRDefault="00751B4A" w:rsidP="00A50430">
            <w:pPr>
              <w:jc w:val="center"/>
              <w:rPr>
                <w:rFonts w:eastAsia="Times New Roman" w:cs="Times New Roman"/>
                <w:b/>
                <w:color w:val="000000"/>
              </w:rPr>
            </w:pPr>
            <w:r w:rsidRPr="00834149">
              <w:rPr>
                <w:rFonts w:eastAsia="Times New Roman" w:cs="Times New Roman"/>
                <w:b/>
                <w:color w:val="000000"/>
              </w:rPr>
              <w:t>Environmental Sustainability and Resilience</w:t>
            </w:r>
          </w:p>
        </w:tc>
      </w:tr>
      <w:tr w:rsidR="00751B4A" w:rsidRPr="00D12703" w14:paraId="2A6FBE3C" w14:textId="77777777" w:rsidTr="00834149">
        <w:trPr>
          <w:trHeight w:val="301"/>
        </w:trPr>
        <w:tc>
          <w:tcPr>
            <w:tcW w:w="535" w:type="dxa"/>
            <w:vMerge w:val="restart"/>
            <w:tcBorders>
              <w:top w:val="nil"/>
              <w:left w:val="single" w:sz="4" w:space="0" w:color="auto"/>
              <w:bottom w:val="single" w:sz="4" w:space="0" w:color="auto"/>
              <w:right w:val="single" w:sz="4" w:space="0" w:color="auto"/>
            </w:tcBorders>
            <w:shd w:val="clear" w:color="auto" w:fill="F8F8F0" w:themeFill="background2" w:themeFillTint="33"/>
            <w:noWrap/>
            <w:vAlign w:val="center"/>
            <w:hideMark/>
          </w:tcPr>
          <w:p w14:paraId="76174F56" w14:textId="77777777" w:rsidR="00751B4A" w:rsidRPr="00834149" w:rsidRDefault="00751B4A" w:rsidP="00A50430">
            <w:pPr>
              <w:jc w:val="center"/>
              <w:rPr>
                <w:rFonts w:eastAsia="Times New Roman" w:cs="Times New Roman"/>
                <w:color w:val="000000"/>
              </w:rPr>
            </w:pPr>
            <w:r w:rsidRPr="00834149">
              <w:rPr>
                <w:rFonts w:eastAsia="Times New Roman" w:cs="Times New Roman"/>
                <w:color w:val="000000"/>
              </w:rPr>
              <w:t>2018</w:t>
            </w:r>
          </w:p>
        </w:tc>
        <w:tc>
          <w:tcPr>
            <w:tcW w:w="8820" w:type="dxa"/>
            <w:gridSpan w:val="3"/>
            <w:tcBorders>
              <w:top w:val="single" w:sz="4" w:space="0" w:color="auto"/>
              <w:left w:val="nil"/>
              <w:bottom w:val="single" w:sz="4" w:space="0" w:color="auto"/>
              <w:right w:val="single" w:sz="4" w:space="0" w:color="auto"/>
            </w:tcBorders>
            <w:shd w:val="clear" w:color="auto" w:fill="auto"/>
            <w:vAlign w:val="center"/>
            <w:hideMark/>
          </w:tcPr>
          <w:p w14:paraId="774B9A6A" w14:textId="707F8190" w:rsidR="00751B4A" w:rsidRPr="00834149" w:rsidRDefault="00D55268" w:rsidP="00A50430">
            <w:pPr>
              <w:jc w:val="center"/>
              <w:rPr>
                <w:rFonts w:eastAsia="Times New Roman" w:cs="Times New Roman"/>
                <w:color w:val="000000"/>
              </w:rPr>
            </w:pPr>
            <w:r w:rsidRPr="00834149">
              <w:rPr>
                <w:rFonts w:eastAsia="Times New Roman" w:cs="Times New Roman"/>
                <w:color w:val="000000"/>
              </w:rPr>
              <w:t xml:space="preserve">Growth and Fiscal </w:t>
            </w:r>
            <w:r w:rsidR="00751B4A" w:rsidRPr="00834149">
              <w:rPr>
                <w:rFonts w:eastAsia="Times New Roman" w:cs="Times New Roman"/>
                <w:color w:val="000000"/>
              </w:rPr>
              <w:t xml:space="preserve">Reform DPO </w:t>
            </w:r>
            <w:r w:rsidR="003D413C" w:rsidRPr="00834149">
              <w:rPr>
                <w:rFonts w:eastAsia="Times New Roman" w:cs="Times New Roman"/>
                <w:color w:val="000000"/>
              </w:rPr>
              <w:t>1</w:t>
            </w:r>
            <w:r w:rsidR="00751B4A" w:rsidRPr="00834149">
              <w:rPr>
                <w:rFonts w:eastAsia="Times New Roman" w:cs="Times New Roman"/>
                <w:color w:val="000000"/>
              </w:rPr>
              <w:t>*</w:t>
            </w:r>
          </w:p>
        </w:tc>
      </w:tr>
      <w:tr w:rsidR="00751B4A" w:rsidRPr="00D12703" w14:paraId="73650036" w14:textId="77777777" w:rsidTr="00834149">
        <w:trPr>
          <w:trHeight w:val="301"/>
        </w:trPr>
        <w:tc>
          <w:tcPr>
            <w:tcW w:w="535" w:type="dxa"/>
            <w:vMerge/>
            <w:tcBorders>
              <w:top w:val="nil"/>
              <w:left w:val="single" w:sz="4" w:space="0" w:color="auto"/>
              <w:bottom w:val="single" w:sz="4" w:space="0" w:color="auto"/>
              <w:right w:val="single" w:sz="4" w:space="0" w:color="auto"/>
            </w:tcBorders>
            <w:shd w:val="clear" w:color="auto" w:fill="F8F8F0" w:themeFill="background2" w:themeFillTint="33"/>
            <w:vAlign w:val="center"/>
            <w:hideMark/>
          </w:tcPr>
          <w:p w14:paraId="1BE1C2AA" w14:textId="77777777" w:rsidR="00751B4A" w:rsidRPr="00834149" w:rsidRDefault="00751B4A" w:rsidP="00A50430">
            <w:pPr>
              <w:rPr>
                <w:rFonts w:eastAsia="Times New Roman" w:cs="Times New Roman"/>
                <w:color w:val="000000"/>
              </w:rPr>
            </w:pPr>
          </w:p>
        </w:tc>
        <w:tc>
          <w:tcPr>
            <w:tcW w:w="8820" w:type="dxa"/>
            <w:gridSpan w:val="3"/>
            <w:tcBorders>
              <w:top w:val="single" w:sz="4" w:space="0" w:color="auto"/>
              <w:left w:val="nil"/>
              <w:bottom w:val="single" w:sz="4" w:space="0" w:color="auto"/>
              <w:right w:val="single" w:sz="4" w:space="0" w:color="auto"/>
            </w:tcBorders>
            <w:shd w:val="clear" w:color="auto" w:fill="auto"/>
            <w:vAlign w:val="center"/>
            <w:hideMark/>
          </w:tcPr>
          <w:p w14:paraId="3EF5B672" w14:textId="669A7808" w:rsidR="00751B4A" w:rsidRPr="00834149" w:rsidRDefault="00751B4A" w:rsidP="00A50430">
            <w:pPr>
              <w:jc w:val="center"/>
              <w:rPr>
                <w:rFonts w:eastAsia="Times New Roman" w:cs="Times New Roman"/>
                <w:color w:val="000000"/>
              </w:rPr>
            </w:pPr>
            <w:r w:rsidRPr="00834149">
              <w:rPr>
                <w:rFonts w:eastAsia="Times New Roman" w:cs="Times New Roman"/>
                <w:color w:val="000000"/>
              </w:rPr>
              <w:t>Economic Governance Reform TA*</w:t>
            </w:r>
          </w:p>
        </w:tc>
      </w:tr>
      <w:tr w:rsidR="00751B4A" w:rsidRPr="00D12703" w14:paraId="35517C76" w14:textId="77777777" w:rsidTr="00834149">
        <w:trPr>
          <w:trHeight w:val="905"/>
        </w:trPr>
        <w:tc>
          <w:tcPr>
            <w:tcW w:w="535" w:type="dxa"/>
            <w:vMerge/>
            <w:tcBorders>
              <w:top w:val="nil"/>
              <w:left w:val="single" w:sz="4" w:space="0" w:color="auto"/>
              <w:bottom w:val="single" w:sz="4" w:space="0" w:color="auto"/>
              <w:right w:val="single" w:sz="4" w:space="0" w:color="auto"/>
            </w:tcBorders>
            <w:shd w:val="clear" w:color="auto" w:fill="F8F8F0" w:themeFill="background2" w:themeFillTint="33"/>
            <w:vAlign w:val="center"/>
            <w:hideMark/>
          </w:tcPr>
          <w:p w14:paraId="04C61ECB" w14:textId="77777777" w:rsidR="00751B4A" w:rsidRPr="00834149" w:rsidRDefault="00751B4A" w:rsidP="00A50430">
            <w:pPr>
              <w:rPr>
                <w:rFonts w:eastAsia="Times New Roman" w:cs="Times New Roman"/>
                <w:color w:val="000000"/>
              </w:rPr>
            </w:pPr>
          </w:p>
        </w:tc>
        <w:tc>
          <w:tcPr>
            <w:tcW w:w="3150" w:type="dxa"/>
            <w:tcBorders>
              <w:top w:val="nil"/>
              <w:left w:val="nil"/>
              <w:bottom w:val="single" w:sz="4" w:space="0" w:color="auto"/>
              <w:right w:val="single" w:sz="4" w:space="0" w:color="auto"/>
            </w:tcBorders>
            <w:shd w:val="clear" w:color="auto" w:fill="auto"/>
            <w:vAlign w:val="center"/>
            <w:hideMark/>
          </w:tcPr>
          <w:p w14:paraId="3F97F8EF" w14:textId="4EFBBB86" w:rsidR="00751B4A" w:rsidRPr="00834149" w:rsidRDefault="00751B4A" w:rsidP="00A50430">
            <w:pPr>
              <w:rPr>
                <w:rFonts w:eastAsia="Times New Roman" w:cs="Times New Roman"/>
                <w:color w:val="000000"/>
              </w:rPr>
            </w:pPr>
            <w:r w:rsidRPr="00834149">
              <w:rPr>
                <w:rFonts w:eastAsia="Times New Roman" w:cs="Times New Roman"/>
                <w:color w:val="000000"/>
              </w:rPr>
              <w:t>Energy Sector Governance and Access</w:t>
            </w:r>
          </w:p>
        </w:tc>
        <w:tc>
          <w:tcPr>
            <w:tcW w:w="2430" w:type="dxa"/>
            <w:tcBorders>
              <w:top w:val="nil"/>
              <w:left w:val="nil"/>
              <w:bottom w:val="single" w:sz="4" w:space="0" w:color="auto"/>
              <w:right w:val="single" w:sz="4" w:space="0" w:color="auto"/>
            </w:tcBorders>
            <w:shd w:val="clear" w:color="auto" w:fill="auto"/>
            <w:vAlign w:val="center"/>
            <w:hideMark/>
          </w:tcPr>
          <w:p w14:paraId="4435C297" w14:textId="2A55DDBF" w:rsidR="00751B4A" w:rsidRPr="00834149" w:rsidRDefault="00751B4A" w:rsidP="00A50430">
            <w:pPr>
              <w:rPr>
                <w:rFonts w:eastAsia="Times New Roman" w:cs="Times New Roman"/>
                <w:color w:val="000000"/>
              </w:rPr>
            </w:pPr>
            <w:r w:rsidRPr="00834149">
              <w:rPr>
                <w:rFonts w:eastAsia="Times New Roman" w:cs="Times New Roman"/>
                <w:color w:val="000000"/>
              </w:rPr>
              <w:t>Urban Infrastructure Project</w:t>
            </w:r>
          </w:p>
        </w:tc>
        <w:tc>
          <w:tcPr>
            <w:tcW w:w="3240" w:type="dxa"/>
            <w:tcBorders>
              <w:top w:val="nil"/>
              <w:left w:val="nil"/>
              <w:bottom w:val="single" w:sz="4" w:space="0" w:color="auto"/>
              <w:right w:val="single" w:sz="4" w:space="0" w:color="auto"/>
            </w:tcBorders>
            <w:shd w:val="clear" w:color="auto" w:fill="auto"/>
            <w:vAlign w:val="center"/>
            <w:hideMark/>
          </w:tcPr>
          <w:p w14:paraId="5D76E58F" w14:textId="3B28A89A" w:rsidR="00751B4A" w:rsidRPr="00834149" w:rsidRDefault="00751B4A" w:rsidP="00A50430">
            <w:pPr>
              <w:rPr>
                <w:rFonts w:eastAsia="Times New Roman" w:cs="Times New Roman"/>
                <w:color w:val="000000"/>
              </w:rPr>
            </w:pPr>
            <w:r w:rsidRPr="00834149">
              <w:rPr>
                <w:rFonts w:eastAsia="Times New Roman" w:cs="Times New Roman"/>
                <w:color w:val="000000"/>
              </w:rPr>
              <w:t>West Africa Coastal Areas Resilience Project</w:t>
            </w:r>
          </w:p>
        </w:tc>
      </w:tr>
      <w:tr w:rsidR="00751B4A" w:rsidRPr="00D12703" w14:paraId="2F3BC17B" w14:textId="77777777" w:rsidTr="00834149">
        <w:trPr>
          <w:trHeight w:val="301"/>
        </w:trPr>
        <w:tc>
          <w:tcPr>
            <w:tcW w:w="535" w:type="dxa"/>
            <w:vMerge w:val="restart"/>
            <w:tcBorders>
              <w:top w:val="nil"/>
              <w:left w:val="single" w:sz="4" w:space="0" w:color="auto"/>
              <w:bottom w:val="single" w:sz="4" w:space="0" w:color="auto"/>
              <w:right w:val="single" w:sz="4" w:space="0" w:color="auto"/>
            </w:tcBorders>
            <w:shd w:val="clear" w:color="auto" w:fill="F8F8F0" w:themeFill="background2" w:themeFillTint="33"/>
            <w:noWrap/>
            <w:vAlign w:val="center"/>
            <w:hideMark/>
          </w:tcPr>
          <w:p w14:paraId="122088B9" w14:textId="77777777" w:rsidR="00751B4A" w:rsidRPr="00834149" w:rsidRDefault="00751B4A" w:rsidP="00A50430">
            <w:pPr>
              <w:jc w:val="center"/>
              <w:rPr>
                <w:rFonts w:eastAsia="Times New Roman" w:cs="Times New Roman"/>
                <w:color w:val="000000"/>
              </w:rPr>
            </w:pPr>
            <w:r w:rsidRPr="00834149">
              <w:rPr>
                <w:rFonts w:eastAsia="Times New Roman" w:cs="Times New Roman"/>
                <w:color w:val="000000"/>
              </w:rPr>
              <w:t>2019</w:t>
            </w:r>
          </w:p>
        </w:tc>
        <w:tc>
          <w:tcPr>
            <w:tcW w:w="8820" w:type="dxa"/>
            <w:gridSpan w:val="3"/>
            <w:tcBorders>
              <w:top w:val="single" w:sz="4" w:space="0" w:color="auto"/>
              <w:left w:val="nil"/>
              <w:bottom w:val="single" w:sz="4" w:space="0" w:color="auto"/>
              <w:right w:val="single" w:sz="4" w:space="0" w:color="auto"/>
            </w:tcBorders>
            <w:shd w:val="clear" w:color="auto" w:fill="auto"/>
            <w:vAlign w:val="center"/>
            <w:hideMark/>
          </w:tcPr>
          <w:p w14:paraId="0529CA1F" w14:textId="1BFE6F5A" w:rsidR="00751B4A" w:rsidRPr="00834149" w:rsidRDefault="00D55268" w:rsidP="00A50430">
            <w:pPr>
              <w:jc w:val="center"/>
              <w:rPr>
                <w:rFonts w:eastAsia="Times New Roman" w:cs="Times New Roman"/>
                <w:color w:val="000000"/>
              </w:rPr>
            </w:pPr>
            <w:r w:rsidRPr="00834149">
              <w:rPr>
                <w:rFonts w:eastAsia="Times New Roman" w:cs="Times New Roman"/>
                <w:color w:val="000000"/>
              </w:rPr>
              <w:t xml:space="preserve">Growth and Fiscal </w:t>
            </w:r>
            <w:r w:rsidR="00751B4A" w:rsidRPr="00834149">
              <w:rPr>
                <w:rFonts w:eastAsia="Times New Roman" w:cs="Times New Roman"/>
                <w:color w:val="000000"/>
              </w:rPr>
              <w:t xml:space="preserve">Reform DPO </w:t>
            </w:r>
            <w:r w:rsidR="003D413C" w:rsidRPr="00834149">
              <w:rPr>
                <w:rFonts w:eastAsia="Times New Roman" w:cs="Times New Roman"/>
                <w:color w:val="000000"/>
              </w:rPr>
              <w:t>2</w:t>
            </w:r>
            <w:r w:rsidR="00751B4A" w:rsidRPr="00834149">
              <w:rPr>
                <w:rFonts w:eastAsia="Times New Roman" w:cs="Times New Roman"/>
                <w:color w:val="000000"/>
              </w:rPr>
              <w:t>*</w:t>
            </w:r>
          </w:p>
        </w:tc>
      </w:tr>
      <w:tr w:rsidR="00751B4A" w:rsidRPr="00D12703" w14:paraId="5234278E" w14:textId="77777777" w:rsidTr="00834149">
        <w:trPr>
          <w:trHeight w:val="905"/>
        </w:trPr>
        <w:tc>
          <w:tcPr>
            <w:tcW w:w="535" w:type="dxa"/>
            <w:vMerge/>
            <w:tcBorders>
              <w:top w:val="nil"/>
              <w:left w:val="single" w:sz="4" w:space="0" w:color="auto"/>
              <w:bottom w:val="single" w:sz="4" w:space="0" w:color="auto"/>
              <w:right w:val="single" w:sz="4" w:space="0" w:color="auto"/>
            </w:tcBorders>
            <w:shd w:val="clear" w:color="auto" w:fill="F8F8F0" w:themeFill="background2" w:themeFillTint="33"/>
            <w:vAlign w:val="center"/>
            <w:hideMark/>
          </w:tcPr>
          <w:p w14:paraId="227A6AB2" w14:textId="77777777" w:rsidR="00751B4A" w:rsidRPr="00834149" w:rsidRDefault="00751B4A" w:rsidP="00A50430">
            <w:pPr>
              <w:rPr>
                <w:rFonts w:eastAsia="Times New Roman" w:cs="Times New Roman"/>
                <w:color w:val="000000"/>
              </w:rPr>
            </w:pPr>
          </w:p>
        </w:tc>
        <w:tc>
          <w:tcPr>
            <w:tcW w:w="3150" w:type="dxa"/>
            <w:tcBorders>
              <w:top w:val="nil"/>
              <w:left w:val="nil"/>
              <w:bottom w:val="single" w:sz="4" w:space="0" w:color="auto"/>
              <w:right w:val="single" w:sz="4" w:space="0" w:color="auto"/>
            </w:tcBorders>
            <w:shd w:val="clear" w:color="auto" w:fill="auto"/>
            <w:vAlign w:val="center"/>
            <w:hideMark/>
          </w:tcPr>
          <w:p w14:paraId="4D5BEE6D" w14:textId="21D8E8F9" w:rsidR="00751B4A" w:rsidRPr="00834149" w:rsidRDefault="00751B4A" w:rsidP="00A50430">
            <w:pPr>
              <w:rPr>
                <w:rFonts w:eastAsia="Times New Roman" w:cs="Times New Roman"/>
                <w:color w:val="000000"/>
              </w:rPr>
            </w:pPr>
            <w:r w:rsidRPr="00834149">
              <w:rPr>
                <w:rFonts w:eastAsia="Times New Roman" w:cs="Times New Roman"/>
                <w:color w:val="000000"/>
              </w:rPr>
              <w:t>Competitiveness and Skills</w:t>
            </w:r>
          </w:p>
        </w:tc>
        <w:tc>
          <w:tcPr>
            <w:tcW w:w="2430" w:type="dxa"/>
            <w:tcBorders>
              <w:top w:val="nil"/>
              <w:left w:val="nil"/>
              <w:bottom w:val="single" w:sz="4" w:space="0" w:color="auto"/>
              <w:right w:val="single" w:sz="4" w:space="0" w:color="auto"/>
            </w:tcBorders>
            <w:shd w:val="clear" w:color="auto" w:fill="auto"/>
            <w:vAlign w:val="center"/>
            <w:hideMark/>
          </w:tcPr>
          <w:p w14:paraId="5AD6BB8A" w14:textId="196E67CF" w:rsidR="00751B4A" w:rsidRPr="00834149" w:rsidRDefault="00751B4A" w:rsidP="00A50430">
            <w:pPr>
              <w:rPr>
                <w:rFonts w:eastAsia="Times New Roman" w:cs="Times New Roman"/>
                <w:color w:val="000000"/>
              </w:rPr>
            </w:pPr>
            <w:r w:rsidRPr="00834149">
              <w:rPr>
                <w:rFonts w:eastAsia="Times New Roman" w:cs="Times New Roman"/>
                <w:color w:val="000000"/>
              </w:rPr>
              <w:t>Health Services Support Project</w:t>
            </w:r>
          </w:p>
        </w:tc>
        <w:tc>
          <w:tcPr>
            <w:tcW w:w="3240" w:type="dxa"/>
            <w:tcBorders>
              <w:top w:val="nil"/>
              <w:left w:val="nil"/>
              <w:bottom w:val="single" w:sz="4" w:space="0" w:color="auto"/>
              <w:right w:val="single" w:sz="4" w:space="0" w:color="auto"/>
            </w:tcBorders>
            <w:shd w:val="clear" w:color="auto" w:fill="auto"/>
            <w:vAlign w:val="center"/>
            <w:hideMark/>
          </w:tcPr>
          <w:p w14:paraId="7AE58534" w14:textId="3B913163" w:rsidR="00751B4A" w:rsidRPr="00834149" w:rsidRDefault="00751B4A" w:rsidP="00A50430">
            <w:pPr>
              <w:rPr>
                <w:rFonts w:eastAsia="Times New Roman" w:cs="Times New Roman"/>
                <w:color w:val="000000"/>
              </w:rPr>
            </w:pPr>
            <w:r w:rsidRPr="00834149">
              <w:rPr>
                <w:rFonts w:eastAsia="Times New Roman" w:cs="Times New Roman"/>
                <w:color w:val="000000"/>
              </w:rPr>
              <w:t>Integrated Disaster and Land Management (AF)</w:t>
            </w:r>
          </w:p>
        </w:tc>
      </w:tr>
      <w:tr w:rsidR="00751B4A" w:rsidRPr="00D12703" w14:paraId="31A993E9" w14:textId="77777777" w:rsidTr="00834149">
        <w:trPr>
          <w:trHeight w:val="603"/>
        </w:trPr>
        <w:tc>
          <w:tcPr>
            <w:tcW w:w="535" w:type="dxa"/>
            <w:tcBorders>
              <w:top w:val="nil"/>
              <w:left w:val="single" w:sz="4" w:space="0" w:color="auto"/>
              <w:bottom w:val="single" w:sz="4" w:space="0" w:color="auto"/>
              <w:right w:val="single" w:sz="4" w:space="0" w:color="auto"/>
            </w:tcBorders>
            <w:shd w:val="clear" w:color="auto" w:fill="F8F8F0" w:themeFill="background2" w:themeFillTint="33"/>
            <w:noWrap/>
            <w:vAlign w:val="center"/>
            <w:hideMark/>
          </w:tcPr>
          <w:p w14:paraId="35DE629B" w14:textId="77777777" w:rsidR="00751B4A" w:rsidRPr="00834149" w:rsidRDefault="00751B4A" w:rsidP="00A50430">
            <w:pPr>
              <w:jc w:val="center"/>
              <w:rPr>
                <w:rFonts w:eastAsia="Times New Roman" w:cs="Times New Roman"/>
                <w:color w:val="000000"/>
              </w:rPr>
            </w:pPr>
            <w:r w:rsidRPr="00834149">
              <w:rPr>
                <w:rFonts w:eastAsia="Times New Roman" w:cs="Times New Roman"/>
                <w:color w:val="000000"/>
              </w:rPr>
              <w:t>2020</w:t>
            </w:r>
          </w:p>
        </w:tc>
        <w:tc>
          <w:tcPr>
            <w:tcW w:w="3150" w:type="dxa"/>
            <w:tcBorders>
              <w:top w:val="nil"/>
              <w:left w:val="nil"/>
              <w:bottom w:val="single" w:sz="4" w:space="0" w:color="auto"/>
              <w:right w:val="single" w:sz="4" w:space="0" w:color="auto"/>
            </w:tcBorders>
            <w:shd w:val="clear" w:color="auto" w:fill="auto"/>
            <w:noWrap/>
            <w:vAlign w:val="center"/>
            <w:hideMark/>
          </w:tcPr>
          <w:p w14:paraId="2F799CFE" w14:textId="4C207DDA" w:rsidR="00751B4A" w:rsidRPr="00834149" w:rsidRDefault="00751B4A" w:rsidP="00A50430">
            <w:pPr>
              <w:rPr>
                <w:rFonts w:eastAsia="Times New Roman" w:cs="Times New Roman"/>
                <w:color w:val="000000"/>
              </w:rPr>
            </w:pPr>
            <w:r w:rsidRPr="00834149">
              <w:rPr>
                <w:rFonts w:eastAsia="Times New Roman" w:cs="Times New Roman"/>
                <w:color w:val="000000"/>
              </w:rPr>
              <w:t xml:space="preserve">Energy Sector AF </w:t>
            </w:r>
          </w:p>
        </w:tc>
        <w:tc>
          <w:tcPr>
            <w:tcW w:w="2430" w:type="dxa"/>
            <w:tcBorders>
              <w:top w:val="nil"/>
              <w:left w:val="nil"/>
              <w:bottom w:val="single" w:sz="4" w:space="0" w:color="auto"/>
              <w:right w:val="single" w:sz="4" w:space="0" w:color="auto"/>
            </w:tcBorders>
            <w:shd w:val="clear" w:color="auto" w:fill="auto"/>
            <w:vAlign w:val="center"/>
            <w:hideMark/>
          </w:tcPr>
          <w:p w14:paraId="67887717" w14:textId="43066B16" w:rsidR="00751B4A" w:rsidRPr="00834149" w:rsidRDefault="002E1CE8" w:rsidP="006850A5">
            <w:pPr>
              <w:rPr>
                <w:rFonts w:eastAsia="Times New Roman" w:cs="Times New Roman"/>
                <w:color w:val="000000"/>
              </w:rPr>
            </w:pPr>
            <w:r w:rsidRPr="00834149">
              <w:rPr>
                <w:rFonts w:eastAsia="Times New Roman" w:cs="Times New Roman"/>
                <w:color w:val="000000"/>
              </w:rPr>
              <w:t xml:space="preserve">Quality </w:t>
            </w:r>
            <w:r w:rsidR="00751B4A" w:rsidRPr="00834149">
              <w:rPr>
                <w:rFonts w:eastAsia="Times New Roman" w:cs="Times New Roman"/>
                <w:color w:val="000000"/>
              </w:rPr>
              <w:t>Public Service</w:t>
            </w:r>
            <w:r w:rsidR="006850A5">
              <w:rPr>
                <w:rFonts w:eastAsia="Times New Roman" w:cs="Times New Roman"/>
                <w:color w:val="000000"/>
              </w:rPr>
              <w:t>s</w:t>
            </w:r>
          </w:p>
        </w:tc>
        <w:tc>
          <w:tcPr>
            <w:tcW w:w="3240" w:type="dxa"/>
            <w:tcBorders>
              <w:top w:val="nil"/>
              <w:left w:val="nil"/>
              <w:bottom w:val="single" w:sz="4" w:space="0" w:color="auto"/>
              <w:right w:val="single" w:sz="4" w:space="0" w:color="auto"/>
            </w:tcBorders>
            <w:shd w:val="clear" w:color="auto" w:fill="auto"/>
            <w:vAlign w:val="center"/>
            <w:hideMark/>
          </w:tcPr>
          <w:p w14:paraId="794D9DBF" w14:textId="57AFFB96" w:rsidR="00751B4A" w:rsidRPr="00834149" w:rsidRDefault="00751B4A" w:rsidP="00A50430">
            <w:pPr>
              <w:rPr>
                <w:rFonts w:eastAsia="Times New Roman" w:cs="Times New Roman"/>
                <w:color w:val="000000"/>
              </w:rPr>
            </w:pPr>
          </w:p>
        </w:tc>
      </w:tr>
    </w:tbl>
    <w:p w14:paraId="29F7B527" w14:textId="17AE5CF7" w:rsidR="00751B4A" w:rsidRPr="00834149" w:rsidRDefault="003D413C" w:rsidP="00A50430">
      <w:r w:rsidRPr="00834149">
        <w:rPr>
          <w:rFonts w:eastAsia="Times New Roman" w:cs="Times New Roman"/>
          <w:i/>
          <w:iCs/>
          <w:color w:val="000000"/>
        </w:rPr>
        <w:t>Note: IDA18 operations are provisional and subject to availability of IDA resources</w:t>
      </w:r>
    </w:p>
    <w:p w14:paraId="63DDE78E" w14:textId="5DD83B8D" w:rsidR="003D413C" w:rsidRPr="00834149" w:rsidRDefault="00F76A58" w:rsidP="00A50430">
      <w:pPr>
        <w:pStyle w:val="Default"/>
        <w:jc w:val="both"/>
        <w:rPr>
          <w:rFonts w:asciiTheme="minorHAnsi" w:hAnsiTheme="minorHAnsi"/>
          <w:i/>
          <w:iCs/>
          <w:color w:val="auto"/>
          <w:sz w:val="22"/>
          <w:szCs w:val="22"/>
        </w:rPr>
      </w:pPr>
      <w:r w:rsidRPr="00834149">
        <w:rPr>
          <w:rFonts w:asciiTheme="minorHAnsi" w:hAnsiTheme="minorHAnsi"/>
          <w:i/>
          <w:iCs/>
          <w:color w:val="auto"/>
          <w:sz w:val="22"/>
          <w:szCs w:val="22"/>
        </w:rPr>
        <w:t>*</w:t>
      </w:r>
      <w:r w:rsidR="00AB08BD" w:rsidRPr="00834149">
        <w:rPr>
          <w:rFonts w:asciiTheme="minorHAnsi" w:hAnsiTheme="minorHAnsi"/>
          <w:i/>
          <w:iCs/>
          <w:color w:val="auto"/>
          <w:sz w:val="22"/>
          <w:szCs w:val="22"/>
        </w:rPr>
        <w:t xml:space="preserve">Included in </w:t>
      </w:r>
      <w:r w:rsidR="003D413C" w:rsidRPr="00834149">
        <w:rPr>
          <w:rFonts w:asciiTheme="minorHAnsi" w:hAnsiTheme="minorHAnsi"/>
          <w:i/>
          <w:iCs/>
          <w:color w:val="auto"/>
          <w:sz w:val="22"/>
          <w:szCs w:val="22"/>
        </w:rPr>
        <w:t>Engagement Scenario 1</w:t>
      </w:r>
    </w:p>
    <w:p w14:paraId="6D8D2128" w14:textId="77777777" w:rsidR="0088720D" w:rsidRPr="00834149" w:rsidRDefault="0088720D" w:rsidP="00A50430">
      <w:pPr>
        <w:rPr>
          <w:rFonts w:cs="Times New Roman"/>
          <w:caps/>
        </w:rPr>
      </w:pPr>
    </w:p>
    <w:p w14:paraId="407F7D84" w14:textId="4CEB5028" w:rsidR="0088720D" w:rsidRPr="00834149" w:rsidRDefault="0088720D" w:rsidP="00A50430">
      <w:pPr>
        <w:pStyle w:val="ListParagraph"/>
        <w:numPr>
          <w:ilvl w:val="0"/>
          <w:numId w:val="2"/>
        </w:numPr>
        <w:ind w:left="0" w:firstLine="0"/>
        <w:contextualSpacing w:val="0"/>
        <w:jc w:val="both"/>
        <w:rPr>
          <w:rFonts w:eastAsia="Times New Roman" w:cs="Times New Roman"/>
        </w:rPr>
      </w:pPr>
      <w:r w:rsidRPr="00834149">
        <w:rPr>
          <w:rFonts w:eastAsia="Times New Roman" w:cs="Times New Roman"/>
          <w:b/>
        </w:rPr>
        <w:t>The CPF includes advisory services and analytics</w:t>
      </w:r>
      <w:r w:rsidR="00D76B19" w:rsidRPr="00834149">
        <w:rPr>
          <w:rFonts w:eastAsia="Times New Roman" w:cs="Times New Roman"/>
          <w:b/>
        </w:rPr>
        <w:t xml:space="preserve"> (ASAs)</w:t>
      </w:r>
      <w:r w:rsidRPr="00834149">
        <w:rPr>
          <w:rFonts w:eastAsia="Times New Roman" w:cs="Times New Roman"/>
          <w:b/>
        </w:rPr>
        <w:t xml:space="preserve"> to underpin proposed </w:t>
      </w:r>
      <w:r w:rsidR="00D76B19" w:rsidRPr="00834149">
        <w:rPr>
          <w:rFonts w:eastAsia="Times New Roman" w:cs="Times New Roman"/>
          <w:b/>
        </w:rPr>
        <w:t>WBG</w:t>
      </w:r>
      <w:r w:rsidRPr="00834149">
        <w:rPr>
          <w:rFonts w:eastAsia="Times New Roman" w:cs="Times New Roman"/>
          <w:b/>
        </w:rPr>
        <w:t xml:space="preserve"> operations </w:t>
      </w:r>
      <w:r w:rsidR="00D76B19" w:rsidRPr="00834149">
        <w:rPr>
          <w:rFonts w:eastAsia="Times New Roman" w:cs="Times New Roman"/>
          <w:b/>
        </w:rPr>
        <w:t>and dialogue</w:t>
      </w:r>
      <w:r w:rsidR="001F69D6" w:rsidRPr="00834149">
        <w:rPr>
          <w:rFonts w:eastAsia="Times New Roman" w:cs="Times New Roman"/>
        </w:rPr>
        <w:t xml:space="preserve">. ASAs are sequenced to precede key new investment operations as well as to provide the basis for the </w:t>
      </w:r>
      <w:r w:rsidR="006A6B5F" w:rsidRPr="00834149">
        <w:rPr>
          <w:rFonts w:eastAsia="Times New Roman" w:cs="Times New Roman"/>
        </w:rPr>
        <w:t xml:space="preserve">World </w:t>
      </w:r>
      <w:r w:rsidR="001F69D6" w:rsidRPr="00834149">
        <w:rPr>
          <w:rFonts w:eastAsia="Times New Roman" w:cs="Times New Roman"/>
        </w:rPr>
        <w:t xml:space="preserve">Bank’s dialogue on </w:t>
      </w:r>
      <w:r w:rsidR="00D76B19" w:rsidRPr="00834149">
        <w:rPr>
          <w:rFonts w:eastAsia="Times New Roman" w:cs="Times New Roman"/>
        </w:rPr>
        <w:t xml:space="preserve">key </w:t>
      </w:r>
      <w:r w:rsidR="001F69D6" w:rsidRPr="00834149">
        <w:rPr>
          <w:rFonts w:eastAsia="Times New Roman" w:cs="Times New Roman"/>
        </w:rPr>
        <w:t>sector issues (Table 4).</w:t>
      </w:r>
      <w:r w:rsidR="00796FE3" w:rsidRPr="00834149">
        <w:rPr>
          <w:rFonts w:eastAsia="Times New Roman" w:cs="Times New Roman"/>
        </w:rPr>
        <w:t xml:space="preserve"> On-going analytical work also includes IFC and IDA </w:t>
      </w:r>
      <w:r w:rsidR="00796FE3" w:rsidRPr="00834149">
        <w:rPr>
          <w:rFonts w:eastAsia="Times New Roman" w:cs="Times New Roman"/>
          <w:i/>
        </w:rPr>
        <w:t>Doing Business</w:t>
      </w:r>
      <w:r w:rsidR="00796FE3" w:rsidRPr="00834149">
        <w:rPr>
          <w:rFonts w:eastAsia="Times New Roman" w:cs="Times New Roman"/>
        </w:rPr>
        <w:t xml:space="preserve"> support, IFC trade facilitation and IDA macro-monitoring.</w:t>
      </w:r>
    </w:p>
    <w:p w14:paraId="0032CEA8" w14:textId="77777777" w:rsidR="003B42D3" w:rsidRPr="00834149" w:rsidRDefault="003B42D3" w:rsidP="00A50430">
      <w:pPr>
        <w:pStyle w:val="Caption"/>
        <w:rPr>
          <w:rFonts w:cs="Times New Roman"/>
          <w:caps w:val="0"/>
          <w:sz w:val="22"/>
          <w:szCs w:val="22"/>
        </w:rPr>
      </w:pPr>
    </w:p>
    <w:p w14:paraId="552E7A59" w14:textId="6846FE76" w:rsidR="00347DE0" w:rsidRPr="00834149" w:rsidRDefault="00E602BE" w:rsidP="00A50430">
      <w:pPr>
        <w:pStyle w:val="Caption"/>
        <w:rPr>
          <w:rFonts w:cs="Times New Roman"/>
          <w:caps w:val="0"/>
          <w:sz w:val="22"/>
          <w:szCs w:val="22"/>
        </w:rPr>
      </w:pPr>
      <w:bookmarkStart w:id="33" w:name="_Toc480207648"/>
      <w:r w:rsidRPr="00834149">
        <w:rPr>
          <w:rFonts w:cs="Times New Roman"/>
          <w:caps w:val="0"/>
          <w:sz w:val="22"/>
          <w:szCs w:val="22"/>
        </w:rPr>
        <w:t xml:space="preserve">Table </w:t>
      </w:r>
      <w:r w:rsidRPr="00834149">
        <w:rPr>
          <w:rFonts w:cs="Times New Roman"/>
          <w:caps w:val="0"/>
          <w:sz w:val="22"/>
          <w:szCs w:val="22"/>
        </w:rPr>
        <w:fldChar w:fldCharType="begin"/>
      </w:r>
      <w:r w:rsidRPr="00834149">
        <w:rPr>
          <w:rFonts w:cs="Times New Roman"/>
          <w:caps w:val="0"/>
          <w:sz w:val="22"/>
          <w:szCs w:val="22"/>
        </w:rPr>
        <w:instrText xml:space="preserve"> SEQ Table \* ARABIC </w:instrText>
      </w:r>
      <w:r w:rsidRPr="00834149">
        <w:rPr>
          <w:rFonts w:cs="Times New Roman"/>
          <w:caps w:val="0"/>
          <w:sz w:val="22"/>
          <w:szCs w:val="22"/>
        </w:rPr>
        <w:fldChar w:fldCharType="separate"/>
      </w:r>
      <w:r w:rsidR="000D6ABB">
        <w:rPr>
          <w:rFonts w:cs="Times New Roman"/>
          <w:caps w:val="0"/>
          <w:noProof/>
          <w:sz w:val="22"/>
          <w:szCs w:val="22"/>
        </w:rPr>
        <w:t>4</w:t>
      </w:r>
      <w:r w:rsidRPr="00834149">
        <w:rPr>
          <w:rFonts w:cs="Times New Roman"/>
          <w:caps w:val="0"/>
          <w:sz w:val="22"/>
          <w:szCs w:val="22"/>
        </w:rPr>
        <w:fldChar w:fldCharType="end"/>
      </w:r>
      <w:r w:rsidR="00347DE0" w:rsidRPr="00834149">
        <w:rPr>
          <w:rFonts w:cs="Times New Roman"/>
          <w:caps w:val="0"/>
          <w:sz w:val="22"/>
          <w:szCs w:val="22"/>
        </w:rPr>
        <w:t xml:space="preserve">: Proposed </w:t>
      </w:r>
      <w:r w:rsidR="00E642EA" w:rsidRPr="00834149">
        <w:rPr>
          <w:rFonts w:cs="Times New Roman"/>
          <w:caps w:val="0"/>
          <w:sz w:val="22"/>
          <w:szCs w:val="22"/>
        </w:rPr>
        <w:t xml:space="preserve">Advisory </w:t>
      </w:r>
      <w:r w:rsidR="00347DE0" w:rsidRPr="00834149">
        <w:rPr>
          <w:rFonts w:cs="Times New Roman"/>
          <w:caps w:val="0"/>
          <w:sz w:val="22"/>
          <w:szCs w:val="22"/>
        </w:rPr>
        <w:t xml:space="preserve">Services and </w:t>
      </w:r>
      <w:r w:rsidR="00E642EA" w:rsidRPr="00834149">
        <w:rPr>
          <w:rFonts w:cs="Times New Roman"/>
          <w:caps w:val="0"/>
          <w:sz w:val="22"/>
          <w:szCs w:val="22"/>
        </w:rPr>
        <w:t>Analytics</w:t>
      </w:r>
      <w:bookmarkEnd w:id="33"/>
    </w:p>
    <w:tbl>
      <w:tblPr>
        <w:tblW w:w="9445" w:type="dxa"/>
        <w:tblLook w:val="04A0" w:firstRow="1" w:lastRow="0" w:firstColumn="1" w:lastColumn="0" w:noHBand="0" w:noVBand="1"/>
      </w:tblPr>
      <w:tblGrid>
        <w:gridCol w:w="715"/>
        <w:gridCol w:w="2970"/>
        <w:gridCol w:w="2880"/>
        <w:gridCol w:w="2880"/>
      </w:tblGrid>
      <w:tr w:rsidR="001751FF" w:rsidRPr="00D12703" w14:paraId="56C016DB" w14:textId="77777777" w:rsidTr="00834149">
        <w:trPr>
          <w:trHeight w:val="1200"/>
        </w:trPr>
        <w:tc>
          <w:tcPr>
            <w:tcW w:w="715" w:type="dxa"/>
            <w:tcBorders>
              <w:top w:val="single" w:sz="4" w:space="0" w:color="auto"/>
              <w:left w:val="single" w:sz="4" w:space="0" w:color="auto"/>
              <w:bottom w:val="single" w:sz="4" w:space="0" w:color="auto"/>
              <w:right w:val="single" w:sz="4" w:space="0" w:color="auto"/>
            </w:tcBorders>
            <w:shd w:val="clear" w:color="auto" w:fill="EBF2F1" w:themeFill="accent2" w:themeFillTint="33"/>
            <w:vAlign w:val="center"/>
            <w:hideMark/>
          </w:tcPr>
          <w:p w14:paraId="6275363E" w14:textId="77777777" w:rsidR="008245E8" w:rsidRPr="00834149" w:rsidRDefault="008245E8" w:rsidP="00A50430">
            <w:pPr>
              <w:jc w:val="center"/>
              <w:rPr>
                <w:rFonts w:eastAsia="Times New Roman" w:cs="Times New Roman"/>
                <w:b/>
                <w:color w:val="000000"/>
              </w:rPr>
            </w:pPr>
            <w:r w:rsidRPr="00834149">
              <w:rPr>
                <w:rFonts w:eastAsia="Times New Roman" w:cs="Times New Roman"/>
                <w:b/>
                <w:color w:val="000000"/>
              </w:rPr>
              <w:t>Fiscal Year</w:t>
            </w:r>
          </w:p>
        </w:tc>
        <w:tc>
          <w:tcPr>
            <w:tcW w:w="2970" w:type="dxa"/>
            <w:tcBorders>
              <w:top w:val="single" w:sz="4" w:space="0" w:color="auto"/>
              <w:left w:val="nil"/>
              <w:bottom w:val="single" w:sz="4" w:space="0" w:color="auto"/>
              <w:right w:val="single" w:sz="4" w:space="0" w:color="auto"/>
            </w:tcBorders>
            <w:shd w:val="clear" w:color="auto" w:fill="EBF2F1" w:themeFill="accent2" w:themeFillTint="33"/>
            <w:vAlign w:val="center"/>
            <w:hideMark/>
          </w:tcPr>
          <w:p w14:paraId="45AECBF4" w14:textId="77777777" w:rsidR="008245E8" w:rsidRPr="00834149" w:rsidRDefault="008245E8" w:rsidP="00A50430">
            <w:pPr>
              <w:jc w:val="center"/>
              <w:rPr>
                <w:rFonts w:eastAsia="Times New Roman" w:cs="Times New Roman"/>
                <w:b/>
                <w:color w:val="000000"/>
              </w:rPr>
            </w:pPr>
            <w:r w:rsidRPr="00834149">
              <w:rPr>
                <w:rFonts w:eastAsia="Times New Roman" w:cs="Times New Roman"/>
                <w:b/>
                <w:color w:val="000000"/>
              </w:rPr>
              <w:t>Focus Area 1:</w:t>
            </w:r>
          </w:p>
          <w:p w14:paraId="5DD32AE7" w14:textId="77777777" w:rsidR="008245E8" w:rsidRPr="00834149" w:rsidRDefault="008245E8" w:rsidP="00A50430">
            <w:pPr>
              <w:jc w:val="center"/>
              <w:rPr>
                <w:rFonts w:eastAsia="Times New Roman" w:cs="Times New Roman"/>
                <w:b/>
                <w:color w:val="000000"/>
              </w:rPr>
            </w:pPr>
            <w:r w:rsidRPr="00834149">
              <w:rPr>
                <w:rFonts w:eastAsia="Times New Roman" w:cs="Times New Roman"/>
                <w:b/>
                <w:color w:val="000000"/>
              </w:rPr>
              <w:t>Private Sector Performance and Job Creation</w:t>
            </w:r>
          </w:p>
        </w:tc>
        <w:tc>
          <w:tcPr>
            <w:tcW w:w="2880" w:type="dxa"/>
            <w:tcBorders>
              <w:top w:val="single" w:sz="4" w:space="0" w:color="auto"/>
              <w:left w:val="nil"/>
              <w:bottom w:val="single" w:sz="4" w:space="0" w:color="auto"/>
              <w:right w:val="single" w:sz="4" w:space="0" w:color="auto"/>
            </w:tcBorders>
            <w:shd w:val="clear" w:color="auto" w:fill="EBF2F1" w:themeFill="accent2" w:themeFillTint="33"/>
            <w:vAlign w:val="center"/>
            <w:hideMark/>
          </w:tcPr>
          <w:p w14:paraId="4947CCA5" w14:textId="77777777" w:rsidR="008245E8" w:rsidRPr="00834149" w:rsidRDefault="008245E8" w:rsidP="00A50430">
            <w:pPr>
              <w:jc w:val="center"/>
              <w:rPr>
                <w:rFonts w:eastAsia="Times New Roman" w:cs="Times New Roman"/>
                <w:b/>
                <w:color w:val="000000"/>
              </w:rPr>
            </w:pPr>
            <w:r w:rsidRPr="00834149">
              <w:rPr>
                <w:rFonts w:eastAsia="Times New Roman" w:cs="Times New Roman"/>
                <w:b/>
                <w:color w:val="000000"/>
              </w:rPr>
              <w:t xml:space="preserve">Focus Area 2: </w:t>
            </w:r>
          </w:p>
          <w:p w14:paraId="0921C2E7" w14:textId="6282B4E0" w:rsidR="008245E8" w:rsidRPr="00834149" w:rsidRDefault="008245E8" w:rsidP="00A50430">
            <w:pPr>
              <w:jc w:val="center"/>
              <w:rPr>
                <w:rFonts w:eastAsia="Times New Roman" w:cs="Times New Roman"/>
                <w:b/>
                <w:color w:val="000000"/>
              </w:rPr>
            </w:pPr>
            <w:r w:rsidRPr="00834149">
              <w:rPr>
                <w:rFonts w:eastAsia="Times New Roman" w:cs="Times New Roman"/>
                <w:b/>
                <w:color w:val="000000"/>
              </w:rPr>
              <w:t>Inclusive Public Service Delivery</w:t>
            </w:r>
          </w:p>
        </w:tc>
        <w:tc>
          <w:tcPr>
            <w:tcW w:w="2880" w:type="dxa"/>
            <w:tcBorders>
              <w:top w:val="single" w:sz="4" w:space="0" w:color="auto"/>
              <w:left w:val="nil"/>
              <w:bottom w:val="single" w:sz="4" w:space="0" w:color="auto"/>
              <w:right w:val="single" w:sz="4" w:space="0" w:color="auto"/>
            </w:tcBorders>
            <w:shd w:val="clear" w:color="auto" w:fill="EBF2F1" w:themeFill="accent2" w:themeFillTint="33"/>
            <w:vAlign w:val="center"/>
            <w:hideMark/>
          </w:tcPr>
          <w:p w14:paraId="58991797" w14:textId="77777777" w:rsidR="00D12703" w:rsidRDefault="008245E8" w:rsidP="00A50430">
            <w:pPr>
              <w:jc w:val="center"/>
              <w:rPr>
                <w:rFonts w:eastAsia="Times New Roman" w:cs="Times New Roman"/>
                <w:b/>
                <w:color w:val="000000"/>
              </w:rPr>
            </w:pPr>
            <w:r w:rsidRPr="00834149">
              <w:rPr>
                <w:rFonts w:eastAsia="Times New Roman" w:cs="Times New Roman"/>
                <w:b/>
                <w:color w:val="000000"/>
              </w:rPr>
              <w:t xml:space="preserve">Focus Area 3: </w:t>
            </w:r>
          </w:p>
          <w:p w14:paraId="6F3EC95E" w14:textId="7B1B1247" w:rsidR="008245E8" w:rsidRPr="00834149" w:rsidRDefault="008245E8" w:rsidP="00A50430">
            <w:pPr>
              <w:jc w:val="center"/>
              <w:rPr>
                <w:rFonts w:eastAsia="Times New Roman" w:cs="Times New Roman"/>
                <w:b/>
                <w:color w:val="000000"/>
              </w:rPr>
            </w:pPr>
            <w:r w:rsidRPr="00834149">
              <w:rPr>
                <w:rFonts w:eastAsia="Times New Roman" w:cs="Times New Roman"/>
                <w:b/>
                <w:color w:val="000000"/>
              </w:rPr>
              <w:t>Environmental Sustainability and Resilience</w:t>
            </w:r>
          </w:p>
        </w:tc>
      </w:tr>
      <w:tr w:rsidR="008245E8" w:rsidRPr="00D12703" w14:paraId="42638D4F" w14:textId="77777777" w:rsidTr="00834149">
        <w:trPr>
          <w:trHeight w:val="602"/>
        </w:trPr>
        <w:tc>
          <w:tcPr>
            <w:tcW w:w="715" w:type="dxa"/>
            <w:tcBorders>
              <w:left w:val="single" w:sz="4" w:space="0" w:color="auto"/>
              <w:bottom w:val="single" w:sz="4" w:space="0" w:color="auto"/>
              <w:right w:val="single" w:sz="4" w:space="0" w:color="auto"/>
            </w:tcBorders>
            <w:shd w:val="clear" w:color="auto" w:fill="F8F8F0" w:themeFill="background2" w:themeFillTint="33"/>
            <w:vAlign w:val="center"/>
          </w:tcPr>
          <w:p w14:paraId="0EB8BF90" w14:textId="03FB2CD3" w:rsidR="008245E8" w:rsidRPr="00834149" w:rsidRDefault="0056638D" w:rsidP="00A50430">
            <w:pPr>
              <w:jc w:val="center"/>
              <w:rPr>
                <w:rFonts w:eastAsia="Times New Roman" w:cs="Times New Roman"/>
                <w:color w:val="000000"/>
              </w:rPr>
            </w:pPr>
            <w:r w:rsidRPr="00834149">
              <w:rPr>
                <w:rFonts w:eastAsia="Times New Roman" w:cs="Times New Roman"/>
                <w:color w:val="000000"/>
              </w:rPr>
              <w:t>2017</w:t>
            </w:r>
          </w:p>
        </w:tc>
        <w:tc>
          <w:tcPr>
            <w:tcW w:w="2970" w:type="dxa"/>
            <w:tcBorders>
              <w:top w:val="single" w:sz="4" w:space="0" w:color="auto"/>
              <w:left w:val="nil"/>
              <w:bottom w:val="single" w:sz="4" w:space="0" w:color="auto"/>
              <w:right w:val="single" w:sz="4" w:space="0" w:color="auto"/>
            </w:tcBorders>
            <w:shd w:val="clear" w:color="auto" w:fill="auto"/>
            <w:vAlign w:val="center"/>
          </w:tcPr>
          <w:p w14:paraId="37EC6299" w14:textId="006D37F3" w:rsidR="002C03E3" w:rsidRPr="00834149" w:rsidRDefault="0060728B" w:rsidP="00A50430">
            <w:pPr>
              <w:rPr>
                <w:rFonts w:cs="Times New Roman"/>
              </w:rPr>
            </w:pPr>
            <w:r w:rsidRPr="00834149">
              <w:rPr>
                <w:rFonts w:cs="Times New Roman"/>
              </w:rPr>
              <w:t>-</w:t>
            </w:r>
            <w:r w:rsidR="00D12703">
              <w:rPr>
                <w:rFonts w:cs="Times New Roman"/>
              </w:rPr>
              <w:t xml:space="preserve"> </w:t>
            </w:r>
            <w:r w:rsidR="002C03E3" w:rsidRPr="00834149">
              <w:rPr>
                <w:rFonts w:cs="Times New Roman"/>
              </w:rPr>
              <w:t>Promoting PPPs</w:t>
            </w:r>
          </w:p>
          <w:p w14:paraId="02019292" w14:textId="4ABC171C" w:rsidR="008245E8" w:rsidRPr="00834149" w:rsidRDefault="002C03E3" w:rsidP="00A50430">
            <w:pPr>
              <w:rPr>
                <w:rFonts w:cs="Times New Roman"/>
              </w:rPr>
            </w:pPr>
            <w:r w:rsidRPr="00834149">
              <w:rPr>
                <w:rFonts w:cs="Times New Roman"/>
              </w:rPr>
              <w:t>-</w:t>
            </w:r>
            <w:r w:rsidR="00D12703">
              <w:rPr>
                <w:rFonts w:cs="Times New Roman"/>
              </w:rPr>
              <w:t xml:space="preserve"> </w:t>
            </w:r>
            <w:r w:rsidR="008245E8" w:rsidRPr="00834149">
              <w:rPr>
                <w:rFonts w:cs="Times New Roman"/>
              </w:rPr>
              <w:t>Tax framework study</w:t>
            </w:r>
          </w:p>
          <w:p w14:paraId="6099AF22" w14:textId="4EDAD875" w:rsidR="002C03E3" w:rsidRPr="00834149" w:rsidRDefault="002C03E3" w:rsidP="00A50430">
            <w:pPr>
              <w:rPr>
                <w:rFonts w:cs="Times New Roman"/>
              </w:rPr>
            </w:pPr>
            <w:r w:rsidRPr="00834149">
              <w:rPr>
                <w:rFonts w:cs="Times New Roman"/>
              </w:rPr>
              <w:t>-</w:t>
            </w:r>
            <w:r w:rsidR="00D12703">
              <w:rPr>
                <w:rFonts w:cs="Times New Roman"/>
              </w:rPr>
              <w:t xml:space="preserve"> </w:t>
            </w:r>
            <w:r w:rsidRPr="00834149">
              <w:rPr>
                <w:rFonts w:cs="Times New Roman"/>
              </w:rPr>
              <w:t>Medium-term debt management strategy</w:t>
            </w:r>
          </w:p>
        </w:tc>
        <w:tc>
          <w:tcPr>
            <w:tcW w:w="2880" w:type="dxa"/>
            <w:tcBorders>
              <w:top w:val="single" w:sz="4" w:space="0" w:color="auto"/>
              <w:left w:val="nil"/>
              <w:bottom w:val="single" w:sz="4" w:space="0" w:color="auto"/>
              <w:right w:val="single" w:sz="4" w:space="0" w:color="auto"/>
            </w:tcBorders>
            <w:shd w:val="clear" w:color="auto" w:fill="auto"/>
            <w:vAlign w:val="center"/>
          </w:tcPr>
          <w:p w14:paraId="02E0918F" w14:textId="67811202" w:rsidR="008245E8" w:rsidRPr="00834149" w:rsidRDefault="002C03E3" w:rsidP="00A50430">
            <w:pPr>
              <w:rPr>
                <w:rFonts w:eastAsia="Times New Roman" w:cs="Times New Roman"/>
                <w:color w:val="000000"/>
              </w:rPr>
            </w:pPr>
            <w:r w:rsidRPr="00834149">
              <w:rPr>
                <w:rFonts w:eastAsia="Times New Roman" w:cs="Times New Roman"/>
                <w:color w:val="000000"/>
              </w:rPr>
              <w:t xml:space="preserve">- </w:t>
            </w:r>
            <w:r w:rsidR="00A14FA0" w:rsidRPr="00834149">
              <w:rPr>
                <w:rFonts w:eastAsia="Times New Roman" w:cs="Times New Roman"/>
                <w:color w:val="000000"/>
              </w:rPr>
              <w:t>Post-B</w:t>
            </w:r>
            <w:r w:rsidRPr="00834149">
              <w:rPr>
                <w:rFonts w:eastAsia="Times New Roman" w:cs="Times New Roman"/>
                <w:color w:val="000000"/>
              </w:rPr>
              <w:t xml:space="preserve">asic and Vocational </w:t>
            </w:r>
            <w:r w:rsidR="00442880" w:rsidRPr="00834149">
              <w:rPr>
                <w:rFonts w:eastAsia="Times New Roman" w:cs="Times New Roman"/>
                <w:color w:val="000000"/>
              </w:rPr>
              <w:t>Education Asse</w:t>
            </w:r>
            <w:r w:rsidR="008D23BE" w:rsidRPr="00834149">
              <w:rPr>
                <w:rFonts w:eastAsia="Times New Roman" w:cs="Times New Roman"/>
                <w:color w:val="000000"/>
              </w:rPr>
              <w:t>s</w:t>
            </w:r>
            <w:r w:rsidR="00442880" w:rsidRPr="00834149">
              <w:rPr>
                <w:rFonts w:eastAsia="Times New Roman" w:cs="Times New Roman"/>
                <w:color w:val="000000"/>
              </w:rPr>
              <w:t>sment</w:t>
            </w:r>
          </w:p>
        </w:tc>
        <w:tc>
          <w:tcPr>
            <w:tcW w:w="2880" w:type="dxa"/>
            <w:tcBorders>
              <w:top w:val="single" w:sz="4" w:space="0" w:color="auto"/>
              <w:left w:val="nil"/>
              <w:bottom w:val="single" w:sz="4" w:space="0" w:color="auto"/>
              <w:right w:val="single" w:sz="4" w:space="0" w:color="auto"/>
            </w:tcBorders>
            <w:shd w:val="clear" w:color="auto" w:fill="auto"/>
            <w:vAlign w:val="center"/>
          </w:tcPr>
          <w:p w14:paraId="1741FFF1" w14:textId="4D429745" w:rsidR="00442880" w:rsidRPr="00834149" w:rsidRDefault="0060728B" w:rsidP="00A50430">
            <w:pPr>
              <w:rPr>
                <w:rFonts w:cs="Times New Roman"/>
              </w:rPr>
            </w:pPr>
            <w:r w:rsidRPr="00834149">
              <w:rPr>
                <w:rFonts w:cs="Times New Roman"/>
              </w:rPr>
              <w:t>-</w:t>
            </w:r>
            <w:r w:rsidR="00D12703">
              <w:rPr>
                <w:rFonts w:cs="Times New Roman"/>
              </w:rPr>
              <w:t xml:space="preserve"> </w:t>
            </w:r>
            <w:r w:rsidR="00442880" w:rsidRPr="00834149">
              <w:rPr>
                <w:rFonts w:cs="Times New Roman"/>
              </w:rPr>
              <w:t>West Africa Coastal Areas TA</w:t>
            </w:r>
          </w:p>
          <w:p w14:paraId="7C3CC521" w14:textId="57BEDB7B" w:rsidR="008245E8" w:rsidRPr="00834149" w:rsidRDefault="00A87C7D" w:rsidP="00A50430">
            <w:pPr>
              <w:rPr>
                <w:rFonts w:eastAsia="Times New Roman" w:cs="Times New Roman"/>
                <w:b/>
                <w:color w:val="000000"/>
              </w:rPr>
            </w:pPr>
            <w:r w:rsidRPr="00834149">
              <w:rPr>
                <w:rFonts w:eastAsia="Times New Roman" w:cs="Times New Roman"/>
                <w:b/>
                <w:color w:val="000000"/>
              </w:rPr>
              <w:t>-</w:t>
            </w:r>
            <w:r w:rsidR="00D12703">
              <w:rPr>
                <w:rFonts w:eastAsia="Times New Roman" w:cs="Times New Roman"/>
                <w:b/>
                <w:color w:val="000000"/>
              </w:rPr>
              <w:t xml:space="preserve"> </w:t>
            </w:r>
            <w:r w:rsidRPr="00834149">
              <w:rPr>
                <w:rFonts w:cs="Times New Roman"/>
              </w:rPr>
              <w:t>Blue Economy Strategic Framework</w:t>
            </w:r>
          </w:p>
        </w:tc>
      </w:tr>
      <w:tr w:rsidR="008245E8" w:rsidRPr="00D12703" w14:paraId="08DDB216" w14:textId="77777777" w:rsidTr="00834149">
        <w:trPr>
          <w:trHeight w:val="476"/>
        </w:trPr>
        <w:tc>
          <w:tcPr>
            <w:tcW w:w="715" w:type="dxa"/>
            <w:vMerge w:val="restart"/>
            <w:tcBorders>
              <w:top w:val="nil"/>
              <w:left w:val="single" w:sz="4" w:space="0" w:color="auto"/>
              <w:bottom w:val="single" w:sz="4" w:space="0" w:color="auto"/>
              <w:right w:val="single" w:sz="4" w:space="0" w:color="auto"/>
            </w:tcBorders>
            <w:shd w:val="clear" w:color="auto" w:fill="F8F8F0" w:themeFill="background2" w:themeFillTint="33"/>
            <w:noWrap/>
            <w:vAlign w:val="center"/>
            <w:hideMark/>
          </w:tcPr>
          <w:p w14:paraId="2239A534" w14:textId="5A047406" w:rsidR="008245E8" w:rsidRPr="00834149" w:rsidRDefault="008245E8" w:rsidP="00A50430">
            <w:pPr>
              <w:jc w:val="center"/>
              <w:rPr>
                <w:rFonts w:eastAsia="Times New Roman" w:cs="Times New Roman"/>
                <w:color w:val="000000"/>
              </w:rPr>
            </w:pPr>
            <w:r w:rsidRPr="00834149">
              <w:rPr>
                <w:rFonts w:eastAsia="Times New Roman" w:cs="Times New Roman"/>
                <w:color w:val="000000"/>
              </w:rPr>
              <w:t>2018</w:t>
            </w:r>
          </w:p>
        </w:tc>
        <w:tc>
          <w:tcPr>
            <w:tcW w:w="8730" w:type="dxa"/>
            <w:gridSpan w:val="3"/>
            <w:tcBorders>
              <w:top w:val="single" w:sz="4" w:space="0" w:color="auto"/>
              <w:left w:val="nil"/>
              <w:bottom w:val="single" w:sz="4" w:space="0" w:color="auto"/>
              <w:right w:val="single" w:sz="4" w:space="0" w:color="auto"/>
            </w:tcBorders>
            <w:shd w:val="clear" w:color="auto" w:fill="auto"/>
            <w:vAlign w:val="center"/>
            <w:hideMark/>
          </w:tcPr>
          <w:p w14:paraId="188386F9" w14:textId="7581628E" w:rsidR="008245E8" w:rsidRPr="00834149" w:rsidRDefault="008245E8" w:rsidP="00A50430">
            <w:pPr>
              <w:pStyle w:val="ListParagraph"/>
              <w:ind w:left="-83"/>
              <w:jc w:val="center"/>
              <w:rPr>
                <w:rFonts w:eastAsia="Times New Roman" w:cs="Times New Roman"/>
                <w:color w:val="000000"/>
              </w:rPr>
            </w:pPr>
            <w:r w:rsidRPr="00834149">
              <w:rPr>
                <w:rFonts w:cs="Times New Roman"/>
              </w:rPr>
              <w:t>P</w:t>
            </w:r>
            <w:r w:rsidR="008D23BE" w:rsidRPr="00834149">
              <w:rPr>
                <w:rFonts w:cs="Times New Roman"/>
              </w:rPr>
              <w:t>rogrammatic P</w:t>
            </w:r>
            <w:r w:rsidRPr="00834149">
              <w:rPr>
                <w:rFonts w:cs="Times New Roman"/>
              </w:rPr>
              <w:t>ublic Expenditure Review</w:t>
            </w:r>
          </w:p>
        </w:tc>
      </w:tr>
      <w:tr w:rsidR="001751FF" w:rsidRPr="00D12703" w14:paraId="0D6A1F55" w14:textId="77777777" w:rsidTr="00834149">
        <w:trPr>
          <w:trHeight w:val="900"/>
        </w:trPr>
        <w:tc>
          <w:tcPr>
            <w:tcW w:w="715" w:type="dxa"/>
            <w:vMerge/>
            <w:tcBorders>
              <w:top w:val="nil"/>
              <w:left w:val="single" w:sz="4" w:space="0" w:color="auto"/>
              <w:bottom w:val="single" w:sz="4" w:space="0" w:color="auto"/>
              <w:right w:val="single" w:sz="4" w:space="0" w:color="auto"/>
            </w:tcBorders>
            <w:shd w:val="clear" w:color="auto" w:fill="F8F8F0" w:themeFill="background2" w:themeFillTint="33"/>
            <w:vAlign w:val="center"/>
            <w:hideMark/>
          </w:tcPr>
          <w:p w14:paraId="3A8B6A8F" w14:textId="77777777" w:rsidR="008245E8" w:rsidRPr="00834149" w:rsidRDefault="008245E8" w:rsidP="00A50430">
            <w:pPr>
              <w:rPr>
                <w:rFonts w:eastAsia="Times New Roman" w:cs="Times New Roman"/>
                <w:color w:val="000000"/>
              </w:rPr>
            </w:pP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21476E95" w14:textId="6D61D58B" w:rsidR="0060728B" w:rsidRPr="00834149" w:rsidRDefault="0060728B" w:rsidP="00A50430">
            <w:pPr>
              <w:rPr>
                <w:rFonts w:cs="Times New Roman"/>
              </w:rPr>
            </w:pPr>
            <w:r w:rsidRPr="00834149">
              <w:rPr>
                <w:rFonts w:cs="Times New Roman"/>
              </w:rPr>
              <w:t>-</w:t>
            </w:r>
            <w:r w:rsidR="00D12703">
              <w:rPr>
                <w:rFonts w:cs="Times New Roman"/>
              </w:rPr>
              <w:t xml:space="preserve"> </w:t>
            </w:r>
            <w:r w:rsidRPr="00834149">
              <w:rPr>
                <w:rFonts w:cs="Times New Roman"/>
              </w:rPr>
              <w:t>Land Policy</w:t>
            </w:r>
            <w:r w:rsidR="00442880" w:rsidRPr="00834149">
              <w:rPr>
                <w:rFonts w:cs="Times New Roman"/>
              </w:rPr>
              <w:t xml:space="preserve"> Assessment</w:t>
            </w:r>
          </w:p>
          <w:p w14:paraId="1183B915" w14:textId="44308C08" w:rsidR="002C03E3" w:rsidRPr="00834149" w:rsidRDefault="002C03E3" w:rsidP="00A50430">
            <w:pPr>
              <w:rPr>
                <w:rFonts w:eastAsia="Times New Roman" w:cs="Times New Roman"/>
                <w:color w:val="000000"/>
              </w:rPr>
            </w:pPr>
            <w:r w:rsidRPr="00834149">
              <w:rPr>
                <w:rFonts w:cs="Times New Roman"/>
              </w:rPr>
              <w:t>-</w:t>
            </w:r>
            <w:r w:rsidR="00D12703">
              <w:rPr>
                <w:rFonts w:cs="Times New Roman"/>
              </w:rPr>
              <w:t xml:space="preserve"> </w:t>
            </w:r>
            <w:r w:rsidRPr="00834149">
              <w:rPr>
                <w:rFonts w:cs="Times New Roman"/>
              </w:rPr>
              <w:t>Financial Sector Assessment</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1463594" w14:textId="1165106A" w:rsidR="008245E8" w:rsidRPr="00834149" w:rsidRDefault="008245E8" w:rsidP="00A50430">
            <w:pPr>
              <w:rPr>
                <w:rFonts w:eastAsia="Times New Roman" w:cs="Times New Roman"/>
                <w:color w:val="000000"/>
              </w:rPr>
            </w:pPr>
            <w:r w:rsidRPr="00834149">
              <w:rPr>
                <w:rFonts w:eastAsia="Times New Roman" w:cs="Times New Roman"/>
                <w:color w:val="000000"/>
              </w:rPr>
              <w:t>-</w:t>
            </w:r>
            <w:r w:rsidR="00D12703">
              <w:rPr>
                <w:rFonts w:eastAsia="Times New Roman" w:cs="Times New Roman"/>
                <w:color w:val="000000"/>
              </w:rPr>
              <w:t xml:space="preserve"> </w:t>
            </w:r>
            <w:r w:rsidRPr="00834149">
              <w:rPr>
                <w:rFonts w:eastAsia="Times New Roman" w:cs="Times New Roman"/>
                <w:color w:val="000000"/>
              </w:rPr>
              <w:t>Impact of Energy Policy Reforms</w:t>
            </w:r>
          </w:p>
          <w:p w14:paraId="07965EAF" w14:textId="0D2721FB" w:rsidR="0060728B" w:rsidRPr="00834149" w:rsidRDefault="0060728B" w:rsidP="00A50430">
            <w:pPr>
              <w:rPr>
                <w:rFonts w:eastAsia="Times New Roman" w:cs="Times New Roman"/>
                <w:color w:val="000000"/>
              </w:rPr>
            </w:pPr>
            <w:r w:rsidRPr="00834149">
              <w:rPr>
                <w:rFonts w:eastAsia="Times New Roman" w:cs="Times New Roman"/>
                <w:color w:val="000000"/>
              </w:rPr>
              <w:t>-</w:t>
            </w:r>
            <w:r w:rsidR="00D12703">
              <w:rPr>
                <w:rFonts w:eastAsia="Times New Roman" w:cs="Times New Roman"/>
                <w:color w:val="000000"/>
              </w:rPr>
              <w:t xml:space="preserve"> </w:t>
            </w:r>
            <w:r w:rsidRPr="00834149">
              <w:rPr>
                <w:rFonts w:eastAsia="Times New Roman" w:cs="Times New Roman"/>
                <w:color w:val="000000"/>
              </w:rPr>
              <w:t>Programmatic Poverty and Gender Assessment</w:t>
            </w:r>
          </w:p>
          <w:p w14:paraId="056018E6" w14:textId="196C3F84" w:rsidR="002C03E3" w:rsidRPr="00834149" w:rsidRDefault="002C03E3" w:rsidP="00A50430">
            <w:pPr>
              <w:rPr>
                <w:rFonts w:eastAsia="Times New Roman" w:cs="Times New Roman"/>
                <w:color w:val="000000"/>
              </w:rPr>
            </w:pPr>
            <w:r w:rsidRPr="00834149">
              <w:rPr>
                <w:rFonts w:eastAsia="Times New Roman" w:cs="Times New Roman"/>
                <w:color w:val="000000"/>
              </w:rPr>
              <w:t>-</w:t>
            </w:r>
            <w:r w:rsidR="00D12703">
              <w:rPr>
                <w:rFonts w:eastAsia="Times New Roman" w:cs="Times New Roman"/>
                <w:color w:val="000000"/>
              </w:rPr>
              <w:t xml:space="preserve"> </w:t>
            </w:r>
            <w:r w:rsidRPr="00834149">
              <w:rPr>
                <w:rFonts w:eastAsia="Times New Roman" w:cs="Times New Roman"/>
                <w:color w:val="000000"/>
              </w:rPr>
              <w:t xml:space="preserve">Identification and Targeting for Social </w:t>
            </w:r>
            <w:r w:rsidR="001751FF" w:rsidRPr="00834149">
              <w:rPr>
                <w:rFonts w:eastAsia="Times New Roman" w:cs="Times New Roman"/>
                <w:color w:val="000000"/>
              </w:rPr>
              <w:t>Services</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2A7E0DB" w14:textId="64207C38" w:rsidR="008245E8" w:rsidRPr="00834149" w:rsidRDefault="008245E8" w:rsidP="00A50430">
            <w:pPr>
              <w:rPr>
                <w:rFonts w:eastAsia="Times New Roman" w:cs="Times New Roman"/>
                <w:color w:val="000000"/>
              </w:rPr>
            </w:pPr>
          </w:p>
        </w:tc>
      </w:tr>
      <w:tr w:rsidR="0060728B" w:rsidRPr="00D12703" w14:paraId="0C847A88" w14:textId="77777777" w:rsidTr="00834149">
        <w:trPr>
          <w:trHeight w:val="737"/>
        </w:trPr>
        <w:tc>
          <w:tcPr>
            <w:tcW w:w="715" w:type="dxa"/>
            <w:tcBorders>
              <w:top w:val="single" w:sz="4" w:space="0" w:color="auto"/>
              <w:left w:val="single" w:sz="4" w:space="0" w:color="auto"/>
              <w:bottom w:val="single" w:sz="4" w:space="0" w:color="auto"/>
              <w:right w:val="single" w:sz="4" w:space="0" w:color="auto"/>
            </w:tcBorders>
            <w:shd w:val="clear" w:color="auto" w:fill="F8F8F0" w:themeFill="background2" w:themeFillTint="33"/>
            <w:noWrap/>
            <w:vAlign w:val="center"/>
            <w:hideMark/>
          </w:tcPr>
          <w:p w14:paraId="3B40B754" w14:textId="6E2382E5" w:rsidR="00AB08BD" w:rsidRPr="00834149" w:rsidRDefault="0060728B" w:rsidP="00A50430">
            <w:pPr>
              <w:jc w:val="center"/>
              <w:rPr>
                <w:rFonts w:eastAsia="Times New Roman" w:cs="Times New Roman"/>
                <w:color w:val="000000"/>
              </w:rPr>
            </w:pPr>
            <w:r w:rsidRPr="00834149">
              <w:rPr>
                <w:rFonts w:eastAsia="Times New Roman" w:cs="Times New Roman"/>
                <w:color w:val="000000"/>
              </w:rPr>
              <w:t>2019</w:t>
            </w:r>
          </w:p>
          <w:p w14:paraId="636188FF" w14:textId="77777777" w:rsidR="0060728B" w:rsidRPr="00834149" w:rsidRDefault="0060728B" w:rsidP="00A50430">
            <w:pPr>
              <w:rPr>
                <w:rFonts w:eastAsia="Times New Roman" w:cs="Times New Roman"/>
              </w:rPr>
            </w:pP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6CBA764F" w14:textId="7FAED785" w:rsidR="0060728B" w:rsidRPr="00834149" w:rsidRDefault="00442880" w:rsidP="00A50430">
            <w:pPr>
              <w:rPr>
                <w:rFonts w:eastAsia="Times New Roman" w:cs="Times New Roman"/>
                <w:color w:val="000000"/>
              </w:rPr>
            </w:pPr>
            <w:r w:rsidRPr="00834149">
              <w:rPr>
                <w:rFonts w:cs="Times New Roman"/>
              </w:rPr>
              <w:t>Sources of Growth and Competitiveness</w:t>
            </w:r>
          </w:p>
        </w:tc>
        <w:tc>
          <w:tcPr>
            <w:tcW w:w="2880" w:type="dxa"/>
            <w:tcBorders>
              <w:top w:val="single" w:sz="4" w:space="0" w:color="auto"/>
              <w:left w:val="nil"/>
              <w:bottom w:val="single" w:sz="4" w:space="0" w:color="auto"/>
              <w:right w:val="single" w:sz="4" w:space="0" w:color="auto"/>
            </w:tcBorders>
            <w:shd w:val="clear" w:color="auto" w:fill="auto"/>
            <w:vAlign w:val="center"/>
          </w:tcPr>
          <w:p w14:paraId="4859B3B4" w14:textId="718F05EB" w:rsidR="0060728B" w:rsidRPr="00834149" w:rsidRDefault="0060728B" w:rsidP="00A50430">
            <w:pPr>
              <w:rPr>
                <w:rFonts w:eastAsia="Times New Roman" w:cs="Times New Roman"/>
                <w:color w:val="000000"/>
              </w:rPr>
            </w:pPr>
            <w:r w:rsidRPr="00834149">
              <w:rPr>
                <w:rFonts w:eastAsia="Times New Roman" w:cs="Times New Roman"/>
                <w:color w:val="000000"/>
              </w:rPr>
              <w:t>Decentralized Service Delivery</w:t>
            </w:r>
          </w:p>
        </w:tc>
        <w:tc>
          <w:tcPr>
            <w:tcW w:w="2880" w:type="dxa"/>
            <w:tcBorders>
              <w:top w:val="single" w:sz="4" w:space="0" w:color="auto"/>
              <w:left w:val="nil"/>
              <w:bottom w:val="single" w:sz="4" w:space="0" w:color="auto"/>
              <w:right w:val="single" w:sz="4" w:space="0" w:color="auto"/>
            </w:tcBorders>
            <w:shd w:val="clear" w:color="auto" w:fill="auto"/>
            <w:vAlign w:val="center"/>
          </w:tcPr>
          <w:p w14:paraId="3CC5D4E0" w14:textId="16E30B46" w:rsidR="0060728B" w:rsidRPr="00834149" w:rsidRDefault="00A87C7D" w:rsidP="00A50430">
            <w:pPr>
              <w:jc w:val="center"/>
              <w:rPr>
                <w:rFonts w:eastAsia="Times New Roman" w:cs="Times New Roman"/>
                <w:color w:val="000000"/>
              </w:rPr>
            </w:pPr>
            <w:r w:rsidRPr="00834149">
              <w:rPr>
                <w:rFonts w:eastAsia="Times New Roman" w:cs="Times New Roman"/>
                <w:color w:val="000000"/>
              </w:rPr>
              <w:t>TA for Blue Economy policy implementation</w:t>
            </w:r>
          </w:p>
        </w:tc>
      </w:tr>
      <w:tr w:rsidR="00AB08BD" w:rsidRPr="00D12703" w14:paraId="7844454D" w14:textId="77777777" w:rsidTr="00834149">
        <w:trPr>
          <w:trHeight w:val="440"/>
        </w:trPr>
        <w:tc>
          <w:tcPr>
            <w:tcW w:w="715" w:type="dxa"/>
            <w:tcBorders>
              <w:top w:val="single" w:sz="4" w:space="0" w:color="auto"/>
              <w:left w:val="single" w:sz="4" w:space="0" w:color="auto"/>
              <w:bottom w:val="single" w:sz="4" w:space="0" w:color="auto"/>
              <w:right w:val="single" w:sz="4" w:space="0" w:color="auto"/>
            </w:tcBorders>
            <w:shd w:val="clear" w:color="auto" w:fill="F8F8F0" w:themeFill="background2" w:themeFillTint="33"/>
            <w:noWrap/>
            <w:vAlign w:val="center"/>
          </w:tcPr>
          <w:p w14:paraId="56FFD820" w14:textId="2FD17794" w:rsidR="00AB08BD" w:rsidRPr="00834149" w:rsidRDefault="00AB08BD" w:rsidP="00A50430">
            <w:pPr>
              <w:jc w:val="center"/>
              <w:rPr>
                <w:rFonts w:eastAsia="Times New Roman" w:cs="Times New Roman"/>
                <w:color w:val="000000"/>
              </w:rPr>
            </w:pPr>
            <w:r w:rsidRPr="00834149">
              <w:rPr>
                <w:rFonts w:eastAsia="Times New Roman" w:cs="Times New Roman"/>
                <w:color w:val="000000"/>
              </w:rPr>
              <w:t>2020</w:t>
            </w:r>
          </w:p>
        </w:tc>
        <w:tc>
          <w:tcPr>
            <w:tcW w:w="2970" w:type="dxa"/>
            <w:tcBorders>
              <w:top w:val="single" w:sz="4" w:space="0" w:color="auto"/>
              <w:left w:val="nil"/>
              <w:bottom w:val="single" w:sz="4" w:space="0" w:color="auto"/>
              <w:right w:val="single" w:sz="4" w:space="0" w:color="auto"/>
            </w:tcBorders>
            <w:shd w:val="clear" w:color="auto" w:fill="auto"/>
            <w:vAlign w:val="center"/>
          </w:tcPr>
          <w:p w14:paraId="30131CDE" w14:textId="77777777" w:rsidR="00AB08BD" w:rsidRPr="00834149" w:rsidRDefault="00AB08BD" w:rsidP="00A50430">
            <w:pPr>
              <w:rPr>
                <w:rFonts w:cs="Times New Roman"/>
              </w:rPr>
            </w:pPr>
          </w:p>
        </w:tc>
        <w:tc>
          <w:tcPr>
            <w:tcW w:w="2880" w:type="dxa"/>
            <w:tcBorders>
              <w:top w:val="single" w:sz="4" w:space="0" w:color="auto"/>
              <w:left w:val="nil"/>
              <w:bottom w:val="single" w:sz="4" w:space="0" w:color="auto"/>
              <w:right w:val="single" w:sz="4" w:space="0" w:color="auto"/>
            </w:tcBorders>
            <w:shd w:val="clear" w:color="auto" w:fill="auto"/>
            <w:vAlign w:val="center"/>
          </w:tcPr>
          <w:p w14:paraId="684730EF" w14:textId="32A10C04" w:rsidR="00AB08BD" w:rsidRPr="00834149" w:rsidRDefault="00AB08BD" w:rsidP="00A50430">
            <w:pPr>
              <w:rPr>
                <w:rFonts w:eastAsia="Times New Roman" w:cs="Times New Roman"/>
                <w:color w:val="000000"/>
              </w:rPr>
            </w:pPr>
            <w:r w:rsidRPr="00834149">
              <w:rPr>
                <w:rFonts w:eastAsia="Times New Roman" w:cs="Times New Roman"/>
                <w:color w:val="000000"/>
              </w:rPr>
              <w:t>- Service Delivery Indicators</w:t>
            </w:r>
          </w:p>
        </w:tc>
        <w:tc>
          <w:tcPr>
            <w:tcW w:w="2880" w:type="dxa"/>
            <w:tcBorders>
              <w:top w:val="single" w:sz="4" w:space="0" w:color="auto"/>
              <w:left w:val="nil"/>
              <w:bottom w:val="single" w:sz="4" w:space="0" w:color="auto"/>
              <w:right w:val="single" w:sz="4" w:space="0" w:color="auto"/>
            </w:tcBorders>
            <w:shd w:val="clear" w:color="auto" w:fill="auto"/>
            <w:vAlign w:val="center"/>
          </w:tcPr>
          <w:p w14:paraId="0E2D3B2F" w14:textId="77777777" w:rsidR="00AB08BD" w:rsidRPr="00834149" w:rsidRDefault="00AB08BD" w:rsidP="00A50430">
            <w:pPr>
              <w:jc w:val="center"/>
              <w:rPr>
                <w:rFonts w:eastAsia="Times New Roman" w:cs="Times New Roman"/>
                <w:color w:val="000000"/>
              </w:rPr>
            </w:pPr>
          </w:p>
        </w:tc>
      </w:tr>
    </w:tbl>
    <w:p w14:paraId="1E9EFFAA" w14:textId="503165AD" w:rsidR="009D67B6" w:rsidRPr="00FD74CA" w:rsidRDefault="009D67B6" w:rsidP="009D67B6">
      <w:pPr>
        <w:pStyle w:val="ListParagraph"/>
        <w:numPr>
          <w:ilvl w:val="0"/>
          <w:numId w:val="2"/>
        </w:numPr>
        <w:ind w:left="0" w:firstLine="0"/>
        <w:contextualSpacing w:val="0"/>
        <w:jc w:val="both"/>
        <w:rPr>
          <w:rFonts w:eastAsia="Times New Roman" w:cs="Times New Roman"/>
          <w:szCs w:val="24"/>
        </w:rPr>
      </w:pPr>
      <w:r w:rsidRPr="00FD74CA">
        <w:rPr>
          <w:rFonts w:cs="Times New Roman"/>
          <w:b/>
          <w:iCs/>
          <w:szCs w:val="24"/>
        </w:rPr>
        <w:lastRenderedPageBreak/>
        <w:t>The CPF program proposes a mix of investment and budget support financing, as well as piloting results-based approaches, and</w:t>
      </w:r>
      <w:r w:rsidRPr="00834149">
        <w:rPr>
          <w:rFonts w:cs="Times New Roman"/>
          <w:b/>
          <w:iCs/>
          <w:szCs w:val="24"/>
        </w:rPr>
        <w:t xml:space="preserve"> Togo is expected to </w:t>
      </w:r>
      <w:r w:rsidRPr="00FD74CA">
        <w:rPr>
          <w:rFonts w:cs="Times New Roman"/>
          <w:b/>
          <w:iCs/>
          <w:szCs w:val="24"/>
        </w:rPr>
        <w:t>benefit from the new IDA18 windows</w:t>
      </w:r>
      <w:r w:rsidRPr="00FD74CA">
        <w:rPr>
          <w:rFonts w:cs="Times New Roman"/>
          <w:iCs/>
          <w:szCs w:val="24"/>
        </w:rPr>
        <w:t>. Togo is eligible for the refugee sub-window (with a refugee population equivalent to 1 percent of total population), although this has not been identified as a priority in the CPF. In addition, the country is potentially</w:t>
      </w:r>
      <w:r>
        <w:rPr>
          <w:rFonts w:cs="Times New Roman"/>
          <w:iCs/>
          <w:szCs w:val="24"/>
        </w:rPr>
        <w:t xml:space="preserve"> </w:t>
      </w:r>
      <w:r w:rsidRPr="00FD74CA">
        <w:rPr>
          <w:rFonts w:cs="Times New Roman"/>
          <w:iCs/>
          <w:szCs w:val="24"/>
        </w:rPr>
        <w:t>eligible to access IDA resources under the Scale-Up Facility (SUF), however, while the ECF program is in place, it would limit Togo’s ability to access SUF resources. Togo is well placed to benefit from the IDA18 Private Sector Window and the Regional Window.</w:t>
      </w:r>
    </w:p>
    <w:p w14:paraId="20D3B664" w14:textId="29CA4083" w:rsidR="00442937" w:rsidRPr="00834149" w:rsidRDefault="00442937" w:rsidP="00834149">
      <w:pPr>
        <w:pStyle w:val="ListParagraph"/>
        <w:ind w:left="0"/>
        <w:contextualSpacing w:val="0"/>
        <w:jc w:val="both"/>
        <w:rPr>
          <w:rFonts w:eastAsia="Times New Roman" w:cs="Times New Roman"/>
        </w:rPr>
      </w:pPr>
    </w:p>
    <w:p w14:paraId="0C0400F1" w14:textId="101DB89F" w:rsidR="00B715DF" w:rsidRPr="00834149" w:rsidRDefault="00B715DF" w:rsidP="00834149">
      <w:pPr>
        <w:pStyle w:val="ListParagraph"/>
        <w:numPr>
          <w:ilvl w:val="0"/>
          <w:numId w:val="9"/>
        </w:numPr>
        <w:autoSpaceDE w:val="0"/>
        <w:autoSpaceDN w:val="0"/>
        <w:adjustRightInd w:val="0"/>
        <w:contextualSpacing w:val="0"/>
        <w:jc w:val="both"/>
        <w:rPr>
          <w:rFonts w:cs="Times New Roman"/>
          <w:iCs/>
        </w:rPr>
      </w:pPr>
      <w:r w:rsidRPr="00834149">
        <w:rPr>
          <w:rFonts w:cs="Times New Roman"/>
          <w:b/>
          <w:iCs/>
        </w:rPr>
        <w:t>Private Sector Window</w:t>
      </w:r>
      <w:r w:rsidR="00577C29" w:rsidRPr="00834149">
        <w:rPr>
          <w:rFonts w:cs="Times New Roman"/>
          <w:b/>
          <w:iCs/>
        </w:rPr>
        <w:t xml:space="preserve"> (PSW)</w:t>
      </w:r>
      <w:r w:rsidRPr="00834149">
        <w:rPr>
          <w:rFonts w:cs="Times New Roman"/>
          <w:iCs/>
        </w:rPr>
        <w:t>: IDA, IFC</w:t>
      </w:r>
      <w:r w:rsidR="00032209" w:rsidRPr="00834149">
        <w:rPr>
          <w:rFonts w:cs="Times New Roman"/>
          <w:iCs/>
        </w:rPr>
        <w:t>,</w:t>
      </w:r>
      <w:r w:rsidRPr="00834149">
        <w:rPr>
          <w:rFonts w:cs="Times New Roman"/>
          <w:iCs/>
        </w:rPr>
        <w:t xml:space="preserve"> and MIGA </w:t>
      </w:r>
      <w:r w:rsidR="008F72EB" w:rsidRPr="00834149">
        <w:rPr>
          <w:rFonts w:cs="Times New Roman"/>
          <w:iCs/>
        </w:rPr>
        <w:t xml:space="preserve">would </w:t>
      </w:r>
      <w:r w:rsidRPr="00834149">
        <w:rPr>
          <w:rFonts w:cs="Times New Roman"/>
          <w:iCs/>
        </w:rPr>
        <w:t>pursu</w:t>
      </w:r>
      <w:r w:rsidR="008F72EB" w:rsidRPr="00834149">
        <w:rPr>
          <w:rFonts w:cs="Times New Roman"/>
          <w:iCs/>
        </w:rPr>
        <w:t>e</w:t>
      </w:r>
      <w:r w:rsidRPr="00834149">
        <w:rPr>
          <w:rFonts w:cs="Times New Roman"/>
          <w:iCs/>
        </w:rPr>
        <w:t xml:space="preserve"> options for leveraging PSW resources to de-risk investments in energy (potentially for a new IPP); telecom</w:t>
      </w:r>
      <w:r w:rsidR="00032209" w:rsidRPr="00834149">
        <w:rPr>
          <w:rFonts w:cs="Times New Roman"/>
          <w:iCs/>
        </w:rPr>
        <w:t>munication</w:t>
      </w:r>
      <w:r w:rsidRPr="00834149">
        <w:rPr>
          <w:rFonts w:cs="Times New Roman"/>
          <w:iCs/>
        </w:rPr>
        <w:t>s (if Togo pursues a strategic partner)</w:t>
      </w:r>
      <w:r w:rsidR="00032209" w:rsidRPr="00834149">
        <w:rPr>
          <w:rFonts w:cs="Times New Roman"/>
          <w:iCs/>
        </w:rPr>
        <w:t>,</w:t>
      </w:r>
      <w:r w:rsidRPr="00834149">
        <w:rPr>
          <w:rFonts w:cs="Times New Roman"/>
          <w:iCs/>
        </w:rPr>
        <w:t xml:space="preserve"> and </w:t>
      </w:r>
      <w:r w:rsidR="008F72EB" w:rsidRPr="00834149">
        <w:rPr>
          <w:rFonts w:cs="Times New Roman"/>
          <w:iCs/>
        </w:rPr>
        <w:t xml:space="preserve">potentially truck </w:t>
      </w:r>
      <w:r w:rsidRPr="00834149">
        <w:rPr>
          <w:rFonts w:cs="Times New Roman"/>
          <w:iCs/>
        </w:rPr>
        <w:t xml:space="preserve">leasing. During the CPF, the </w:t>
      </w:r>
      <w:r w:rsidR="00032209" w:rsidRPr="00834149">
        <w:rPr>
          <w:rFonts w:cs="Times New Roman"/>
          <w:iCs/>
        </w:rPr>
        <w:t>WBG</w:t>
      </w:r>
      <w:r w:rsidRPr="00834149">
        <w:rPr>
          <w:rFonts w:cs="Times New Roman"/>
          <w:iCs/>
        </w:rPr>
        <w:t xml:space="preserve"> will pursue other opportunities to make use of this resource to leverage investments in a fragile environment.</w:t>
      </w:r>
    </w:p>
    <w:p w14:paraId="58E13C05" w14:textId="058E8BCB" w:rsidR="005E2990" w:rsidRPr="00834149" w:rsidRDefault="00625749" w:rsidP="00834149">
      <w:pPr>
        <w:pStyle w:val="ListParagraph"/>
        <w:numPr>
          <w:ilvl w:val="0"/>
          <w:numId w:val="9"/>
        </w:numPr>
        <w:autoSpaceDE w:val="0"/>
        <w:autoSpaceDN w:val="0"/>
        <w:adjustRightInd w:val="0"/>
        <w:contextualSpacing w:val="0"/>
        <w:jc w:val="both"/>
        <w:rPr>
          <w:rFonts w:cs="Times New Roman"/>
          <w:b/>
          <w:iCs/>
        </w:rPr>
      </w:pPr>
      <w:r w:rsidRPr="00834149">
        <w:rPr>
          <w:rFonts w:cs="Times New Roman"/>
          <w:b/>
          <w:iCs/>
        </w:rPr>
        <w:t>Re</w:t>
      </w:r>
      <w:r w:rsidR="005E2990" w:rsidRPr="00834149">
        <w:rPr>
          <w:rFonts w:cs="Times New Roman"/>
          <w:b/>
          <w:iCs/>
        </w:rPr>
        <w:t xml:space="preserve">gional Window: </w:t>
      </w:r>
      <w:r w:rsidR="009D67B6" w:rsidRPr="00834149">
        <w:rPr>
          <w:rFonts w:cs="Times New Roman"/>
          <w:iCs/>
        </w:rPr>
        <w:t xml:space="preserve">Togo expects to leverage regional IDA resources </w:t>
      </w:r>
      <w:r w:rsidR="00F57350" w:rsidRPr="00834149">
        <w:rPr>
          <w:rFonts w:cs="Times New Roman"/>
          <w:iCs/>
        </w:rPr>
        <w:t>through</w:t>
      </w:r>
      <w:r w:rsidR="005E2990" w:rsidRPr="00834149">
        <w:rPr>
          <w:rFonts w:cs="Times New Roman"/>
          <w:iCs/>
        </w:rPr>
        <w:t xml:space="preserve"> its participation in the Regional Disease Surveillance Systems Enhancement operation </w:t>
      </w:r>
      <w:r w:rsidR="00F57350" w:rsidRPr="00834149">
        <w:rPr>
          <w:rFonts w:cs="Times New Roman"/>
          <w:iCs/>
        </w:rPr>
        <w:t xml:space="preserve">(FY17) </w:t>
      </w:r>
      <w:r w:rsidR="005E2990" w:rsidRPr="00834149">
        <w:rPr>
          <w:rFonts w:cs="Times New Roman"/>
          <w:iCs/>
        </w:rPr>
        <w:t>and the West Africa Coastal Areas Resilience Project</w:t>
      </w:r>
      <w:r w:rsidR="00F57350" w:rsidRPr="00834149">
        <w:rPr>
          <w:rFonts w:cs="Times New Roman"/>
          <w:iCs/>
        </w:rPr>
        <w:t xml:space="preserve"> (FY18)</w:t>
      </w:r>
      <w:r w:rsidR="005E2990" w:rsidRPr="00834149">
        <w:rPr>
          <w:rFonts w:cs="Times New Roman"/>
          <w:iCs/>
        </w:rPr>
        <w:t xml:space="preserve">. Additional projects could be considered </w:t>
      </w:r>
      <w:r w:rsidR="00032209" w:rsidRPr="00834149">
        <w:rPr>
          <w:rFonts w:cs="Times New Roman"/>
          <w:iCs/>
        </w:rPr>
        <w:t xml:space="preserve">that </w:t>
      </w:r>
      <w:r w:rsidR="005E2990" w:rsidRPr="00834149">
        <w:rPr>
          <w:rFonts w:cs="Times New Roman"/>
          <w:iCs/>
        </w:rPr>
        <w:t>contribute to the CPF objectives.</w:t>
      </w:r>
    </w:p>
    <w:p w14:paraId="7D5B2C46" w14:textId="00DE9AB4" w:rsidR="002D46BB" w:rsidRPr="00834149" w:rsidRDefault="002D46BB" w:rsidP="00834149">
      <w:pPr>
        <w:pStyle w:val="ListParagraph"/>
        <w:numPr>
          <w:ilvl w:val="0"/>
          <w:numId w:val="9"/>
        </w:numPr>
        <w:autoSpaceDE w:val="0"/>
        <w:autoSpaceDN w:val="0"/>
        <w:adjustRightInd w:val="0"/>
        <w:contextualSpacing w:val="0"/>
        <w:jc w:val="both"/>
        <w:rPr>
          <w:rFonts w:cs="Times New Roman"/>
          <w:iCs/>
        </w:rPr>
      </w:pPr>
      <w:r w:rsidRPr="00834149">
        <w:rPr>
          <w:rFonts w:cs="Times New Roman"/>
          <w:b/>
          <w:iCs/>
        </w:rPr>
        <w:t xml:space="preserve">Performance-based </w:t>
      </w:r>
      <w:r w:rsidR="00032209" w:rsidRPr="00834149">
        <w:rPr>
          <w:rFonts w:cs="Times New Roman"/>
          <w:b/>
          <w:iCs/>
        </w:rPr>
        <w:t>F</w:t>
      </w:r>
      <w:r w:rsidRPr="00834149">
        <w:rPr>
          <w:rFonts w:cs="Times New Roman"/>
          <w:b/>
          <w:iCs/>
        </w:rPr>
        <w:t>inancing</w:t>
      </w:r>
      <w:r w:rsidRPr="00834149">
        <w:rPr>
          <w:rFonts w:cs="Times New Roman"/>
          <w:iCs/>
        </w:rPr>
        <w:t>:</w:t>
      </w:r>
      <w:r w:rsidR="009E3FE1" w:rsidRPr="00834149">
        <w:rPr>
          <w:rFonts w:cs="Times New Roman"/>
          <w:iCs/>
        </w:rPr>
        <w:t xml:space="preserve"> IDA is piloting a PBF approach in the health sector</w:t>
      </w:r>
      <w:r w:rsidR="00032209" w:rsidRPr="00834149">
        <w:rPr>
          <w:rFonts w:cs="Times New Roman"/>
          <w:iCs/>
        </w:rPr>
        <w:t>,</w:t>
      </w:r>
      <w:r w:rsidR="009E3FE1" w:rsidRPr="00834149">
        <w:rPr>
          <w:rFonts w:cs="Times New Roman"/>
          <w:iCs/>
        </w:rPr>
        <w:t xml:space="preserve"> which would be scaled up under a new IDA health sector support project. It o</w:t>
      </w:r>
      <w:r w:rsidR="009E3FE1" w:rsidRPr="00834149">
        <w:rPr>
          <w:rFonts w:cs="Times New Roman"/>
        </w:rPr>
        <w:t>ffers a unique opportunity for a PPP in the health sector as well as</w:t>
      </w:r>
      <w:r w:rsidR="009E3FE1" w:rsidRPr="00834149">
        <w:rPr>
          <w:rFonts w:cs="Times New Roman"/>
          <w:bCs/>
          <w:i/>
        </w:rPr>
        <w:t xml:space="preserve"> </w:t>
      </w:r>
      <w:r w:rsidR="009E3FE1" w:rsidRPr="00834149">
        <w:rPr>
          <w:rFonts w:cs="Times New Roman"/>
          <w:bCs/>
        </w:rPr>
        <w:t>mobilization of Global Fund, GAVI, the EU, and UN agencies</w:t>
      </w:r>
      <w:r w:rsidR="009E3FE1" w:rsidRPr="00834149">
        <w:rPr>
          <w:rFonts w:cs="Times New Roman"/>
        </w:rPr>
        <w:t xml:space="preserve"> around jointly-agreed results established for each level of the health system. </w:t>
      </w:r>
    </w:p>
    <w:p w14:paraId="2FB9686F" w14:textId="5E3307E1" w:rsidR="00A36548" w:rsidRPr="00834149" w:rsidRDefault="005E2990" w:rsidP="00834149">
      <w:pPr>
        <w:pStyle w:val="ListParagraph"/>
        <w:numPr>
          <w:ilvl w:val="0"/>
          <w:numId w:val="9"/>
        </w:numPr>
        <w:autoSpaceDE w:val="0"/>
        <w:autoSpaceDN w:val="0"/>
        <w:adjustRightInd w:val="0"/>
        <w:contextualSpacing w:val="0"/>
        <w:jc w:val="both"/>
        <w:rPr>
          <w:rFonts w:cs="Times New Roman"/>
          <w:iCs/>
        </w:rPr>
      </w:pPr>
      <w:r w:rsidRPr="00834149">
        <w:rPr>
          <w:rFonts w:cs="Times New Roman"/>
          <w:b/>
          <w:iCs/>
        </w:rPr>
        <w:t>Re</w:t>
      </w:r>
      <w:r w:rsidR="00625749" w:rsidRPr="00834149">
        <w:rPr>
          <w:rFonts w:cs="Times New Roman"/>
          <w:b/>
          <w:iCs/>
        </w:rPr>
        <w:t>sults</w:t>
      </w:r>
      <w:r w:rsidR="002D46BB" w:rsidRPr="00834149">
        <w:rPr>
          <w:rFonts w:cs="Times New Roman"/>
          <w:b/>
          <w:iCs/>
        </w:rPr>
        <w:t>-</w:t>
      </w:r>
      <w:r w:rsidR="00625749" w:rsidRPr="00834149">
        <w:rPr>
          <w:rFonts w:cs="Times New Roman"/>
          <w:b/>
          <w:iCs/>
        </w:rPr>
        <w:t xml:space="preserve">based </w:t>
      </w:r>
      <w:r w:rsidR="00032209" w:rsidRPr="00834149">
        <w:rPr>
          <w:rFonts w:cs="Times New Roman"/>
          <w:b/>
          <w:iCs/>
        </w:rPr>
        <w:t>L</w:t>
      </w:r>
      <w:r w:rsidR="002D46BB" w:rsidRPr="00834149">
        <w:rPr>
          <w:rFonts w:cs="Times New Roman"/>
          <w:b/>
          <w:iCs/>
        </w:rPr>
        <w:t>ending</w:t>
      </w:r>
      <w:r w:rsidR="00625749" w:rsidRPr="00834149">
        <w:rPr>
          <w:rFonts w:cs="Times New Roman"/>
          <w:b/>
          <w:iCs/>
        </w:rPr>
        <w:t>:</w:t>
      </w:r>
      <w:r w:rsidR="00625749" w:rsidRPr="00834149">
        <w:rPr>
          <w:rFonts w:cs="Times New Roman"/>
          <w:iCs/>
        </w:rPr>
        <w:t xml:space="preserve"> </w:t>
      </w:r>
      <w:r w:rsidR="00B01995" w:rsidRPr="00834149">
        <w:rPr>
          <w:rFonts w:cs="Times New Roman"/>
          <w:iCs/>
        </w:rPr>
        <w:t xml:space="preserve">The </w:t>
      </w:r>
      <w:r w:rsidR="00A92A9A">
        <w:rPr>
          <w:rFonts w:cs="Times New Roman"/>
          <w:iCs/>
        </w:rPr>
        <w:t xml:space="preserve">IDA </w:t>
      </w:r>
      <w:r w:rsidR="00AC495E" w:rsidRPr="00834149">
        <w:rPr>
          <w:rFonts w:cs="Times New Roman"/>
          <w:iCs/>
        </w:rPr>
        <w:t>Economic Governance TA</w:t>
      </w:r>
      <w:r w:rsidR="00A92A9A">
        <w:rPr>
          <w:rFonts w:cs="Times New Roman"/>
          <w:iCs/>
        </w:rPr>
        <w:t xml:space="preserve"> project (FY18)</w:t>
      </w:r>
      <w:r w:rsidR="008F72EB" w:rsidRPr="00834149">
        <w:rPr>
          <w:rFonts w:cs="Times New Roman"/>
          <w:iCs/>
        </w:rPr>
        <w:t xml:space="preserve"> </w:t>
      </w:r>
      <w:r w:rsidR="00A92A9A">
        <w:rPr>
          <w:rFonts w:cs="Times New Roman"/>
          <w:iCs/>
        </w:rPr>
        <w:t>is expected to</w:t>
      </w:r>
      <w:r w:rsidR="008F72EB" w:rsidRPr="00834149">
        <w:rPr>
          <w:rFonts w:cs="Times New Roman"/>
          <w:iCs/>
        </w:rPr>
        <w:t xml:space="preserve"> include </w:t>
      </w:r>
      <w:r w:rsidR="00625749" w:rsidRPr="00834149">
        <w:rPr>
          <w:rFonts w:cs="Times New Roman"/>
          <w:iCs/>
        </w:rPr>
        <w:t xml:space="preserve">disbursement-linked indicators </w:t>
      </w:r>
      <w:r w:rsidR="006F3CC9">
        <w:rPr>
          <w:rFonts w:cs="Times New Roman"/>
          <w:iCs/>
        </w:rPr>
        <w:t xml:space="preserve">and the IDA Quality Public Services (FY20) </w:t>
      </w:r>
      <w:r w:rsidR="008F72EB" w:rsidRPr="00834149">
        <w:rPr>
          <w:rFonts w:cs="Times New Roman"/>
          <w:iCs/>
        </w:rPr>
        <w:t>could be</w:t>
      </w:r>
      <w:r w:rsidR="00AC495E" w:rsidRPr="00834149">
        <w:rPr>
          <w:rFonts w:cs="Times New Roman"/>
          <w:iCs/>
        </w:rPr>
        <w:t xml:space="preserve"> </w:t>
      </w:r>
      <w:r w:rsidR="00746014" w:rsidRPr="00834149">
        <w:rPr>
          <w:rFonts w:cs="Times New Roman"/>
          <w:iCs/>
        </w:rPr>
        <w:t>design</w:t>
      </w:r>
      <w:r w:rsidR="008F72EB" w:rsidRPr="00834149">
        <w:rPr>
          <w:rFonts w:cs="Times New Roman"/>
          <w:iCs/>
        </w:rPr>
        <w:t>ed</w:t>
      </w:r>
      <w:r w:rsidR="00AC495E" w:rsidRPr="00834149">
        <w:rPr>
          <w:rFonts w:cs="Times New Roman"/>
          <w:iCs/>
        </w:rPr>
        <w:t xml:space="preserve"> a</w:t>
      </w:r>
      <w:r w:rsidR="008F72EB" w:rsidRPr="00834149">
        <w:rPr>
          <w:rFonts w:cs="Times New Roman"/>
          <w:iCs/>
        </w:rPr>
        <w:t>s a</w:t>
      </w:r>
      <w:r w:rsidR="00AC495E" w:rsidRPr="00834149">
        <w:rPr>
          <w:rFonts w:cs="Times New Roman"/>
          <w:iCs/>
        </w:rPr>
        <w:t xml:space="preserve"> P</w:t>
      </w:r>
      <w:r w:rsidR="00854D97" w:rsidRPr="00834149">
        <w:rPr>
          <w:rFonts w:cs="Times New Roman"/>
          <w:iCs/>
        </w:rPr>
        <w:t>for</w:t>
      </w:r>
      <w:r w:rsidR="00AC495E" w:rsidRPr="00834149">
        <w:rPr>
          <w:rFonts w:cs="Times New Roman"/>
          <w:iCs/>
        </w:rPr>
        <w:t>R</w:t>
      </w:r>
      <w:r w:rsidR="008F72EB" w:rsidRPr="00834149">
        <w:rPr>
          <w:rFonts w:cs="Times New Roman"/>
          <w:iCs/>
        </w:rPr>
        <w:t xml:space="preserve"> operation</w:t>
      </w:r>
      <w:r w:rsidR="00AC495E" w:rsidRPr="00834149">
        <w:rPr>
          <w:rFonts w:cs="Times New Roman"/>
          <w:iCs/>
        </w:rPr>
        <w:t xml:space="preserve">. </w:t>
      </w:r>
    </w:p>
    <w:p w14:paraId="53AD2870" w14:textId="0FC4E1E0" w:rsidR="00B715DF" w:rsidRPr="00834149" w:rsidRDefault="00B715DF" w:rsidP="00834149">
      <w:pPr>
        <w:pStyle w:val="ListParagraph"/>
        <w:numPr>
          <w:ilvl w:val="0"/>
          <w:numId w:val="9"/>
        </w:numPr>
        <w:autoSpaceDE w:val="0"/>
        <w:autoSpaceDN w:val="0"/>
        <w:adjustRightInd w:val="0"/>
        <w:contextualSpacing w:val="0"/>
        <w:jc w:val="both"/>
        <w:rPr>
          <w:rFonts w:cs="Times New Roman"/>
          <w:iCs/>
        </w:rPr>
      </w:pPr>
      <w:r w:rsidRPr="00834149">
        <w:rPr>
          <w:rFonts w:cs="Times New Roman"/>
          <w:b/>
          <w:iCs/>
        </w:rPr>
        <w:t>Use of Country Systems</w:t>
      </w:r>
      <w:r w:rsidRPr="00834149">
        <w:rPr>
          <w:rFonts w:cs="Times New Roman"/>
          <w:iCs/>
        </w:rPr>
        <w:t xml:space="preserve">: </w:t>
      </w:r>
      <w:r w:rsidR="00351DC4" w:rsidRPr="00834149">
        <w:rPr>
          <w:rFonts w:cs="Times New Roman"/>
          <w:iCs/>
        </w:rPr>
        <w:t>T</w:t>
      </w:r>
      <w:r w:rsidR="00B01995" w:rsidRPr="00834149">
        <w:rPr>
          <w:rFonts w:cs="Times New Roman"/>
        </w:rPr>
        <w:t xml:space="preserve">he </w:t>
      </w:r>
      <w:r w:rsidR="006A6B5F" w:rsidRPr="00834149">
        <w:rPr>
          <w:rFonts w:cs="Times New Roman"/>
        </w:rPr>
        <w:t xml:space="preserve">World </w:t>
      </w:r>
      <w:r w:rsidR="00B01995" w:rsidRPr="00834149">
        <w:rPr>
          <w:rFonts w:cs="Times New Roman"/>
        </w:rPr>
        <w:t>Bank has agreed wit</w:t>
      </w:r>
      <w:r w:rsidR="00591870">
        <w:rPr>
          <w:rFonts w:cs="Times New Roman"/>
        </w:rPr>
        <w:t>h</w:t>
      </w:r>
      <w:r w:rsidR="00665D35" w:rsidRPr="00834149">
        <w:rPr>
          <w:rFonts w:cs="Times New Roman"/>
        </w:rPr>
        <w:t xml:space="preserve"> </w:t>
      </w:r>
      <w:r w:rsidR="000F5595" w:rsidRPr="00834149">
        <w:rPr>
          <w:rFonts w:cs="Times New Roman"/>
        </w:rPr>
        <w:t>G</w:t>
      </w:r>
      <w:r w:rsidR="00665D35" w:rsidRPr="00834149">
        <w:rPr>
          <w:rFonts w:cs="Times New Roman"/>
        </w:rPr>
        <w:t>overnment to strengthen</w:t>
      </w:r>
      <w:r w:rsidR="00B01995" w:rsidRPr="00834149">
        <w:rPr>
          <w:rFonts w:cs="Times New Roman"/>
        </w:rPr>
        <w:t xml:space="preserve"> national institutions </w:t>
      </w:r>
      <w:r w:rsidR="00351DC4" w:rsidRPr="00834149">
        <w:rPr>
          <w:rFonts w:cs="Times New Roman"/>
        </w:rPr>
        <w:t>and increase their role in implement</w:t>
      </w:r>
      <w:r w:rsidR="00591870">
        <w:rPr>
          <w:rFonts w:cs="Times New Roman"/>
        </w:rPr>
        <w:t>ing</w:t>
      </w:r>
      <w:r w:rsidR="00351DC4" w:rsidRPr="00834149">
        <w:rPr>
          <w:rFonts w:cs="Times New Roman"/>
        </w:rPr>
        <w:t xml:space="preserve"> IDA operations to promote </w:t>
      </w:r>
      <w:r w:rsidR="00591870">
        <w:rPr>
          <w:rFonts w:cs="Times New Roman"/>
        </w:rPr>
        <w:t xml:space="preserve">the </w:t>
      </w:r>
      <w:r w:rsidR="00B01995" w:rsidRPr="00834149">
        <w:rPr>
          <w:rFonts w:cs="Times New Roman"/>
        </w:rPr>
        <w:t>gradual use of country systems for staffing, budgeting, accounting, financial control</w:t>
      </w:r>
      <w:r w:rsidR="00032209" w:rsidRPr="00834149">
        <w:rPr>
          <w:rFonts w:cs="Times New Roman"/>
        </w:rPr>
        <w:t>,</w:t>
      </w:r>
      <w:r w:rsidR="00B01995" w:rsidRPr="00834149">
        <w:rPr>
          <w:rFonts w:cs="Times New Roman"/>
        </w:rPr>
        <w:t xml:space="preserve"> and disbursement</w:t>
      </w:r>
      <w:r w:rsidR="004A5170" w:rsidRPr="00834149">
        <w:rPr>
          <w:rFonts w:cs="Times New Roman"/>
        </w:rPr>
        <w:t xml:space="preserve"> functions</w:t>
      </w:r>
      <w:r w:rsidR="00B01995" w:rsidRPr="00834149">
        <w:rPr>
          <w:rFonts w:cs="Times New Roman"/>
        </w:rPr>
        <w:t>.</w:t>
      </w:r>
    </w:p>
    <w:p w14:paraId="1605DC62" w14:textId="77777777" w:rsidR="0044259D" w:rsidRPr="00834149" w:rsidRDefault="0044259D" w:rsidP="00834149">
      <w:pPr>
        <w:pStyle w:val="ListParagraph"/>
        <w:autoSpaceDE w:val="0"/>
        <w:autoSpaceDN w:val="0"/>
        <w:adjustRightInd w:val="0"/>
        <w:contextualSpacing w:val="0"/>
        <w:jc w:val="both"/>
        <w:rPr>
          <w:rFonts w:cs="Times New Roman"/>
          <w:iCs/>
        </w:rPr>
      </w:pPr>
    </w:p>
    <w:p w14:paraId="79935360" w14:textId="44F473E7" w:rsidR="00442937" w:rsidRPr="00834149" w:rsidRDefault="007F3186" w:rsidP="00834149">
      <w:pPr>
        <w:pStyle w:val="ListParagraph"/>
        <w:numPr>
          <w:ilvl w:val="0"/>
          <w:numId w:val="2"/>
        </w:numPr>
        <w:ind w:left="0" w:firstLine="0"/>
        <w:contextualSpacing w:val="0"/>
        <w:jc w:val="both"/>
        <w:rPr>
          <w:rFonts w:eastAsia="Times New Roman" w:cs="Times New Roman"/>
        </w:rPr>
      </w:pPr>
      <w:r w:rsidRPr="00834149">
        <w:rPr>
          <w:rFonts w:cs="Times New Roman"/>
          <w:b/>
          <w:iCs/>
        </w:rPr>
        <w:t xml:space="preserve">Trust </w:t>
      </w:r>
      <w:r w:rsidR="00032209" w:rsidRPr="00834149">
        <w:rPr>
          <w:rFonts w:cs="Times New Roman"/>
          <w:b/>
          <w:iCs/>
        </w:rPr>
        <w:t>f</w:t>
      </w:r>
      <w:r w:rsidRPr="00834149">
        <w:rPr>
          <w:rFonts w:cs="Times New Roman"/>
          <w:b/>
          <w:iCs/>
        </w:rPr>
        <w:t xml:space="preserve">unds </w:t>
      </w:r>
      <w:r w:rsidR="00586BEF" w:rsidRPr="00834149">
        <w:rPr>
          <w:rFonts w:cs="Times New Roman"/>
          <w:b/>
          <w:iCs/>
        </w:rPr>
        <w:t>will</w:t>
      </w:r>
      <w:r w:rsidR="00E46004" w:rsidRPr="00834149">
        <w:rPr>
          <w:rFonts w:cs="Times New Roman"/>
          <w:b/>
          <w:iCs/>
        </w:rPr>
        <w:t xml:space="preserve"> continue to play an important role in supplementing IDA financing during the CPF</w:t>
      </w:r>
      <w:r w:rsidR="003A4423" w:rsidRPr="00834149">
        <w:rPr>
          <w:rFonts w:cs="Times New Roman"/>
          <w:b/>
          <w:iCs/>
        </w:rPr>
        <w:t xml:space="preserve"> period</w:t>
      </w:r>
      <w:r w:rsidR="003A4423" w:rsidRPr="00834149">
        <w:rPr>
          <w:rFonts w:cs="Times New Roman"/>
          <w:iCs/>
        </w:rPr>
        <w:t>.</w:t>
      </w:r>
      <w:r w:rsidR="006225B2" w:rsidRPr="00834149">
        <w:rPr>
          <w:rFonts w:cs="Times New Roman"/>
          <w:iCs/>
        </w:rPr>
        <w:t xml:space="preserve"> Trust Fund</w:t>
      </w:r>
      <w:r w:rsidR="00735AD5" w:rsidRPr="00834149">
        <w:rPr>
          <w:rFonts w:cs="Times New Roman"/>
          <w:iCs/>
        </w:rPr>
        <w:t>s</w:t>
      </w:r>
      <w:r w:rsidR="006225B2" w:rsidRPr="00834149">
        <w:rPr>
          <w:rFonts w:cs="Times New Roman"/>
          <w:iCs/>
        </w:rPr>
        <w:t xml:space="preserve"> </w:t>
      </w:r>
      <w:r w:rsidR="00735AD5" w:rsidRPr="00834149">
        <w:rPr>
          <w:rFonts w:cs="Times New Roman"/>
          <w:iCs/>
        </w:rPr>
        <w:t xml:space="preserve">are </w:t>
      </w:r>
      <w:r w:rsidR="006225B2" w:rsidRPr="00834149">
        <w:rPr>
          <w:rFonts w:cs="Times New Roman"/>
          <w:iCs/>
        </w:rPr>
        <w:t>discuss</w:t>
      </w:r>
      <w:r w:rsidR="00735AD5" w:rsidRPr="00834149">
        <w:rPr>
          <w:rFonts w:cs="Times New Roman"/>
          <w:iCs/>
        </w:rPr>
        <w:t>ed</w:t>
      </w:r>
      <w:r w:rsidR="006225B2" w:rsidRPr="00834149">
        <w:rPr>
          <w:rFonts w:cs="Times New Roman"/>
          <w:iCs/>
        </w:rPr>
        <w:t xml:space="preserve"> under each </w:t>
      </w:r>
      <w:r w:rsidR="009017C0" w:rsidRPr="00834149">
        <w:rPr>
          <w:rFonts w:cs="Times New Roman"/>
          <w:iCs/>
        </w:rPr>
        <w:t>f</w:t>
      </w:r>
      <w:r w:rsidR="006225B2" w:rsidRPr="00834149">
        <w:rPr>
          <w:rFonts w:cs="Times New Roman"/>
          <w:iCs/>
        </w:rPr>
        <w:t xml:space="preserve">ocus </w:t>
      </w:r>
      <w:r w:rsidR="009017C0" w:rsidRPr="00834149">
        <w:rPr>
          <w:rFonts w:cs="Times New Roman"/>
          <w:iCs/>
        </w:rPr>
        <w:t>a</w:t>
      </w:r>
      <w:r w:rsidR="006225B2" w:rsidRPr="00834149">
        <w:rPr>
          <w:rFonts w:cs="Times New Roman"/>
          <w:iCs/>
        </w:rPr>
        <w:t>rea objective</w:t>
      </w:r>
      <w:r w:rsidR="00735AD5" w:rsidRPr="00834149">
        <w:rPr>
          <w:rFonts w:cs="Times New Roman"/>
          <w:iCs/>
        </w:rPr>
        <w:t xml:space="preserve"> and a</w:t>
      </w:r>
      <w:r w:rsidR="00503259" w:rsidRPr="00834149">
        <w:rPr>
          <w:rFonts w:cs="Times New Roman"/>
          <w:iCs/>
        </w:rPr>
        <w:t xml:space="preserve"> summary of key trust funds to be mobilized is provided </w:t>
      </w:r>
      <w:r w:rsidR="00735AD5" w:rsidRPr="00834149">
        <w:rPr>
          <w:rFonts w:cs="Times New Roman"/>
          <w:iCs/>
        </w:rPr>
        <w:t>below</w:t>
      </w:r>
      <w:r w:rsidR="00C121E2" w:rsidRPr="00834149">
        <w:rPr>
          <w:rFonts w:cs="Times New Roman"/>
          <w:iCs/>
        </w:rPr>
        <w:t xml:space="preserve"> (Table 5)</w:t>
      </w:r>
      <w:r w:rsidR="002A6A06" w:rsidRPr="00834149">
        <w:rPr>
          <w:rFonts w:cs="Times New Roman"/>
          <w:iCs/>
        </w:rPr>
        <w:t>.</w:t>
      </w:r>
    </w:p>
    <w:p w14:paraId="33BED8B9" w14:textId="3B8CEFC6" w:rsidR="002C11D6" w:rsidRPr="00834149" w:rsidRDefault="002C11D6" w:rsidP="00A50430">
      <w:pPr>
        <w:rPr>
          <w:rFonts w:cs="Times New Roman"/>
          <w:b/>
          <w:iCs/>
        </w:rPr>
      </w:pPr>
      <w:r w:rsidRPr="00834149">
        <w:rPr>
          <w:rFonts w:cs="Times New Roman"/>
          <w:b/>
          <w:iCs/>
        </w:rPr>
        <w:br w:type="page"/>
      </w:r>
    </w:p>
    <w:p w14:paraId="0724A86B" w14:textId="1D7C7325" w:rsidR="00516275" w:rsidRPr="00834149" w:rsidRDefault="00347DE0" w:rsidP="00A50430">
      <w:pPr>
        <w:pStyle w:val="Caption"/>
        <w:rPr>
          <w:rFonts w:cs="Times New Roman"/>
          <w:caps w:val="0"/>
          <w:sz w:val="22"/>
          <w:szCs w:val="22"/>
        </w:rPr>
      </w:pPr>
      <w:bookmarkStart w:id="34" w:name="_Toc480207649"/>
      <w:r w:rsidRPr="00834149">
        <w:rPr>
          <w:rFonts w:cs="Times New Roman"/>
          <w:caps w:val="0"/>
          <w:sz w:val="22"/>
          <w:szCs w:val="22"/>
        </w:rPr>
        <w:lastRenderedPageBreak/>
        <w:t xml:space="preserve">Table </w:t>
      </w:r>
      <w:r w:rsidRPr="00834149">
        <w:rPr>
          <w:rFonts w:cs="Times New Roman"/>
          <w:caps w:val="0"/>
          <w:sz w:val="22"/>
          <w:szCs w:val="22"/>
        </w:rPr>
        <w:fldChar w:fldCharType="begin"/>
      </w:r>
      <w:r w:rsidRPr="00834149">
        <w:rPr>
          <w:rFonts w:cs="Times New Roman"/>
          <w:caps w:val="0"/>
          <w:sz w:val="22"/>
          <w:szCs w:val="22"/>
        </w:rPr>
        <w:instrText xml:space="preserve"> SEQ Table \* ARABIC </w:instrText>
      </w:r>
      <w:r w:rsidRPr="00834149">
        <w:rPr>
          <w:rFonts w:cs="Times New Roman"/>
          <w:caps w:val="0"/>
          <w:sz w:val="22"/>
          <w:szCs w:val="22"/>
        </w:rPr>
        <w:fldChar w:fldCharType="separate"/>
      </w:r>
      <w:r w:rsidR="000D6ABB">
        <w:rPr>
          <w:rFonts w:cs="Times New Roman"/>
          <w:caps w:val="0"/>
          <w:noProof/>
          <w:sz w:val="22"/>
          <w:szCs w:val="22"/>
        </w:rPr>
        <w:t>5</w:t>
      </w:r>
      <w:r w:rsidRPr="00834149">
        <w:rPr>
          <w:rFonts w:cs="Times New Roman"/>
          <w:caps w:val="0"/>
          <w:sz w:val="22"/>
          <w:szCs w:val="22"/>
        </w:rPr>
        <w:fldChar w:fldCharType="end"/>
      </w:r>
      <w:r w:rsidR="00516275" w:rsidRPr="00834149">
        <w:rPr>
          <w:rFonts w:cs="Times New Roman"/>
          <w:caps w:val="0"/>
          <w:sz w:val="22"/>
          <w:szCs w:val="22"/>
        </w:rPr>
        <w:t xml:space="preserve">: </w:t>
      </w:r>
      <w:r w:rsidR="002A6A06" w:rsidRPr="00834149">
        <w:rPr>
          <w:rFonts w:cs="Times New Roman"/>
          <w:caps w:val="0"/>
          <w:sz w:val="22"/>
          <w:szCs w:val="22"/>
        </w:rPr>
        <w:t>Trust Fund and TA</w:t>
      </w:r>
      <w:r w:rsidR="000433EB" w:rsidRPr="00834149">
        <w:rPr>
          <w:rFonts w:cs="Times New Roman"/>
          <w:caps w:val="0"/>
          <w:sz w:val="22"/>
          <w:szCs w:val="22"/>
        </w:rPr>
        <w:t xml:space="preserve"> administered by the World Bank</w:t>
      </w:r>
      <w:bookmarkEnd w:id="34"/>
    </w:p>
    <w:tbl>
      <w:tblPr>
        <w:tblW w:w="7920" w:type="dxa"/>
        <w:tblInd w:w="-5" w:type="dxa"/>
        <w:tblLook w:val="04A0" w:firstRow="1" w:lastRow="0" w:firstColumn="1" w:lastColumn="0" w:noHBand="0" w:noVBand="1"/>
      </w:tblPr>
      <w:tblGrid>
        <w:gridCol w:w="1350"/>
        <w:gridCol w:w="6570"/>
      </w:tblGrid>
      <w:tr w:rsidR="00032209" w:rsidRPr="00A50430" w14:paraId="4B22D7FC" w14:textId="77777777" w:rsidTr="00AD689A">
        <w:trPr>
          <w:trHeight w:val="485"/>
        </w:trPr>
        <w:tc>
          <w:tcPr>
            <w:tcW w:w="1350" w:type="dxa"/>
            <w:tcBorders>
              <w:top w:val="single" w:sz="4" w:space="0" w:color="auto"/>
              <w:left w:val="single" w:sz="4" w:space="0" w:color="auto"/>
              <w:bottom w:val="double" w:sz="6" w:space="0" w:color="auto"/>
              <w:right w:val="nil"/>
            </w:tcBorders>
            <w:shd w:val="clear" w:color="auto" w:fill="EBF2F1" w:themeFill="accent2" w:themeFillTint="33"/>
            <w:noWrap/>
            <w:vAlign w:val="center"/>
            <w:hideMark/>
          </w:tcPr>
          <w:p w14:paraId="245DC014" w14:textId="77777777" w:rsidR="00516275" w:rsidRPr="00834149" w:rsidRDefault="00516275" w:rsidP="00A50430">
            <w:pPr>
              <w:jc w:val="center"/>
              <w:rPr>
                <w:rFonts w:eastAsia="Times New Roman" w:cs="Times New Roman"/>
                <w:b/>
                <w:bCs/>
                <w:color w:val="000000"/>
              </w:rPr>
            </w:pPr>
            <w:r w:rsidRPr="00834149">
              <w:rPr>
                <w:rFonts w:eastAsia="Times New Roman" w:cs="Times New Roman"/>
                <w:b/>
                <w:bCs/>
                <w:color w:val="000000"/>
              </w:rPr>
              <w:t>Fiscal Year</w:t>
            </w:r>
          </w:p>
        </w:tc>
        <w:tc>
          <w:tcPr>
            <w:tcW w:w="6570" w:type="dxa"/>
            <w:tcBorders>
              <w:top w:val="single" w:sz="4" w:space="0" w:color="auto"/>
              <w:left w:val="single" w:sz="4" w:space="0" w:color="auto"/>
              <w:bottom w:val="double" w:sz="6" w:space="0" w:color="auto"/>
              <w:right w:val="single" w:sz="4" w:space="0" w:color="auto"/>
            </w:tcBorders>
            <w:shd w:val="clear" w:color="auto" w:fill="EBF2F1" w:themeFill="accent2" w:themeFillTint="33"/>
            <w:noWrap/>
            <w:vAlign w:val="center"/>
            <w:hideMark/>
          </w:tcPr>
          <w:p w14:paraId="3B9E8360" w14:textId="719D42F4" w:rsidR="00516275" w:rsidRPr="00834149" w:rsidRDefault="002A6A06" w:rsidP="00A50430">
            <w:pPr>
              <w:rPr>
                <w:rFonts w:eastAsia="Times New Roman" w:cs="Times New Roman"/>
                <w:b/>
                <w:bCs/>
                <w:color w:val="000000"/>
              </w:rPr>
            </w:pPr>
            <w:r w:rsidRPr="00834149">
              <w:rPr>
                <w:rFonts w:eastAsia="Times New Roman" w:cs="Times New Roman"/>
                <w:b/>
                <w:bCs/>
                <w:color w:val="000000"/>
              </w:rPr>
              <w:t xml:space="preserve">Ongoing (FY17) and proposed Trust Fund </w:t>
            </w:r>
          </w:p>
        </w:tc>
      </w:tr>
      <w:tr w:rsidR="00032209" w:rsidRPr="00A50430" w14:paraId="531531BB" w14:textId="77777777" w:rsidTr="00AD689A">
        <w:trPr>
          <w:trHeight w:val="315"/>
        </w:trPr>
        <w:tc>
          <w:tcPr>
            <w:tcW w:w="1350" w:type="dxa"/>
            <w:vMerge w:val="restart"/>
            <w:tcBorders>
              <w:top w:val="double" w:sz="6" w:space="0" w:color="auto"/>
              <w:left w:val="single" w:sz="4" w:space="0" w:color="auto"/>
              <w:bottom w:val="single" w:sz="4" w:space="0" w:color="auto"/>
              <w:right w:val="nil"/>
            </w:tcBorders>
            <w:shd w:val="clear" w:color="auto" w:fill="F8F8F0" w:themeFill="background2" w:themeFillTint="33"/>
            <w:noWrap/>
            <w:hideMark/>
          </w:tcPr>
          <w:p w14:paraId="4625E0E4" w14:textId="630F1A3B" w:rsidR="002A6A06" w:rsidRPr="00834149" w:rsidRDefault="00092AC0" w:rsidP="00834149">
            <w:pPr>
              <w:shd w:val="clear" w:color="auto" w:fill="F8F8F0" w:themeFill="background2" w:themeFillTint="33"/>
              <w:jc w:val="center"/>
              <w:rPr>
                <w:rFonts w:eastAsia="Times New Roman" w:cs="Times New Roman"/>
                <w:bCs/>
                <w:color w:val="000000"/>
              </w:rPr>
            </w:pPr>
            <w:r w:rsidRPr="00834149">
              <w:rPr>
                <w:rFonts w:eastAsia="Times New Roman" w:cs="Times New Roman"/>
                <w:bCs/>
                <w:color w:val="000000"/>
              </w:rPr>
              <w:t>20</w:t>
            </w:r>
            <w:r w:rsidR="002A6A06" w:rsidRPr="00834149">
              <w:rPr>
                <w:rFonts w:eastAsia="Times New Roman" w:cs="Times New Roman"/>
                <w:bCs/>
                <w:color w:val="000000"/>
              </w:rPr>
              <w:t>17</w:t>
            </w:r>
          </w:p>
          <w:p w14:paraId="1905BD39" w14:textId="77777777" w:rsidR="002A6A06" w:rsidRPr="00834149" w:rsidRDefault="002A6A06" w:rsidP="00A50430">
            <w:pPr>
              <w:shd w:val="clear" w:color="auto" w:fill="F8F8F0" w:themeFill="background2" w:themeFillTint="33"/>
              <w:jc w:val="center"/>
              <w:rPr>
                <w:rFonts w:eastAsia="Times New Roman" w:cs="Times New Roman"/>
                <w:bCs/>
                <w:color w:val="000000"/>
              </w:rPr>
            </w:pPr>
          </w:p>
          <w:p w14:paraId="0C38E10B" w14:textId="77777777" w:rsidR="002A6A06" w:rsidRPr="00834149" w:rsidRDefault="002A6A06" w:rsidP="00A50430">
            <w:pPr>
              <w:shd w:val="clear" w:color="auto" w:fill="F8F8F0" w:themeFill="background2" w:themeFillTint="33"/>
              <w:jc w:val="center"/>
              <w:rPr>
                <w:rFonts w:eastAsia="Times New Roman" w:cs="Times New Roman"/>
                <w:bCs/>
                <w:color w:val="000000"/>
              </w:rPr>
            </w:pPr>
          </w:p>
          <w:p w14:paraId="05B2D8BF" w14:textId="77777777" w:rsidR="002A6A06" w:rsidRPr="00834149" w:rsidRDefault="002A6A06" w:rsidP="00A50430">
            <w:pPr>
              <w:shd w:val="clear" w:color="auto" w:fill="F8F8F0" w:themeFill="background2" w:themeFillTint="33"/>
              <w:jc w:val="center"/>
              <w:rPr>
                <w:rFonts w:eastAsia="Times New Roman" w:cs="Times New Roman"/>
                <w:bCs/>
                <w:color w:val="000000"/>
              </w:rPr>
            </w:pPr>
          </w:p>
          <w:p w14:paraId="222189D0" w14:textId="77777777" w:rsidR="00C16197" w:rsidRDefault="00C16197" w:rsidP="00A50430">
            <w:pPr>
              <w:shd w:val="clear" w:color="auto" w:fill="F8F8F0" w:themeFill="background2" w:themeFillTint="33"/>
              <w:jc w:val="center"/>
              <w:rPr>
                <w:rFonts w:eastAsia="Times New Roman" w:cs="Times New Roman"/>
                <w:bCs/>
                <w:color w:val="000000"/>
              </w:rPr>
            </w:pPr>
          </w:p>
          <w:p w14:paraId="2B80792F" w14:textId="77777777" w:rsidR="00591870" w:rsidRPr="00834149" w:rsidRDefault="00591870" w:rsidP="00A50430">
            <w:pPr>
              <w:shd w:val="clear" w:color="auto" w:fill="F8F8F0" w:themeFill="background2" w:themeFillTint="33"/>
              <w:jc w:val="center"/>
              <w:rPr>
                <w:rFonts w:eastAsia="Times New Roman" w:cs="Times New Roman"/>
                <w:bCs/>
                <w:color w:val="000000"/>
              </w:rPr>
            </w:pPr>
          </w:p>
          <w:p w14:paraId="12C4BDC9" w14:textId="0211AF24" w:rsidR="002A6A06" w:rsidRPr="00834149" w:rsidRDefault="00092AC0" w:rsidP="00A50430">
            <w:pPr>
              <w:shd w:val="clear" w:color="auto" w:fill="F8F8F0" w:themeFill="background2" w:themeFillTint="33"/>
              <w:jc w:val="center"/>
              <w:rPr>
                <w:rFonts w:eastAsia="Times New Roman" w:cs="Times New Roman"/>
                <w:bCs/>
                <w:color w:val="000000"/>
              </w:rPr>
            </w:pPr>
            <w:r w:rsidRPr="00834149">
              <w:rPr>
                <w:rFonts w:eastAsia="Times New Roman" w:cs="Times New Roman"/>
                <w:bCs/>
                <w:color w:val="000000"/>
              </w:rPr>
              <w:t>20</w:t>
            </w:r>
            <w:r w:rsidR="002A6A06" w:rsidRPr="00834149">
              <w:rPr>
                <w:rFonts w:eastAsia="Times New Roman" w:cs="Times New Roman"/>
                <w:bCs/>
                <w:color w:val="000000"/>
              </w:rPr>
              <w:t>18</w:t>
            </w:r>
            <w:r w:rsidR="00032209" w:rsidRPr="00834149">
              <w:rPr>
                <w:rFonts w:eastAsia="Times New Roman" w:cs="Times New Roman"/>
                <w:bCs/>
                <w:color w:val="000000"/>
              </w:rPr>
              <w:t>–</w:t>
            </w:r>
            <w:r w:rsidR="002A6A06" w:rsidRPr="00834149">
              <w:rPr>
                <w:rFonts w:eastAsia="Times New Roman" w:cs="Times New Roman"/>
                <w:bCs/>
                <w:color w:val="000000"/>
              </w:rPr>
              <w:t>20</w:t>
            </w:r>
          </w:p>
        </w:tc>
        <w:tc>
          <w:tcPr>
            <w:tcW w:w="6570" w:type="dxa"/>
            <w:tcBorders>
              <w:top w:val="nil"/>
              <w:left w:val="single" w:sz="4" w:space="0" w:color="auto"/>
              <w:bottom w:val="nil"/>
              <w:right w:val="single" w:sz="4" w:space="0" w:color="auto"/>
            </w:tcBorders>
            <w:shd w:val="clear" w:color="auto" w:fill="FFFFFF" w:themeFill="background1"/>
            <w:noWrap/>
            <w:vAlign w:val="bottom"/>
            <w:hideMark/>
          </w:tcPr>
          <w:p w14:paraId="48548235" w14:textId="59858718" w:rsidR="00C630BE" w:rsidRPr="00834149" w:rsidRDefault="00C630BE" w:rsidP="00A50430">
            <w:pPr>
              <w:rPr>
                <w:rFonts w:cs="Times New Roman"/>
              </w:rPr>
            </w:pPr>
            <w:r w:rsidRPr="00834149">
              <w:rPr>
                <w:rFonts w:cs="Times New Roman"/>
              </w:rPr>
              <w:t>Global Agriculture and Food Security Program</w:t>
            </w:r>
          </w:p>
          <w:p w14:paraId="20B17654" w14:textId="729C7996" w:rsidR="002A6A06" w:rsidRPr="00834149" w:rsidRDefault="002A6A06" w:rsidP="00A50430">
            <w:pPr>
              <w:rPr>
                <w:rFonts w:cs="Times New Roman"/>
              </w:rPr>
            </w:pPr>
            <w:r w:rsidRPr="00834149">
              <w:rPr>
                <w:rFonts w:cs="Times New Roman"/>
              </w:rPr>
              <w:t>Debt Management Facility (IMF-WB)</w:t>
            </w:r>
          </w:p>
        </w:tc>
      </w:tr>
      <w:tr w:rsidR="00032209" w:rsidRPr="00A50430" w14:paraId="242164FB" w14:textId="77777777" w:rsidTr="00AD689A">
        <w:trPr>
          <w:trHeight w:val="300"/>
        </w:trPr>
        <w:tc>
          <w:tcPr>
            <w:tcW w:w="1350" w:type="dxa"/>
            <w:vMerge/>
            <w:tcBorders>
              <w:left w:val="single" w:sz="4" w:space="0" w:color="auto"/>
              <w:bottom w:val="single" w:sz="4" w:space="0" w:color="auto"/>
              <w:right w:val="nil"/>
            </w:tcBorders>
            <w:shd w:val="clear" w:color="auto" w:fill="F8F8F0" w:themeFill="background2" w:themeFillTint="33"/>
            <w:noWrap/>
            <w:vAlign w:val="bottom"/>
          </w:tcPr>
          <w:p w14:paraId="6F21BC21" w14:textId="6D14029E" w:rsidR="002A6A06" w:rsidRPr="00834149" w:rsidRDefault="002A6A06" w:rsidP="00A50430">
            <w:pPr>
              <w:jc w:val="center"/>
              <w:rPr>
                <w:rFonts w:eastAsia="Times New Roman" w:cs="Times New Roman"/>
                <w:bCs/>
                <w:color w:val="000000"/>
              </w:rPr>
            </w:pPr>
          </w:p>
        </w:tc>
        <w:tc>
          <w:tcPr>
            <w:tcW w:w="6570" w:type="dxa"/>
            <w:tcBorders>
              <w:top w:val="nil"/>
              <w:left w:val="single" w:sz="4" w:space="0" w:color="auto"/>
              <w:bottom w:val="nil"/>
              <w:right w:val="single" w:sz="4" w:space="0" w:color="auto"/>
            </w:tcBorders>
            <w:shd w:val="clear" w:color="auto" w:fill="FFFFFF" w:themeFill="background1"/>
            <w:noWrap/>
            <w:hideMark/>
          </w:tcPr>
          <w:p w14:paraId="7C3B3F16" w14:textId="4F928121" w:rsidR="002A6A06" w:rsidRPr="00834149" w:rsidRDefault="002A6A06" w:rsidP="00A50430">
            <w:pPr>
              <w:rPr>
                <w:rFonts w:cs="Times New Roman"/>
              </w:rPr>
            </w:pPr>
            <w:r w:rsidRPr="00834149">
              <w:rPr>
                <w:rFonts w:cs="Times New Roman"/>
              </w:rPr>
              <w:t>Water S</w:t>
            </w:r>
            <w:r w:rsidR="00A11A89" w:rsidRPr="00834149">
              <w:rPr>
                <w:rFonts w:cs="Times New Roman"/>
              </w:rPr>
              <w:t>ector Partnership (WSP)</w:t>
            </w:r>
          </w:p>
          <w:p w14:paraId="07F02E00" w14:textId="013A9550" w:rsidR="002A6A06" w:rsidRPr="00834149" w:rsidRDefault="002A6A06" w:rsidP="00A50430">
            <w:pPr>
              <w:rPr>
                <w:rFonts w:eastAsia="Times New Roman" w:cs="Times New Roman"/>
                <w:color w:val="000000"/>
              </w:rPr>
            </w:pPr>
            <w:r w:rsidRPr="00834149">
              <w:rPr>
                <w:rFonts w:cs="Times New Roman"/>
              </w:rPr>
              <w:t>Public Partnership for Infrastructure Financing (PPIAF)</w:t>
            </w:r>
          </w:p>
        </w:tc>
      </w:tr>
      <w:tr w:rsidR="00032209" w:rsidRPr="00A50430" w14:paraId="06E6CED2" w14:textId="77777777" w:rsidTr="00AD689A">
        <w:trPr>
          <w:trHeight w:val="300"/>
        </w:trPr>
        <w:tc>
          <w:tcPr>
            <w:tcW w:w="1350" w:type="dxa"/>
            <w:vMerge/>
            <w:tcBorders>
              <w:left w:val="single" w:sz="4" w:space="0" w:color="auto"/>
              <w:bottom w:val="single" w:sz="4" w:space="0" w:color="auto"/>
              <w:right w:val="nil"/>
            </w:tcBorders>
            <w:shd w:val="clear" w:color="auto" w:fill="F8F8F0" w:themeFill="background2" w:themeFillTint="33"/>
            <w:noWrap/>
            <w:vAlign w:val="bottom"/>
          </w:tcPr>
          <w:p w14:paraId="302BC6C1" w14:textId="77777777" w:rsidR="002A6A06" w:rsidRPr="00834149" w:rsidRDefault="002A6A06" w:rsidP="00A50430">
            <w:pPr>
              <w:rPr>
                <w:rFonts w:eastAsia="Times New Roman" w:cs="Times New Roman"/>
                <w:bCs/>
                <w:color w:val="000000"/>
              </w:rPr>
            </w:pPr>
          </w:p>
        </w:tc>
        <w:tc>
          <w:tcPr>
            <w:tcW w:w="6570" w:type="dxa"/>
            <w:tcBorders>
              <w:top w:val="nil"/>
              <w:left w:val="single" w:sz="4" w:space="0" w:color="auto"/>
              <w:bottom w:val="nil"/>
              <w:right w:val="single" w:sz="4" w:space="0" w:color="auto"/>
            </w:tcBorders>
            <w:shd w:val="clear" w:color="auto" w:fill="FFFFFF" w:themeFill="background1"/>
            <w:noWrap/>
            <w:hideMark/>
          </w:tcPr>
          <w:p w14:paraId="036749B5" w14:textId="77777777" w:rsidR="00503259" w:rsidRPr="00834149" w:rsidRDefault="00503259" w:rsidP="00A50430">
            <w:pPr>
              <w:rPr>
                <w:rFonts w:cs="Times New Roman"/>
              </w:rPr>
            </w:pPr>
            <w:r w:rsidRPr="00834149">
              <w:rPr>
                <w:rFonts w:cs="Times New Roman"/>
              </w:rPr>
              <w:t>Global Program for Education</w:t>
            </w:r>
          </w:p>
          <w:p w14:paraId="330594D3" w14:textId="77777777" w:rsidR="00591870" w:rsidRDefault="00591870" w:rsidP="00A50430">
            <w:pPr>
              <w:rPr>
                <w:rFonts w:cs="Times New Roman"/>
              </w:rPr>
            </w:pPr>
            <w:r w:rsidRPr="00834149">
              <w:rPr>
                <w:rFonts w:cs="Times New Roman"/>
              </w:rPr>
              <w:t>Carbon Fund (REDD+)</w:t>
            </w:r>
          </w:p>
          <w:p w14:paraId="1A749E3A" w14:textId="782B2D94" w:rsidR="002A6A06" w:rsidRPr="00591870" w:rsidRDefault="00735AD5" w:rsidP="00A50430">
            <w:pPr>
              <w:rPr>
                <w:rFonts w:cs="Times New Roman"/>
              </w:rPr>
            </w:pPr>
            <w:r w:rsidRPr="00834149">
              <w:rPr>
                <w:rFonts w:cs="Times New Roman"/>
              </w:rPr>
              <w:t>Trust Fund for Statis</w:t>
            </w:r>
            <w:r w:rsidR="008E6690" w:rsidRPr="00834149">
              <w:rPr>
                <w:rFonts w:cs="Times New Roman"/>
              </w:rPr>
              <w:t>ti</w:t>
            </w:r>
            <w:r w:rsidRPr="00834149">
              <w:rPr>
                <w:rFonts w:cs="Times New Roman"/>
              </w:rPr>
              <w:t>cal Capacity Building</w:t>
            </w:r>
            <w:r w:rsidR="00264167" w:rsidRPr="00834149">
              <w:rPr>
                <w:rFonts w:cs="Times New Roman"/>
              </w:rPr>
              <w:t xml:space="preserve"> (INSEED and ANPE)</w:t>
            </w:r>
          </w:p>
        </w:tc>
      </w:tr>
      <w:tr w:rsidR="00032209" w:rsidRPr="00A50430" w14:paraId="4F8DF307" w14:textId="77777777" w:rsidTr="00AD689A">
        <w:trPr>
          <w:trHeight w:val="300"/>
        </w:trPr>
        <w:tc>
          <w:tcPr>
            <w:tcW w:w="1350" w:type="dxa"/>
            <w:vMerge/>
            <w:tcBorders>
              <w:left w:val="single" w:sz="4" w:space="0" w:color="auto"/>
              <w:bottom w:val="single" w:sz="4" w:space="0" w:color="auto"/>
              <w:right w:val="nil"/>
            </w:tcBorders>
            <w:shd w:val="clear" w:color="auto" w:fill="F8F8F0" w:themeFill="background2" w:themeFillTint="33"/>
            <w:noWrap/>
            <w:vAlign w:val="bottom"/>
          </w:tcPr>
          <w:p w14:paraId="5F990728" w14:textId="2C83498C" w:rsidR="002A6A06" w:rsidRPr="00834149" w:rsidRDefault="002A6A06" w:rsidP="00A50430">
            <w:pPr>
              <w:jc w:val="center"/>
              <w:rPr>
                <w:rFonts w:eastAsia="Times New Roman" w:cs="Times New Roman"/>
                <w:bCs/>
                <w:color w:val="000000"/>
              </w:rPr>
            </w:pPr>
          </w:p>
        </w:tc>
        <w:tc>
          <w:tcPr>
            <w:tcW w:w="6570" w:type="dxa"/>
            <w:tcBorders>
              <w:top w:val="nil"/>
              <w:left w:val="single" w:sz="4" w:space="0" w:color="auto"/>
              <w:right w:val="single" w:sz="4" w:space="0" w:color="auto"/>
            </w:tcBorders>
            <w:shd w:val="clear" w:color="auto" w:fill="FFFFFF" w:themeFill="background1"/>
            <w:noWrap/>
            <w:hideMark/>
          </w:tcPr>
          <w:p w14:paraId="044E6BE5" w14:textId="78772990" w:rsidR="002A6A06" w:rsidRPr="00834149" w:rsidRDefault="00290258" w:rsidP="00A50430">
            <w:pPr>
              <w:rPr>
                <w:rFonts w:cs="Times New Roman"/>
              </w:rPr>
            </w:pPr>
            <w:r w:rsidRPr="00834149">
              <w:rPr>
                <w:rFonts w:cs="Times New Roman"/>
              </w:rPr>
              <w:t>Green Climate Fund (Hydromet Project)</w:t>
            </w:r>
          </w:p>
        </w:tc>
      </w:tr>
      <w:tr w:rsidR="00032209" w:rsidRPr="00A50430" w14:paraId="0BDD7F83" w14:textId="77777777" w:rsidTr="00AD689A">
        <w:trPr>
          <w:trHeight w:val="300"/>
        </w:trPr>
        <w:tc>
          <w:tcPr>
            <w:tcW w:w="1350" w:type="dxa"/>
            <w:vMerge/>
            <w:tcBorders>
              <w:left w:val="single" w:sz="4" w:space="0" w:color="auto"/>
              <w:bottom w:val="single" w:sz="4" w:space="0" w:color="auto"/>
              <w:right w:val="nil"/>
            </w:tcBorders>
            <w:shd w:val="clear" w:color="auto" w:fill="F8F8F0" w:themeFill="background2" w:themeFillTint="33"/>
            <w:noWrap/>
            <w:vAlign w:val="bottom"/>
          </w:tcPr>
          <w:p w14:paraId="13B12E49" w14:textId="77777777" w:rsidR="00290258" w:rsidRPr="00834149" w:rsidRDefault="00290258" w:rsidP="00A50430">
            <w:pPr>
              <w:jc w:val="center"/>
              <w:rPr>
                <w:rFonts w:eastAsia="Times New Roman" w:cs="Times New Roman"/>
                <w:bCs/>
                <w:color w:val="000000"/>
              </w:rPr>
            </w:pPr>
          </w:p>
        </w:tc>
        <w:tc>
          <w:tcPr>
            <w:tcW w:w="6570" w:type="dxa"/>
            <w:tcBorders>
              <w:top w:val="nil"/>
              <w:left w:val="single" w:sz="4" w:space="0" w:color="auto"/>
              <w:bottom w:val="single" w:sz="4" w:space="0" w:color="auto"/>
              <w:right w:val="single" w:sz="4" w:space="0" w:color="auto"/>
            </w:tcBorders>
            <w:shd w:val="clear" w:color="auto" w:fill="FFFFFF" w:themeFill="background1"/>
            <w:noWrap/>
          </w:tcPr>
          <w:p w14:paraId="1FB2C870" w14:textId="77777777" w:rsidR="00290258" w:rsidRPr="00834149" w:rsidRDefault="00290258" w:rsidP="00A50430">
            <w:pPr>
              <w:rPr>
                <w:rFonts w:cs="Times New Roman"/>
              </w:rPr>
            </w:pPr>
            <w:r w:rsidRPr="00834149">
              <w:rPr>
                <w:rFonts w:cs="Times New Roman"/>
              </w:rPr>
              <w:t>Nordic Development Fund</w:t>
            </w:r>
          </w:p>
          <w:p w14:paraId="0F4958BA" w14:textId="28C0328D" w:rsidR="006805AE" w:rsidRPr="00834149" w:rsidRDefault="006805AE" w:rsidP="00A50430">
            <w:pPr>
              <w:rPr>
                <w:rFonts w:eastAsia="Times New Roman" w:cs="Times New Roman"/>
                <w:color w:val="000000"/>
              </w:rPr>
            </w:pPr>
            <w:r w:rsidRPr="00834149">
              <w:rPr>
                <w:rFonts w:cs="Times New Roman"/>
              </w:rPr>
              <w:t>State and Peace Building Fund</w:t>
            </w:r>
          </w:p>
        </w:tc>
      </w:tr>
    </w:tbl>
    <w:p w14:paraId="7C4553A7" w14:textId="3D271AD5" w:rsidR="00E602BE" w:rsidRPr="00834149" w:rsidRDefault="00E602BE" w:rsidP="00A50430">
      <w:pPr>
        <w:rPr>
          <w:rFonts w:eastAsiaTheme="majorEastAsia" w:cs="Times New Roman"/>
          <w:b/>
          <w:bCs/>
        </w:rPr>
      </w:pPr>
    </w:p>
    <w:p w14:paraId="64600B98" w14:textId="38ECCC81" w:rsidR="000F55FA" w:rsidRPr="00834149" w:rsidRDefault="000F55FA" w:rsidP="00A50430">
      <w:pPr>
        <w:rPr>
          <w:rFonts w:eastAsiaTheme="majorEastAsia" w:cs="Times New Roman"/>
          <w:b/>
          <w:bCs/>
          <w:smallCaps/>
        </w:rPr>
      </w:pPr>
      <w:r w:rsidRPr="00834149">
        <w:rPr>
          <w:rFonts w:eastAsiaTheme="majorEastAsia" w:cs="Times New Roman"/>
          <w:b/>
          <w:bCs/>
          <w:smallCaps/>
        </w:rPr>
        <w:t>Scaling up in-country support to implement the CPF program</w:t>
      </w:r>
    </w:p>
    <w:p w14:paraId="0F9C3B9E" w14:textId="77777777" w:rsidR="000F55FA" w:rsidRPr="00834149" w:rsidRDefault="000F55FA" w:rsidP="00A50430">
      <w:pPr>
        <w:rPr>
          <w:rFonts w:eastAsiaTheme="majorEastAsia" w:cs="Times New Roman"/>
          <w:b/>
          <w:bCs/>
        </w:rPr>
      </w:pPr>
    </w:p>
    <w:p w14:paraId="11AC7167" w14:textId="4379710E" w:rsidR="000F55FA" w:rsidRPr="00834149" w:rsidRDefault="000F55FA" w:rsidP="00A50430">
      <w:pPr>
        <w:pStyle w:val="Default"/>
        <w:numPr>
          <w:ilvl w:val="0"/>
          <w:numId w:val="2"/>
        </w:numPr>
        <w:ind w:left="0" w:firstLine="0"/>
        <w:jc w:val="both"/>
        <w:rPr>
          <w:rFonts w:asciiTheme="minorHAnsi" w:hAnsiTheme="minorHAnsi"/>
          <w:iCs/>
          <w:color w:val="auto"/>
          <w:sz w:val="22"/>
          <w:szCs w:val="22"/>
        </w:rPr>
      </w:pPr>
      <w:r w:rsidRPr="00834149">
        <w:rPr>
          <w:rFonts w:asciiTheme="minorHAnsi" w:hAnsiTheme="minorHAnsi"/>
          <w:b/>
          <w:iCs/>
          <w:color w:val="auto"/>
          <w:sz w:val="22"/>
          <w:szCs w:val="22"/>
        </w:rPr>
        <w:t xml:space="preserve">With the doubling of IDA resources for Togo under IDA18, the </w:t>
      </w:r>
      <w:r w:rsidR="006A6B5F" w:rsidRPr="00834149">
        <w:rPr>
          <w:rFonts w:asciiTheme="minorHAnsi" w:hAnsiTheme="minorHAnsi"/>
          <w:b/>
          <w:iCs/>
          <w:color w:val="auto"/>
          <w:sz w:val="22"/>
          <w:szCs w:val="22"/>
        </w:rPr>
        <w:t>WBG</w:t>
      </w:r>
      <w:r w:rsidRPr="00834149">
        <w:rPr>
          <w:rFonts w:asciiTheme="minorHAnsi" w:hAnsiTheme="minorHAnsi"/>
          <w:b/>
          <w:iCs/>
          <w:color w:val="auto"/>
          <w:sz w:val="22"/>
          <w:szCs w:val="22"/>
        </w:rPr>
        <w:t xml:space="preserve"> is committed to ensuring that adequate budgetary resources are provided for staffing on the ground to support the coordination and implementation of </w:t>
      </w:r>
      <w:r w:rsidR="006A6B5F" w:rsidRPr="00834149">
        <w:rPr>
          <w:rFonts w:asciiTheme="minorHAnsi" w:hAnsiTheme="minorHAnsi"/>
          <w:b/>
          <w:iCs/>
          <w:color w:val="auto"/>
          <w:sz w:val="22"/>
          <w:szCs w:val="22"/>
        </w:rPr>
        <w:t>WBG</w:t>
      </w:r>
      <w:r w:rsidRPr="00834149">
        <w:rPr>
          <w:rFonts w:asciiTheme="minorHAnsi" w:hAnsiTheme="minorHAnsi"/>
          <w:b/>
          <w:iCs/>
          <w:color w:val="auto"/>
          <w:sz w:val="22"/>
          <w:szCs w:val="22"/>
        </w:rPr>
        <w:t xml:space="preserve"> programs</w:t>
      </w:r>
      <w:r w:rsidRPr="00834149">
        <w:rPr>
          <w:rFonts w:asciiTheme="minorHAnsi" w:hAnsiTheme="minorHAnsi"/>
          <w:iCs/>
          <w:color w:val="auto"/>
          <w:sz w:val="22"/>
          <w:szCs w:val="22"/>
        </w:rPr>
        <w:t>. While the Togo country office has benefitted from having a dedicated country manager based in Lomé since 2010/11 to oversee a growing portfolio, a number of key functions have been carried out by staff in neighboring offices or are shared with other offices, including the financial management and communications specialist</w:t>
      </w:r>
      <w:r w:rsidR="006805AE" w:rsidRPr="00834149">
        <w:rPr>
          <w:rFonts w:asciiTheme="minorHAnsi" w:hAnsiTheme="minorHAnsi"/>
          <w:iCs/>
          <w:color w:val="auto"/>
          <w:sz w:val="22"/>
          <w:szCs w:val="22"/>
        </w:rPr>
        <w:t xml:space="preserve">s positions.  Despite task teams </w:t>
      </w:r>
      <w:r w:rsidRPr="00834149">
        <w:rPr>
          <w:rFonts w:asciiTheme="minorHAnsi" w:hAnsiTheme="minorHAnsi"/>
          <w:iCs/>
          <w:color w:val="auto"/>
          <w:sz w:val="22"/>
          <w:szCs w:val="22"/>
        </w:rPr>
        <w:t xml:space="preserve">fielding </w:t>
      </w:r>
      <w:r w:rsidR="006805AE" w:rsidRPr="00834149">
        <w:rPr>
          <w:rFonts w:asciiTheme="minorHAnsi" w:hAnsiTheme="minorHAnsi"/>
          <w:iCs/>
          <w:color w:val="auto"/>
          <w:sz w:val="22"/>
          <w:szCs w:val="22"/>
        </w:rPr>
        <w:t xml:space="preserve">adequate implementation support and </w:t>
      </w:r>
      <w:r w:rsidRPr="00834149">
        <w:rPr>
          <w:rFonts w:asciiTheme="minorHAnsi" w:hAnsiTheme="minorHAnsi"/>
          <w:iCs/>
          <w:color w:val="auto"/>
          <w:sz w:val="22"/>
          <w:szCs w:val="22"/>
        </w:rPr>
        <w:t xml:space="preserve">supervision missions, </w:t>
      </w:r>
      <w:r w:rsidR="006805AE" w:rsidRPr="00834149">
        <w:rPr>
          <w:rFonts w:asciiTheme="minorHAnsi" w:hAnsiTheme="minorHAnsi"/>
          <w:iCs/>
          <w:color w:val="auto"/>
          <w:sz w:val="22"/>
          <w:szCs w:val="22"/>
        </w:rPr>
        <w:t xml:space="preserve">the performance of </w:t>
      </w:r>
      <w:r w:rsidRPr="00834149">
        <w:rPr>
          <w:rFonts w:asciiTheme="minorHAnsi" w:hAnsiTheme="minorHAnsi"/>
          <w:iCs/>
          <w:color w:val="auto"/>
          <w:sz w:val="22"/>
          <w:szCs w:val="22"/>
        </w:rPr>
        <w:t>operations would benefit from having dedicated in-country</w:t>
      </w:r>
      <w:r w:rsidR="006805AE" w:rsidRPr="00834149">
        <w:rPr>
          <w:rFonts w:asciiTheme="minorHAnsi" w:hAnsiTheme="minorHAnsi"/>
          <w:iCs/>
          <w:color w:val="auto"/>
          <w:sz w:val="22"/>
          <w:szCs w:val="22"/>
        </w:rPr>
        <w:t xml:space="preserve"> staff presence</w:t>
      </w:r>
      <w:r w:rsidRPr="00834149">
        <w:rPr>
          <w:rFonts w:asciiTheme="minorHAnsi" w:hAnsiTheme="minorHAnsi"/>
          <w:iCs/>
          <w:color w:val="auto"/>
          <w:sz w:val="22"/>
          <w:szCs w:val="22"/>
        </w:rPr>
        <w:t xml:space="preserve">. </w:t>
      </w:r>
      <w:r w:rsidR="006805AE" w:rsidRPr="00834149">
        <w:rPr>
          <w:rFonts w:asciiTheme="minorHAnsi" w:hAnsiTheme="minorHAnsi"/>
          <w:iCs/>
          <w:color w:val="auto"/>
          <w:sz w:val="22"/>
          <w:szCs w:val="22"/>
        </w:rPr>
        <w:t>O</w:t>
      </w:r>
      <w:r w:rsidRPr="00834149">
        <w:rPr>
          <w:rFonts w:asciiTheme="minorHAnsi" w:hAnsiTheme="minorHAnsi"/>
          <w:iCs/>
          <w:color w:val="auto"/>
          <w:sz w:val="22"/>
          <w:szCs w:val="22"/>
        </w:rPr>
        <w:t xml:space="preserve">perations benefiting from local task team presence show more efficient and effective implementation of programs, with </w:t>
      </w:r>
      <w:r w:rsidR="006805AE" w:rsidRPr="00834149">
        <w:rPr>
          <w:rFonts w:asciiTheme="minorHAnsi" w:hAnsiTheme="minorHAnsi"/>
          <w:iCs/>
          <w:color w:val="auto"/>
          <w:sz w:val="22"/>
          <w:szCs w:val="22"/>
        </w:rPr>
        <w:t>implementation issues</w:t>
      </w:r>
      <w:r w:rsidRPr="00834149">
        <w:rPr>
          <w:rFonts w:asciiTheme="minorHAnsi" w:hAnsiTheme="minorHAnsi"/>
          <w:iCs/>
          <w:color w:val="auto"/>
          <w:sz w:val="22"/>
          <w:szCs w:val="22"/>
        </w:rPr>
        <w:t xml:space="preserve"> resolved more quickly when they occur. </w:t>
      </w:r>
      <w:r w:rsidR="006805AE" w:rsidRPr="00834149">
        <w:rPr>
          <w:rFonts w:asciiTheme="minorHAnsi" w:hAnsiTheme="minorHAnsi"/>
          <w:iCs/>
          <w:color w:val="auto"/>
          <w:sz w:val="22"/>
          <w:szCs w:val="22"/>
        </w:rPr>
        <w:t xml:space="preserve"> </w:t>
      </w:r>
      <w:r w:rsidRPr="00834149">
        <w:rPr>
          <w:rFonts w:asciiTheme="minorHAnsi" w:hAnsiTheme="minorHAnsi"/>
          <w:iCs/>
          <w:color w:val="auto"/>
          <w:sz w:val="22"/>
          <w:szCs w:val="22"/>
        </w:rPr>
        <w:t>Togo will benefit from additional in-country staff to deliver the CPF program beginning in FY18, including a dedicated operations officer, financial management officer, and energy and agriculture specialists.</w:t>
      </w:r>
      <w:r w:rsidR="003B6025" w:rsidRPr="00834149">
        <w:rPr>
          <w:rFonts w:asciiTheme="minorHAnsi" w:hAnsiTheme="minorHAnsi"/>
          <w:iCs/>
          <w:color w:val="auto"/>
          <w:sz w:val="22"/>
          <w:szCs w:val="22"/>
        </w:rPr>
        <w:t xml:space="preserve"> The operations officer and fiduciary team will play a critical role in intensifying portfolio monitoring and implementation support.</w:t>
      </w:r>
    </w:p>
    <w:p w14:paraId="1F8745DA" w14:textId="77777777" w:rsidR="000F55FA" w:rsidRPr="00834149" w:rsidRDefault="000F55FA" w:rsidP="00A50430">
      <w:pPr>
        <w:pStyle w:val="Default"/>
        <w:jc w:val="both"/>
        <w:rPr>
          <w:rFonts w:asciiTheme="minorHAnsi" w:hAnsiTheme="minorHAnsi"/>
          <w:iCs/>
          <w:sz w:val="22"/>
          <w:szCs w:val="22"/>
        </w:rPr>
      </w:pPr>
    </w:p>
    <w:p w14:paraId="3D0EB0E2" w14:textId="1BD30883" w:rsidR="003C7D92" w:rsidRDefault="000F55FA" w:rsidP="00834149">
      <w:pPr>
        <w:pStyle w:val="ListParagraph"/>
        <w:numPr>
          <w:ilvl w:val="0"/>
          <w:numId w:val="2"/>
        </w:numPr>
        <w:ind w:left="0" w:firstLine="0"/>
        <w:contextualSpacing w:val="0"/>
        <w:jc w:val="both"/>
        <w:rPr>
          <w:rFonts w:eastAsia="Times New Roman" w:cs="Times New Roman"/>
        </w:rPr>
      </w:pPr>
      <w:r w:rsidRPr="00834149">
        <w:rPr>
          <w:rFonts w:cs="Times New Roman"/>
          <w:b/>
        </w:rPr>
        <w:t>As a Fragile States, Togo meets the criteria for applicability of paragraph 12 of OP10</w:t>
      </w:r>
      <w:r w:rsidRPr="00834149">
        <w:rPr>
          <w:rFonts w:eastAsia="Times New Roman" w:cs="Times New Roman"/>
          <w:b/>
        </w:rPr>
        <w:t>.0</w:t>
      </w:r>
      <w:r w:rsidR="003C7D92" w:rsidRPr="00834149">
        <w:rPr>
          <w:rFonts w:eastAsia="Times New Roman" w:cs="Times New Roman"/>
          <w:b/>
        </w:rPr>
        <w:t xml:space="preserve"> of the new procurement framework</w:t>
      </w:r>
      <w:r w:rsidRPr="00834149">
        <w:rPr>
          <w:rFonts w:eastAsia="Times New Roman" w:cs="Times New Roman"/>
        </w:rPr>
        <w:t xml:space="preserve">. </w:t>
      </w:r>
      <w:r w:rsidR="003C7D92" w:rsidRPr="00834149">
        <w:rPr>
          <w:rFonts w:eastAsia="Times New Roman" w:cs="Times New Roman"/>
        </w:rPr>
        <w:t>This provision under</w:t>
      </w:r>
      <w:r w:rsidRPr="00834149">
        <w:rPr>
          <w:rFonts w:eastAsia="Times New Roman" w:cs="Times New Roman"/>
        </w:rPr>
        <w:t xml:space="preserve"> the </w:t>
      </w:r>
      <w:r w:rsidR="003C7D92" w:rsidRPr="00834149">
        <w:rPr>
          <w:rFonts w:eastAsia="Times New Roman" w:cs="Times New Roman"/>
        </w:rPr>
        <w:t>new p</w:t>
      </w:r>
      <w:r w:rsidRPr="00834149">
        <w:rPr>
          <w:rFonts w:eastAsia="Times New Roman" w:cs="Times New Roman"/>
        </w:rPr>
        <w:t xml:space="preserve">rocurement </w:t>
      </w:r>
      <w:r w:rsidR="003C7D92" w:rsidRPr="00834149">
        <w:rPr>
          <w:rFonts w:eastAsia="Times New Roman" w:cs="Times New Roman"/>
        </w:rPr>
        <w:t>f</w:t>
      </w:r>
      <w:r w:rsidRPr="00834149">
        <w:rPr>
          <w:rFonts w:eastAsia="Times New Roman" w:cs="Times New Roman"/>
        </w:rPr>
        <w:t>ramework allows the use of the Hand-on Expanded Implementation Support (HEIS). The IDA Economic Governance TA will finance the HEIS if requested by the Government.</w:t>
      </w:r>
    </w:p>
    <w:p w14:paraId="7F903E8C" w14:textId="77777777" w:rsidR="00B16804" w:rsidRPr="00E04042" w:rsidRDefault="00B16804" w:rsidP="00E04042">
      <w:pPr>
        <w:rPr>
          <w:rFonts w:eastAsia="Times New Roman" w:cs="Times New Roman"/>
        </w:rPr>
      </w:pPr>
    </w:p>
    <w:p w14:paraId="3D6C51F0" w14:textId="77777777" w:rsidR="00B16804" w:rsidRPr="00834149" w:rsidRDefault="00B16804" w:rsidP="00B16804">
      <w:pPr>
        <w:pStyle w:val="ListParagraph"/>
        <w:ind w:left="0"/>
        <w:contextualSpacing w:val="0"/>
        <w:jc w:val="both"/>
        <w:rPr>
          <w:rFonts w:eastAsia="Times New Roman" w:cs="Times New Roman"/>
        </w:rPr>
      </w:pPr>
    </w:p>
    <w:p w14:paraId="32D9E89D" w14:textId="4250417F" w:rsidR="00B67E33" w:rsidRPr="00834149" w:rsidRDefault="00F22954" w:rsidP="00834149">
      <w:pPr>
        <w:pStyle w:val="Heading3"/>
        <w:numPr>
          <w:ilvl w:val="2"/>
          <w:numId w:val="10"/>
        </w:numPr>
        <w:spacing w:before="0" w:line="240" w:lineRule="auto"/>
        <w:jc w:val="both"/>
        <w:rPr>
          <w:rFonts w:asciiTheme="minorHAnsi" w:hAnsiTheme="minorHAnsi" w:cs="Times New Roman"/>
        </w:rPr>
      </w:pPr>
      <w:bookmarkStart w:id="35" w:name="_Toc480207642"/>
      <w:r w:rsidRPr="00834149">
        <w:rPr>
          <w:rFonts w:asciiTheme="minorHAnsi" w:hAnsiTheme="minorHAnsi" w:cs="Times New Roman"/>
        </w:rPr>
        <w:t xml:space="preserve">Portfolio </w:t>
      </w:r>
      <w:r w:rsidR="00032209" w:rsidRPr="00834149">
        <w:rPr>
          <w:rFonts w:asciiTheme="minorHAnsi" w:hAnsiTheme="minorHAnsi" w:cs="Times New Roman"/>
        </w:rPr>
        <w:t>Status</w:t>
      </w:r>
      <w:r w:rsidRPr="00834149">
        <w:rPr>
          <w:rFonts w:asciiTheme="minorHAnsi" w:hAnsiTheme="minorHAnsi" w:cs="Times New Roman"/>
        </w:rPr>
        <w:t xml:space="preserve">, </w:t>
      </w:r>
      <w:r w:rsidR="00032209" w:rsidRPr="00834149">
        <w:rPr>
          <w:rFonts w:asciiTheme="minorHAnsi" w:hAnsiTheme="minorHAnsi" w:cs="Times New Roman"/>
        </w:rPr>
        <w:t>F</w:t>
      </w:r>
      <w:r w:rsidRPr="00834149">
        <w:rPr>
          <w:rFonts w:asciiTheme="minorHAnsi" w:hAnsiTheme="minorHAnsi" w:cs="Times New Roman"/>
        </w:rPr>
        <w:t xml:space="preserve">inancial </w:t>
      </w:r>
      <w:r w:rsidR="00032209" w:rsidRPr="00834149">
        <w:rPr>
          <w:rFonts w:asciiTheme="minorHAnsi" w:hAnsiTheme="minorHAnsi" w:cs="Times New Roman"/>
        </w:rPr>
        <w:t>M</w:t>
      </w:r>
      <w:r w:rsidRPr="00834149">
        <w:rPr>
          <w:rFonts w:asciiTheme="minorHAnsi" w:hAnsiTheme="minorHAnsi" w:cs="Times New Roman"/>
        </w:rPr>
        <w:t>anagement</w:t>
      </w:r>
      <w:r w:rsidR="00032209" w:rsidRPr="00834149">
        <w:rPr>
          <w:rFonts w:asciiTheme="minorHAnsi" w:hAnsiTheme="minorHAnsi" w:cs="Times New Roman"/>
        </w:rPr>
        <w:t>,</w:t>
      </w:r>
      <w:r w:rsidRPr="00834149">
        <w:rPr>
          <w:rFonts w:asciiTheme="minorHAnsi" w:hAnsiTheme="minorHAnsi" w:cs="Times New Roman"/>
        </w:rPr>
        <w:t xml:space="preserve"> and </w:t>
      </w:r>
      <w:r w:rsidR="00032209" w:rsidRPr="00834149">
        <w:rPr>
          <w:rFonts w:asciiTheme="minorHAnsi" w:hAnsiTheme="minorHAnsi" w:cs="Times New Roman"/>
        </w:rPr>
        <w:t>P</w:t>
      </w:r>
      <w:r w:rsidRPr="00834149">
        <w:rPr>
          <w:rFonts w:asciiTheme="minorHAnsi" w:hAnsiTheme="minorHAnsi" w:cs="Times New Roman"/>
        </w:rPr>
        <w:t>rocurement</w:t>
      </w:r>
      <w:bookmarkEnd w:id="35"/>
    </w:p>
    <w:p w14:paraId="314C83CF" w14:textId="3C46E4EF" w:rsidR="00B22F05" w:rsidRPr="00834149" w:rsidRDefault="00B22F05" w:rsidP="00A50430">
      <w:pPr>
        <w:autoSpaceDE w:val="0"/>
        <w:autoSpaceDN w:val="0"/>
        <w:adjustRightInd w:val="0"/>
        <w:jc w:val="both"/>
        <w:rPr>
          <w:rFonts w:cs="Times New Roman"/>
          <w:b/>
          <w:iCs/>
        </w:rPr>
      </w:pPr>
    </w:p>
    <w:p w14:paraId="218576F0" w14:textId="77777777" w:rsidR="006850A5" w:rsidRPr="00834149" w:rsidRDefault="00A147B6" w:rsidP="00834149">
      <w:pPr>
        <w:pStyle w:val="ListParagraph"/>
        <w:numPr>
          <w:ilvl w:val="0"/>
          <w:numId w:val="2"/>
        </w:numPr>
        <w:ind w:left="0" w:firstLine="0"/>
        <w:contextualSpacing w:val="0"/>
        <w:jc w:val="both"/>
        <w:rPr>
          <w:rFonts w:eastAsia="Times New Roman" w:cs="Times New Roman"/>
        </w:rPr>
      </w:pPr>
      <w:r w:rsidRPr="00834149">
        <w:rPr>
          <w:rFonts w:cs="Times New Roman"/>
          <w:b/>
          <w:iCs/>
        </w:rPr>
        <w:t xml:space="preserve">IDA portfolio </w:t>
      </w:r>
      <w:r w:rsidR="00032209" w:rsidRPr="00834149">
        <w:rPr>
          <w:rFonts w:cs="Times New Roman"/>
          <w:b/>
          <w:iCs/>
        </w:rPr>
        <w:t xml:space="preserve">performance has been </w:t>
      </w:r>
      <w:r w:rsidR="004A7B40" w:rsidRPr="00834149">
        <w:rPr>
          <w:rFonts w:cs="Times New Roman"/>
          <w:b/>
          <w:iCs/>
        </w:rPr>
        <w:t xml:space="preserve">broadly </w:t>
      </w:r>
      <w:r w:rsidR="00032209" w:rsidRPr="00834149">
        <w:rPr>
          <w:rFonts w:cs="Times New Roman"/>
          <w:b/>
          <w:iCs/>
        </w:rPr>
        <w:t>satisfactory</w:t>
      </w:r>
      <w:r w:rsidR="00032209" w:rsidRPr="00834149">
        <w:rPr>
          <w:rFonts w:cs="Times New Roman"/>
          <w:iCs/>
        </w:rPr>
        <w:t>.</w:t>
      </w:r>
      <w:r w:rsidR="00032209" w:rsidRPr="00834149">
        <w:rPr>
          <w:rFonts w:cs="Times New Roman"/>
          <w:b/>
          <w:iCs/>
        </w:rPr>
        <w:t xml:space="preserve"> </w:t>
      </w:r>
      <w:r w:rsidR="00C34C0C" w:rsidRPr="00834149">
        <w:rPr>
          <w:rFonts w:cs="Times New Roman"/>
        </w:rPr>
        <w:t>As of March 27, 2017, the Togo portfolio is composed of six active national projects with a total commitment of US$108.84 million, three active trust funds with a total commitment of US$25.35 million, and four regional projects with a total commitment of US$81 million. Together, these projects represent a total commitment of US$215.19 million</w:t>
      </w:r>
      <w:r w:rsidR="00722F26" w:rsidRPr="00834149">
        <w:rPr>
          <w:rFonts w:cs="Times New Roman"/>
        </w:rPr>
        <w:t>, with $113 million undisbursed</w:t>
      </w:r>
      <w:r w:rsidR="00C34C0C" w:rsidRPr="00834149">
        <w:rPr>
          <w:rFonts w:cs="Times New Roman"/>
        </w:rPr>
        <w:t>. Overall performance of the portfolio in terms of financial management compliance is deemed satisfactory for seven projects and moderately satisfactory for two projects. The portfolio has a high rate of compliance with the Bank’s financial reporting requirements through the timely submission of IFRs and audits reports of acceptable quality.</w:t>
      </w:r>
    </w:p>
    <w:p w14:paraId="62BB1BCB" w14:textId="0812222A" w:rsidR="008E6690" w:rsidRPr="00834149" w:rsidRDefault="008E6690" w:rsidP="00834149">
      <w:pPr>
        <w:pStyle w:val="ListParagraph"/>
        <w:ind w:left="0"/>
        <w:contextualSpacing w:val="0"/>
        <w:jc w:val="both"/>
        <w:rPr>
          <w:rFonts w:eastAsia="Times New Roman" w:cs="Times New Roman"/>
        </w:rPr>
      </w:pPr>
    </w:p>
    <w:p w14:paraId="6B450A11" w14:textId="5184E50B" w:rsidR="00442937" w:rsidRPr="00834149" w:rsidRDefault="00E46004" w:rsidP="00834149">
      <w:pPr>
        <w:pStyle w:val="ListParagraph"/>
        <w:numPr>
          <w:ilvl w:val="0"/>
          <w:numId w:val="2"/>
        </w:numPr>
        <w:ind w:left="0" w:firstLine="0"/>
        <w:contextualSpacing w:val="0"/>
        <w:jc w:val="both"/>
        <w:rPr>
          <w:rFonts w:eastAsia="Times New Roman" w:cs="Times New Roman"/>
        </w:rPr>
      </w:pPr>
      <w:r w:rsidRPr="00834149">
        <w:rPr>
          <w:rFonts w:cs="Times New Roman"/>
          <w:b/>
          <w:iCs/>
        </w:rPr>
        <w:lastRenderedPageBreak/>
        <w:t xml:space="preserve">During the last </w:t>
      </w:r>
      <w:r w:rsidR="000B3685" w:rsidRPr="00834149">
        <w:rPr>
          <w:rFonts w:cs="Times New Roman"/>
          <w:b/>
          <w:iCs/>
        </w:rPr>
        <w:t>three</w:t>
      </w:r>
      <w:r w:rsidRPr="00834149">
        <w:rPr>
          <w:rFonts w:cs="Times New Roman"/>
          <w:b/>
          <w:iCs/>
        </w:rPr>
        <w:t xml:space="preserve"> years, </w:t>
      </w:r>
      <w:r w:rsidR="000B3685" w:rsidRPr="00834149">
        <w:rPr>
          <w:rFonts w:cs="Times New Roman"/>
          <w:b/>
          <w:iCs/>
        </w:rPr>
        <w:t xml:space="preserve">the </w:t>
      </w:r>
      <w:r w:rsidRPr="00834149">
        <w:rPr>
          <w:rFonts w:cs="Times New Roman"/>
          <w:b/>
          <w:iCs/>
        </w:rPr>
        <w:t xml:space="preserve">Togo </w:t>
      </w:r>
      <w:r w:rsidR="000B3685" w:rsidRPr="00834149">
        <w:rPr>
          <w:rFonts w:cs="Times New Roman"/>
          <w:b/>
          <w:iCs/>
        </w:rPr>
        <w:t xml:space="preserve">portfolio </w:t>
      </w:r>
      <w:r w:rsidRPr="00834149">
        <w:rPr>
          <w:rFonts w:cs="Times New Roman"/>
          <w:b/>
          <w:iCs/>
        </w:rPr>
        <w:t>recorded</w:t>
      </w:r>
      <w:r w:rsidR="00CE1AE9" w:rsidRPr="00834149">
        <w:rPr>
          <w:rFonts w:cs="Times New Roman"/>
          <w:b/>
          <w:iCs/>
        </w:rPr>
        <w:t xml:space="preserve"> a</w:t>
      </w:r>
      <w:r w:rsidRPr="00834149">
        <w:rPr>
          <w:rFonts w:cs="Times New Roman"/>
          <w:b/>
          <w:iCs/>
        </w:rPr>
        <w:t xml:space="preserve"> high disbursement ratio</w:t>
      </w:r>
      <w:r w:rsidR="000B3685" w:rsidRPr="00834149">
        <w:rPr>
          <w:rFonts w:cs="Times New Roman"/>
          <w:iCs/>
        </w:rPr>
        <w:t>. Disbursement ratios were 34.9 percent in FY14, 30 percent in FY15, 40 percent in FY16, and 2</w:t>
      </w:r>
      <w:r w:rsidR="005345FA" w:rsidRPr="00834149">
        <w:rPr>
          <w:rFonts w:cs="Times New Roman"/>
          <w:iCs/>
        </w:rPr>
        <w:t>7</w:t>
      </w:r>
      <w:r w:rsidR="000B3685" w:rsidRPr="00834149">
        <w:rPr>
          <w:rFonts w:cs="Times New Roman"/>
          <w:iCs/>
        </w:rPr>
        <w:t xml:space="preserve"> percent for FY17 as of </w:t>
      </w:r>
      <w:r w:rsidR="005345FA" w:rsidRPr="00834149">
        <w:rPr>
          <w:rFonts w:cs="Times New Roman"/>
          <w:iCs/>
        </w:rPr>
        <w:t>March</w:t>
      </w:r>
      <w:r w:rsidR="000B3685" w:rsidRPr="00834149">
        <w:rPr>
          <w:rFonts w:cs="Times New Roman"/>
          <w:iCs/>
        </w:rPr>
        <w:t xml:space="preserve"> 31, 2017. </w:t>
      </w:r>
      <w:r w:rsidRPr="00834149">
        <w:rPr>
          <w:rFonts w:cs="Times New Roman"/>
          <w:iCs/>
        </w:rPr>
        <w:t>This performance is far above the objective set for the Africa region. The portfolio is in generally good health</w:t>
      </w:r>
      <w:r w:rsidR="000B3685" w:rsidRPr="00834149">
        <w:rPr>
          <w:rFonts w:cs="Times New Roman"/>
          <w:iCs/>
        </w:rPr>
        <w:t>,</w:t>
      </w:r>
      <w:r w:rsidRPr="00834149">
        <w:rPr>
          <w:rFonts w:cs="Times New Roman"/>
          <w:iCs/>
        </w:rPr>
        <w:t xml:space="preserve"> but one operation </w:t>
      </w:r>
      <w:r w:rsidR="000B3685" w:rsidRPr="00834149">
        <w:rPr>
          <w:rFonts w:cs="Times New Roman"/>
          <w:iCs/>
        </w:rPr>
        <w:t>is rated moderately unsatisfactory for development objectives/</w:t>
      </w:r>
      <w:r w:rsidR="00296F75" w:rsidRPr="00834149">
        <w:rPr>
          <w:rFonts w:cs="Times New Roman"/>
          <w:iCs/>
        </w:rPr>
        <w:t>implementation progress</w:t>
      </w:r>
      <w:r w:rsidR="000B3685" w:rsidRPr="00834149">
        <w:rPr>
          <w:rFonts w:cs="Times New Roman"/>
          <w:iCs/>
        </w:rPr>
        <w:t xml:space="preserve"> </w:t>
      </w:r>
      <w:r w:rsidRPr="00834149">
        <w:rPr>
          <w:rFonts w:cs="Times New Roman"/>
          <w:iCs/>
        </w:rPr>
        <w:t>(Global Partnership for Education Program</w:t>
      </w:r>
      <w:r w:rsidR="000B3685" w:rsidRPr="00834149">
        <w:rPr>
          <w:rFonts w:cs="Times New Roman"/>
          <w:iCs/>
        </w:rPr>
        <w:t>, closing September 2018</w:t>
      </w:r>
      <w:r w:rsidRPr="00834149">
        <w:rPr>
          <w:rFonts w:cs="Times New Roman"/>
          <w:iCs/>
        </w:rPr>
        <w:t>). Three projects will close during FY17. The proactivity index is 100</w:t>
      </w:r>
      <w:r w:rsidR="000B3685" w:rsidRPr="00834149">
        <w:rPr>
          <w:rFonts w:cs="Times New Roman"/>
          <w:iCs/>
        </w:rPr>
        <w:t xml:space="preserve"> percent. </w:t>
      </w:r>
    </w:p>
    <w:p w14:paraId="1CFCC522" w14:textId="77777777" w:rsidR="006850A5" w:rsidRPr="00834149" w:rsidRDefault="006850A5" w:rsidP="00834149">
      <w:pPr>
        <w:pStyle w:val="ListParagraph"/>
        <w:ind w:left="0"/>
        <w:contextualSpacing w:val="0"/>
        <w:jc w:val="both"/>
        <w:rPr>
          <w:rFonts w:eastAsia="Times New Roman" w:cs="Times New Roman"/>
        </w:rPr>
      </w:pPr>
    </w:p>
    <w:p w14:paraId="28237136" w14:textId="462FD32A" w:rsidR="006850A5" w:rsidRDefault="002C4EC5" w:rsidP="00834149">
      <w:pPr>
        <w:pStyle w:val="ListParagraph"/>
        <w:numPr>
          <w:ilvl w:val="0"/>
          <w:numId w:val="2"/>
        </w:numPr>
        <w:ind w:left="0" w:firstLine="0"/>
        <w:contextualSpacing w:val="0"/>
        <w:jc w:val="both"/>
        <w:rPr>
          <w:rFonts w:cs="Times New Roman"/>
          <w:bCs/>
          <w:lang w:eastAsia="fr-FR"/>
        </w:rPr>
      </w:pPr>
      <w:r w:rsidRPr="00834149">
        <w:rPr>
          <w:rFonts w:cs="Times New Roman"/>
          <w:b/>
        </w:rPr>
        <w:t xml:space="preserve">Despite </w:t>
      </w:r>
      <w:r w:rsidR="00296F75" w:rsidRPr="00834149">
        <w:rPr>
          <w:rFonts w:cs="Times New Roman"/>
          <w:b/>
        </w:rPr>
        <w:t xml:space="preserve">the Togo portfolio’s </w:t>
      </w:r>
      <w:r w:rsidRPr="00834149">
        <w:rPr>
          <w:rFonts w:cs="Times New Roman"/>
          <w:b/>
        </w:rPr>
        <w:t>healthy disbursement rate, d</w:t>
      </w:r>
      <w:r w:rsidR="00E46004" w:rsidRPr="00834149">
        <w:rPr>
          <w:rFonts w:cs="Times New Roman"/>
          <w:b/>
        </w:rPr>
        <w:t xml:space="preserve">elays in procurement represent a binding constraint to the timely and effective execution of </w:t>
      </w:r>
      <w:r w:rsidRPr="00834149">
        <w:rPr>
          <w:rFonts w:cs="Times New Roman"/>
          <w:b/>
        </w:rPr>
        <w:t xml:space="preserve">World Bank investment operations and </w:t>
      </w:r>
      <w:r w:rsidR="00E46004" w:rsidRPr="00834149">
        <w:rPr>
          <w:rFonts w:cs="Times New Roman"/>
          <w:b/>
        </w:rPr>
        <w:t>public investments</w:t>
      </w:r>
      <w:r w:rsidR="00E46004" w:rsidRPr="00834149">
        <w:rPr>
          <w:rFonts w:cs="Times New Roman"/>
        </w:rPr>
        <w:t xml:space="preserve">. Among the issues that contribute to delays </w:t>
      </w:r>
      <w:r w:rsidRPr="00834149">
        <w:rPr>
          <w:rFonts w:cs="Times New Roman"/>
        </w:rPr>
        <w:t>are</w:t>
      </w:r>
      <w:r w:rsidR="00E46004" w:rsidRPr="00834149">
        <w:rPr>
          <w:rFonts w:cs="Times New Roman"/>
        </w:rPr>
        <w:t>: limited use of multiyear contracts</w:t>
      </w:r>
      <w:r w:rsidR="00296F75" w:rsidRPr="00834149">
        <w:rPr>
          <w:rFonts w:cs="Times New Roman"/>
        </w:rPr>
        <w:t>,</w:t>
      </w:r>
      <w:r w:rsidR="00E46004" w:rsidRPr="00834149">
        <w:rPr>
          <w:rFonts w:cs="Times New Roman"/>
        </w:rPr>
        <w:t xml:space="preserve"> requiring contracts to be launched every year for the same services; an</w:t>
      </w:r>
      <w:r w:rsidR="00E46004" w:rsidRPr="00834149">
        <w:rPr>
          <w:rFonts w:cs="Times New Roman"/>
          <w:bCs/>
          <w:lang w:eastAsia="fr-FR"/>
        </w:rPr>
        <w:t xml:space="preserve"> overly restrictive application of the procurement code leading to requests for proposals being prepared and launched only after the availability of credits is confirmed; </w:t>
      </w:r>
      <w:r w:rsidR="00296F75" w:rsidRPr="00834149">
        <w:rPr>
          <w:rFonts w:cs="Times New Roman"/>
          <w:bCs/>
          <w:lang w:eastAsia="fr-FR"/>
        </w:rPr>
        <w:t>r</w:t>
      </w:r>
      <w:r w:rsidR="00E46004" w:rsidRPr="00834149">
        <w:rPr>
          <w:rFonts w:cs="Times New Roman"/>
          <w:bCs/>
          <w:lang w:eastAsia="fr-FR"/>
        </w:rPr>
        <w:t xml:space="preserve">equests for non-objections being regularly rejected by </w:t>
      </w:r>
      <w:r w:rsidR="00296F75" w:rsidRPr="00834149">
        <w:rPr>
          <w:rFonts w:cs="Times New Roman"/>
          <w:bCs/>
          <w:lang w:eastAsia="fr-FR"/>
        </w:rPr>
        <w:t xml:space="preserve">the </w:t>
      </w:r>
      <w:r w:rsidR="00E46004" w:rsidRPr="00834149">
        <w:rPr>
          <w:rFonts w:cs="Times New Roman"/>
          <w:bCs/>
          <w:lang w:eastAsia="fr-FR"/>
        </w:rPr>
        <w:t>National Procurement Commission due to their poor quality; delays in the tender and approval of bids for a variety of reasons; the extremely limited procurement capacities in ministries;</w:t>
      </w:r>
      <w:r w:rsidR="00296F75" w:rsidRPr="00834149">
        <w:rPr>
          <w:rFonts w:cs="Times New Roman"/>
          <w:bCs/>
          <w:lang w:eastAsia="fr-FR"/>
        </w:rPr>
        <w:t xml:space="preserve"> and</w:t>
      </w:r>
      <w:r w:rsidR="00E46004" w:rsidRPr="00834149">
        <w:rPr>
          <w:rFonts w:cs="Times New Roman"/>
          <w:bCs/>
          <w:lang w:eastAsia="fr-FR"/>
        </w:rPr>
        <w:t xml:space="preserve"> weak information and communications systems (to be rectified by the roll-out of SIGMAP).</w:t>
      </w:r>
      <w:r w:rsidRPr="00834149">
        <w:rPr>
          <w:rFonts w:cs="Times New Roman"/>
          <w:bCs/>
          <w:lang w:eastAsia="fr-FR"/>
        </w:rPr>
        <w:t xml:space="preserve"> In addition to providing direct support to </w:t>
      </w:r>
      <w:r w:rsidR="00736B5A" w:rsidRPr="00834149">
        <w:rPr>
          <w:rFonts w:cs="Times New Roman"/>
          <w:bCs/>
          <w:lang w:eastAsia="fr-FR"/>
        </w:rPr>
        <w:t>project implementation units (</w:t>
      </w:r>
      <w:r w:rsidRPr="00834149">
        <w:rPr>
          <w:rFonts w:cs="Times New Roman"/>
          <w:bCs/>
          <w:lang w:eastAsia="fr-FR"/>
        </w:rPr>
        <w:t>PIUs</w:t>
      </w:r>
      <w:r w:rsidR="00736B5A" w:rsidRPr="00834149">
        <w:rPr>
          <w:rFonts w:cs="Times New Roman"/>
          <w:bCs/>
          <w:lang w:eastAsia="fr-FR"/>
        </w:rPr>
        <w:t>)</w:t>
      </w:r>
      <w:r w:rsidRPr="00834149">
        <w:rPr>
          <w:rFonts w:cs="Times New Roman"/>
          <w:bCs/>
          <w:lang w:eastAsia="fr-FR"/>
        </w:rPr>
        <w:t xml:space="preserve"> to strengthen the capacity of procurement staff, the proposed Economic Governance TA will finance activities to professionalize procurement staff in the administration and address procurement bottlenecks.</w:t>
      </w:r>
    </w:p>
    <w:p w14:paraId="33C4C940" w14:textId="77777777" w:rsidR="006850A5" w:rsidRPr="00834149" w:rsidRDefault="006850A5" w:rsidP="00834149">
      <w:pPr>
        <w:pStyle w:val="ListParagraph"/>
        <w:ind w:left="0"/>
        <w:contextualSpacing w:val="0"/>
        <w:jc w:val="both"/>
        <w:rPr>
          <w:rFonts w:cs="Times New Roman"/>
          <w:bCs/>
          <w:lang w:eastAsia="fr-FR"/>
        </w:rPr>
      </w:pPr>
    </w:p>
    <w:p w14:paraId="4C3E16D1" w14:textId="4A73EAB4" w:rsidR="004779DB" w:rsidRPr="00834149" w:rsidRDefault="00296F75" w:rsidP="00834149">
      <w:pPr>
        <w:pStyle w:val="Default"/>
        <w:rPr>
          <w:rFonts w:asciiTheme="minorHAnsi" w:hAnsiTheme="minorHAnsi"/>
          <w:b/>
          <w:sz w:val="22"/>
          <w:szCs w:val="22"/>
        </w:rPr>
      </w:pPr>
      <w:r w:rsidRPr="00834149">
        <w:rPr>
          <w:rFonts w:asciiTheme="minorHAnsi" w:hAnsiTheme="minorHAnsi"/>
          <w:b/>
          <w:sz w:val="22"/>
          <w:szCs w:val="22"/>
        </w:rPr>
        <w:t xml:space="preserve">Table </w:t>
      </w:r>
      <w:r w:rsidR="00E3596C" w:rsidRPr="00834149">
        <w:rPr>
          <w:rFonts w:asciiTheme="minorHAnsi" w:hAnsiTheme="minorHAnsi"/>
          <w:b/>
          <w:sz w:val="22"/>
          <w:szCs w:val="22"/>
        </w:rPr>
        <w:t>6</w:t>
      </w:r>
      <w:r w:rsidRPr="00834149">
        <w:rPr>
          <w:rFonts w:asciiTheme="minorHAnsi" w:hAnsiTheme="minorHAnsi"/>
          <w:b/>
          <w:sz w:val="22"/>
          <w:szCs w:val="22"/>
        </w:rPr>
        <w:t xml:space="preserve">: </w:t>
      </w:r>
      <w:r w:rsidR="004779DB" w:rsidRPr="00834149">
        <w:rPr>
          <w:rFonts w:asciiTheme="minorHAnsi" w:hAnsiTheme="minorHAnsi"/>
          <w:b/>
          <w:sz w:val="22"/>
          <w:szCs w:val="22"/>
        </w:rPr>
        <w:t xml:space="preserve">Togo </w:t>
      </w:r>
      <w:r w:rsidR="007C6C42" w:rsidRPr="00834149">
        <w:rPr>
          <w:rFonts w:asciiTheme="minorHAnsi" w:hAnsiTheme="minorHAnsi"/>
          <w:b/>
          <w:sz w:val="22"/>
          <w:szCs w:val="22"/>
        </w:rPr>
        <w:t>O</w:t>
      </w:r>
      <w:r w:rsidR="004779DB" w:rsidRPr="00834149">
        <w:rPr>
          <w:rFonts w:asciiTheme="minorHAnsi" w:hAnsiTheme="minorHAnsi"/>
          <w:b/>
          <w:sz w:val="22"/>
          <w:szCs w:val="22"/>
        </w:rPr>
        <w:t xml:space="preserve">ngoing </w:t>
      </w:r>
      <w:r w:rsidR="007C6C42" w:rsidRPr="00834149">
        <w:rPr>
          <w:rFonts w:asciiTheme="minorHAnsi" w:hAnsiTheme="minorHAnsi"/>
          <w:b/>
          <w:sz w:val="22"/>
          <w:szCs w:val="22"/>
        </w:rPr>
        <w:t>P</w:t>
      </w:r>
      <w:r w:rsidR="004779DB" w:rsidRPr="00834149">
        <w:rPr>
          <w:rFonts w:asciiTheme="minorHAnsi" w:hAnsiTheme="minorHAnsi"/>
          <w:b/>
          <w:sz w:val="22"/>
          <w:szCs w:val="22"/>
        </w:rPr>
        <w:t xml:space="preserve">rogram </w:t>
      </w:r>
      <w:r w:rsidR="00E602BE" w:rsidRPr="00834149">
        <w:rPr>
          <w:rFonts w:asciiTheme="minorHAnsi" w:hAnsiTheme="minorHAnsi"/>
          <w:b/>
          <w:sz w:val="22"/>
          <w:szCs w:val="22"/>
        </w:rPr>
        <w:t xml:space="preserve">as of </w:t>
      </w:r>
      <w:r w:rsidR="000831C7" w:rsidRPr="00834149">
        <w:rPr>
          <w:rFonts w:asciiTheme="minorHAnsi" w:hAnsiTheme="minorHAnsi"/>
          <w:b/>
          <w:sz w:val="22"/>
          <w:szCs w:val="22"/>
        </w:rPr>
        <w:t>March 31</w:t>
      </w:r>
      <w:r w:rsidR="00E602BE" w:rsidRPr="00834149">
        <w:rPr>
          <w:rFonts w:asciiTheme="minorHAnsi" w:hAnsiTheme="minorHAnsi"/>
          <w:b/>
          <w:sz w:val="22"/>
          <w:szCs w:val="22"/>
        </w:rPr>
        <w:t>, 2017</w:t>
      </w:r>
    </w:p>
    <w:tbl>
      <w:tblPr>
        <w:tblStyle w:val="TableGrid"/>
        <w:tblW w:w="9356" w:type="dxa"/>
        <w:tblLayout w:type="fixed"/>
        <w:tblLook w:val="04A0" w:firstRow="1" w:lastRow="0" w:firstColumn="1" w:lastColumn="0" w:noHBand="0" w:noVBand="1"/>
      </w:tblPr>
      <w:tblGrid>
        <w:gridCol w:w="5845"/>
        <w:gridCol w:w="720"/>
        <w:gridCol w:w="900"/>
        <w:gridCol w:w="990"/>
        <w:gridCol w:w="901"/>
      </w:tblGrid>
      <w:tr w:rsidR="005B3DAD" w:rsidRPr="00A50430" w14:paraId="71007133" w14:textId="77777777" w:rsidTr="00834149">
        <w:tc>
          <w:tcPr>
            <w:tcW w:w="5845" w:type="dxa"/>
            <w:shd w:val="clear" w:color="auto" w:fill="D7E5E4" w:themeFill="accent2" w:themeFillTint="66"/>
          </w:tcPr>
          <w:p w14:paraId="2E7AF6D4" w14:textId="744BC182" w:rsidR="00C16197" w:rsidRPr="00834149" w:rsidRDefault="00C16197" w:rsidP="00834149">
            <w:pPr>
              <w:pStyle w:val="Default"/>
              <w:rPr>
                <w:rFonts w:asciiTheme="minorHAnsi" w:hAnsiTheme="minorHAnsi"/>
                <w:b/>
                <w:sz w:val="22"/>
                <w:szCs w:val="22"/>
              </w:rPr>
            </w:pPr>
            <w:r w:rsidRPr="00834149">
              <w:rPr>
                <w:rFonts w:asciiTheme="minorHAnsi" w:hAnsiTheme="minorHAnsi"/>
                <w:b/>
                <w:sz w:val="22"/>
                <w:szCs w:val="22"/>
              </w:rPr>
              <w:t>Project Name</w:t>
            </w:r>
          </w:p>
        </w:tc>
        <w:tc>
          <w:tcPr>
            <w:tcW w:w="720" w:type="dxa"/>
            <w:shd w:val="clear" w:color="auto" w:fill="D7E5E4" w:themeFill="accent2" w:themeFillTint="66"/>
          </w:tcPr>
          <w:p w14:paraId="3E5C0087" w14:textId="194B9BBA" w:rsidR="00C16197" w:rsidRPr="00834149" w:rsidRDefault="00C16197" w:rsidP="00834149">
            <w:pPr>
              <w:pStyle w:val="Default"/>
              <w:jc w:val="center"/>
              <w:rPr>
                <w:rFonts w:asciiTheme="minorHAnsi" w:hAnsiTheme="minorHAnsi"/>
                <w:b/>
                <w:sz w:val="22"/>
                <w:szCs w:val="22"/>
              </w:rPr>
            </w:pPr>
            <w:r w:rsidRPr="00834149">
              <w:rPr>
                <w:rFonts w:asciiTheme="minorHAnsi" w:hAnsiTheme="minorHAnsi"/>
                <w:b/>
                <w:sz w:val="22"/>
                <w:szCs w:val="22"/>
              </w:rPr>
              <w:t>Fiscal Year</w:t>
            </w:r>
          </w:p>
        </w:tc>
        <w:tc>
          <w:tcPr>
            <w:tcW w:w="900" w:type="dxa"/>
            <w:shd w:val="clear" w:color="auto" w:fill="D7E5E4" w:themeFill="accent2" w:themeFillTint="66"/>
          </w:tcPr>
          <w:p w14:paraId="6A8D08E4" w14:textId="34B54DED" w:rsidR="00C16197" w:rsidRPr="00834149" w:rsidRDefault="00C16197" w:rsidP="00834149">
            <w:pPr>
              <w:pStyle w:val="Default"/>
              <w:rPr>
                <w:rFonts w:asciiTheme="minorHAnsi" w:hAnsiTheme="minorHAnsi"/>
                <w:b/>
                <w:sz w:val="22"/>
                <w:szCs w:val="22"/>
              </w:rPr>
            </w:pPr>
            <w:r w:rsidRPr="00834149">
              <w:rPr>
                <w:rFonts w:asciiTheme="minorHAnsi" w:hAnsiTheme="minorHAnsi"/>
                <w:b/>
                <w:sz w:val="22"/>
                <w:szCs w:val="22"/>
              </w:rPr>
              <w:t>Credit</w:t>
            </w:r>
            <w:r w:rsidR="00A92A9A">
              <w:rPr>
                <w:rFonts w:asciiTheme="minorHAnsi" w:hAnsiTheme="minorHAnsi"/>
                <w:b/>
                <w:sz w:val="22"/>
                <w:szCs w:val="22"/>
              </w:rPr>
              <w:t xml:space="preserve"> (US$m)</w:t>
            </w:r>
          </w:p>
        </w:tc>
        <w:tc>
          <w:tcPr>
            <w:tcW w:w="990" w:type="dxa"/>
            <w:shd w:val="clear" w:color="auto" w:fill="D7E5E4" w:themeFill="accent2" w:themeFillTint="66"/>
          </w:tcPr>
          <w:p w14:paraId="3B44B505" w14:textId="77777777" w:rsidR="00C16197" w:rsidRDefault="00C16197" w:rsidP="00834149">
            <w:pPr>
              <w:pStyle w:val="Default"/>
              <w:rPr>
                <w:rFonts w:asciiTheme="minorHAnsi" w:hAnsiTheme="minorHAnsi"/>
                <w:b/>
                <w:sz w:val="22"/>
                <w:szCs w:val="22"/>
              </w:rPr>
            </w:pPr>
            <w:r w:rsidRPr="00834149">
              <w:rPr>
                <w:rFonts w:asciiTheme="minorHAnsi" w:hAnsiTheme="minorHAnsi"/>
                <w:b/>
                <w:sz w:val="22"/>
                <w:szCs w:val="22"/>
              </w:rPr>
              <w:t>Grant</w:t>
            </w:r>
          </w:p>
          <w:p w14:paraId="3F9B0877" w14:textId="55E14334" w:rsidR="00A92A9A" w:rsidRPr="00834149" w:rsidRDefault="00A92A9A" w:rsidP="00834149">
            <w:pPr>
              <w:pStyle w:val="Default"/>
              <w:rPr>
                <w:rFonts w:asciiTheme="minorHAnsi" w:hAnsiTheme="minorHAnsi"/>
                <w:b/>
                <w:sz w:val="22"/>
                <w:szCs w:val="22"/>
              </w:rPr>
            </w:pPr>
            <w:r>
              <w:rPr>
                <w:rFonts w:asciiTheme="minorHAnsi" w:hAnsiTheme="minorHAnsi"/>
                <w:b/>
                <w:sz w:val="22"/>
                <w:szCs w:val="22"/>
              </w:rPr>
              <w:t>(US$m)</w:t>
            </w:r>
          </w:p>
        </w:tc>
        <w:tc>
          <w:tcPr>
            <w:tcW w:w="901" w:type="dxa"/>
            <w:shd w:val="clear" w:color="auto" w:fill="D7E5E4" w:themeFill="accent2" w:themeFillTint="66"/>
          </w:tcPr>
          <w:p w14:paraId="3DDBF92F" w14:textId="77777777" w:rsidR="00C16197" w:rsidRDefault="00575188" w:rsidP="00834149">
            <w:pPr>
              <w:pStyle w:val="Default"/>
              <w:rPr>
                <w:rFonts w:asciiTheme="minorHAnsi" w:hAnsiTheme="minorHAnsi"/>
                <w:b/>
                <w:sz w:val="20"/>
                <w:szCs w:val="22"/>
              </w:rPr>
            </w:pPr>
            <w:r w:rsidRPr="00834149">
              <w:rPr>
                <w:rFonts w:asciiTheme="minorHAnsi" w:hAnsiTheme="minorHAnsi"/>
                <w:b/>
                <w:sz w:val="20"/>
                <w:szCs w:val="22"/>
              </w:rPr>
              <w:t>Balance</w:t>
            </w:r>
          </w:p>
          <w:p w14:paraId="39A09DD0" w14:textId="3AF34B01" w:rsidR="00A92A9A" w:rsidRPr="00834149" w:rsidRDefault="00A92A9A" w:rsidP="00834149">
            <w:pPr>
              <w:pStyle w:val="Default"/>
              <w:rPr>
                <w:rFonts w:asciiTheme="minorHAnsi" w:hAnsiTheme="minorHAnsi"/>
                <w:b/>
                <w:sz w:val="22"/>
                <w:szCs w:val="22"/>
              </w:rPr>
            </w:pPr>
            <w:r>
              <w:rPr>
                <w:rFonts w:asciiTheme="minorHAnsi" w:hAnsiTheme="minorHAnsi"/>
                <w:b/>
                <w:sz w:val="20"/>
                <w:szCs w:val="22"/>
              </w:rPr>
              <w:t>(US$m)</w:t>
            </w:r>
          </w:p>
        </w:tc>
      </w:tr>
      <w:tr w:rsidR="00C16197" w:rsidRPr="00A50430" w14:paraId="2315EF61" w14:textId="77777777" w:rsidTr="00834149">
        <w:tc>
          <w:tcPr>
            <w:tcW w:w="5845" w:type="dxa"/>
          </w:tcPr>
          <w:p w14:paraId="37433869" w14:textId="4A3FF61E" w:rsidR="00C16197" w:rsidRPr="00834149" w:rsidRDefault="00C16197" w:rsidP="00834149">
            <w:pPr>
              <w:pStyle w:val="Default"/>
              <w:rPr>
                <w:rFonts w:asciiTheme="minorHAnsi" w:hAnsiTheme="minorHAnsi"/>
                <w:b/>
                <w:sz w:val="22"/>
                <w:szCs w:val="22"/>
              </w:rPr>
            </w:pPr>
            <w:r w:rsidRPr="00834149">
              <w:rPr>
                <w:rFonts w:asciiTheme="minorHAnsi" w:hAnsiTheme="minorHAnsi"/>
                <w:b/>
                <w:sz w:val="22"/>
                <w:szCs w:val="22"/>
              </w:rPr>
              <w:t>Focus Area 1</w:t>
            </w:r>
            <w:r w:rsidR="005B3DAD" w:rsidRPr="00834149">
              <w:rPr>
                <w:rFonts w:asciiTheme="minorHAnsi" w:hAnsiTheme="minorHAnsi"/>
                <w:b/>
                <w:sz w:val="22"/>
                <w:szCs w:val="22"/>
              </w:rPr>
              <w:t>: Private Sector Performance and Job Creation</w:t>
            </w:r>
          </w:p>
          <w:p w14:paraId="7B427736" w14:textId="06C4FF17" w:rsidR="00C16197" w:rsidRPr="00834149" w:rsidRDefault="005B3DAD" w:rsidP="00834149">
            <w:pPr>
              <w:pStyle w:val="Default"/>
              <w:rPr>
                <w:rFonts w:asciiTheme="minorHAnsi" w:hAnsiTheme="minorHAnsi"/>
                <w:sz w:val="22"/>
                <w:szCs w:val="22"/>
              </w:rPr>
            </w:pPr>
            <w:r w:rsidRPr="00834149">
              <w:rPr>
                <w:rFonts w:asciiTheme="minorHAnsi" w:hAnsiTheme="minorHAnsi"/>
                <w:sz w:val="22"/>
                <w:szCs w:val="22"/>
              </w:rPr>
              <w:t xml:space="preserve">1. </w:t>
            </w:r>
            <w:r w:rsidR="00C16197" w:rsidRPr="00834149">
              <w:rPr>
                <w:rFonts w:asciiTheme="minorHAnsi" w:hAnsiTheme="minorHAnsi"/>
                <w:sz w:val="22"/>
                <w:szCs w:val="22"/>
              </w:rPr>
              <w:t>Agriculture Sector Support Project</w:t>
            </w:r>
            <w:r w:rsidR="00280F7D" w:rsidRPr="00834149">
              <w:rPr>
                <w:rFonts w:asciiTheme="minorHAnsi" w:hAnsiTheme="minorHAnsi"/>
                <w:sz w:val="22"/>
                <w:szCs w:val="22"/>
              </w:rPr>
              <w:t xml:space="preserve"> (IDA and TF)</w:t>
            </w:r>
          </w:p>
          <w:p w14:paraId="40B0D660" w14:textId="6D3C6A2E" w:rsidR="00C16197" w:rsidRPr="00834149" w:rsidRDefault="005B3DAD" w:rsidP="00834149">
            <w:pPr>
              <w:pStyle w:val="Default"/>
              <w:rPr>
                <w:rFonts w:asciiTheme="minorHAnsi" w:hAnsiTheme="minorHAnsi"/>
                <w:sz w:val="22"/>
                <w:szCs w:val="22"/>
              </w:rPr>
            </w:pPr>
            <w:r w:rsidRPr="00834149">
              <w:rPr>
                <w:rFonts w:asciiTheme="minorHAnsi" w:hAnsiTheme="minorHAnsi"/>
                <w:sz w:val="22"/>
                <w:szCs w:val="22"/>
              </w:rPr>
              <w:t xml:space="preserve">2. </w:t>
            </w:r>
            <w:r w:rsidR="00C16197" w:rsidRPr="00834149">
              <w:rPr>
                <w:rFonts w:asciiTheme="minorHAnsi" w:hAnsiTheme="minorHAnsi"/>
                <w:sz w:val="22"/>
                <w:szCs w:val="22"/>
              </w:rPr>
              <w:t>Mining Governance and Development</w:t>
            </w:r>
            <w:r w:rsidR="00575188" w:rsidRPr="00834149">
              <w:rPr>
                <w:rFonts w:asciiTheme="minorHAnsi" w:hAnsiTheme="minorHAnsi"/>
                <w:sz w:val="22"/>
                <w:szCs w:val="22"/>
              </w:rPr>
              <w:t xml:space="preserve"> (IDA)</w:t>
            </w:r>
          </w:p>
          <w:p w14:paraId="2252F630" w14:textId="41C24E56" w:rsidR="00280F7D" w:rsidRPr="00834149" w:rsidRDefault="005B3DAD" w:rsidP="00834149">
            <w:pPr>
              <w:pStyle w:val="Default"/>
              <w:rPr>
                <w:rFonts w:asciiTheme="minorHAnsi" w:hAnsiTheme="minorHAnsi"/>
                <w:sz w:val="22"/>
                <w:szCs w:val="22"/>
              </w:rPr>
            </w:pPr>
            <w:r w:rsidRPr="00834149">
              <w:rPr>
                <w:rFonts w:asciiTheme="minorHAnsi" w:hAnsiTheme="minorHAnsi"/>
                <w:sz w:val="22"/>
                <w:szCs w:val="22"/>
              </w:rPr>
              <w:t xml:space="preserve">3. </w:t>
            </w:r>
            <w:r w:rsidR="00280F7D" w:rsidRPr="00834149">
              <w:rPr>
                <w:rFonts w:asciiTheme="minorHAnsi" w:hAnsiTheme="minorHAnsi"/>
                <w:sz w:val="22"/>
                <w:szCs w:val="22"/>
              </w:rPr>
              <w:t>West African Regional Communications Infrastructure</w:t>
            </w:r>
            <w:r w:rsidR="00575188" w:rsidRPr="00834149">
              <w:rPr>
                <w:rFonts w:asciiTheme="minorHAnsi" w:hAnsiTheme="minorHAnsi"/>
                <w:sz w:val="22"/>
                <w:szCs w:val="22"/>
              </w:rPr>
              <w:t xml:space="preserve"> (IDA)</w:t>
            </w:r>
          </w:p>
          <w:p w14:paraId="390399C1" w14:textId="186D6581" w:rsidR="005B3DAD" w:rsidRPr="00834149" w:rsidRDefault="005B3DAD" w:rsidP="00834149">
            <w:pPr>
              <w:pStyle w:val="Default"/>
              <w:rPr>
                <w:rFonts w:asciiTheme="minorHAnsi" w:hAnsiTheme="minorHAnsi"/>
                <w:sz w:val="22"/>
                <w:szCs w:val="22"/>
              </w:rPr>
            </w:pPr>
            <w:r w:rsidRPr="00834149">
              <w:rPr>
                <w:rFonts w:asciiTheme="minorHAnsi" w:hAnsiTheme="minorHAnsi"/>
                <w:sz w:val="22"/>
                <w:szCs w:val="22"/>
              </w:rPr>
              <w:t>4. West African Agricultural Productivity AF</w:t>
            </w:r>
            <w:r w:rsidR="00575188" w:rsidRPr="00834149">
              <w:rPr>
                <w:rFonts w:asciiTheme="minorHAnsi" w:hAnsiTheme="minorHAnsi"/>
                <w:sz w:val="22"/>
                <w:szCs w:val="22"/>
              </w:rPr>
              <w:t xml:space="preserve"> (IDA)</w:t>
            </w:r>
          </w:p>
        </w:tc>
        <w:tc>
          <w:tcPr>
            <w:tcW w:w="720" w:type="dxa"/>
          </w:tcPr>
          <w:p w14:paraId="6D5A5ADD" w14:textId="77777777" w:rsidR="00C16197" w:rsidRPr="00834149" w:rsidRDefault="00C16197" w:rsidP="00834149">
            <w:pPr>
              <w:pStyle w:val="Default"/>
              <w:jc w:val="center"/>
              <w:rPr>
                <w:rFonts w:asciiTheme="minorHAnsi" w:hAnsiTheme="minorHAnsi"/>
                <w:sz w:val="22"/>
                <w:szCs w:val="22"/>
              </w:rPr>
            </w:pPr>
          </w:p>
          <w:p w14:paraId="5B21F60D" w14:textId="77777777" w:rsidR="00280F7D" w:rsidRPr="00834149" w:rsidRDefault="00280F7D" w:rsidP="00834149">
            <w:pPr>
              <w:pStyle w:val="Default"/>
              <w:jc w:val="center"/>
              <w:rPr>
                <w:rFonts w:asciiTheme="minorHAnsi" w:hAnsiTheme="minorHAnsi"/>
                <w:sz w:val="22"/>
                <w:szCs w:val="22"/>
              </w:rPr>
            </w:pPr>
            <w:r w:rsidRPr="00834149">
              <w:rPr>
                <w:rFonts w:asciiTheme="minorHAnsi" w:hAnsiTheme="minorHAnsi"/>
                <w:sz w:val="22"/>
                <w:szCs w:val="22"/>
              </w:rPr>
              <w:t>2011</w:t>
            </w:r>
          </w:p>
          <w:p w14:paraId="48595E5B" w14:textId="77777777" w:rsidR="00280F7D" w:rsidRPr="00834149" w:rsidRDefault="00280F7D" w:rsidP="00834149">
            <w:pPr>
              <w:pStyle w:val="Default"/>
              <w:jc w:val="center"/>
              <w:rPr>
                <w:rFonts w:asciiTheme="minorHAnsi" w:hAnsiTheme="minorHAnsi"/>
                <w:sz w:val="22"/>
                <w:szCs w:val="22"/>
              </w:rPr>
            </w:pPr>
            <w:r w:rsidRPr="00834149">
              <w:rPr>
                <w:rFonts w:asciiTheme="minorHAnsi" w:hAnsiTheme="minorHAnsi"/>
                <w:sz w:val="22"/>
                <w:szCs w:val="22"/>
              </w:rPr>
              <w:t>2015</w:t>
            </w:r>
          </w:p>
          <w:p w14:paraId="26192D9B" w14:textId="77777777" w:rsidR="00280F7D" w:rsidRPr="00834149" w:rsidRDefault="00280F7D" w:rsidP="00834149">
            <w:pPr>
              <w:pStyle w:val="Default"/>
              <w:jc w:val="center"/>
              <w:rPr>
                <w:rFonts w:asciiTheme="minorHAnsi" w:hAnsiTheme="minorHAnsi"/>
                <w:sz w:val="22"/>
                <w:szCs w:val="22"/>
              </w:rPr>
            </w:pPr>
            <w:r w:rsidRPr="00834149">
              <w:rPr>
                <w:rFonts w:asciiTheme="minorHAnsi" w:hAnsiTheme="minorHAnsi"/>
                <w:sz w:val="22"/>
                <w:szCs w:val="22"/>
              </w:rPr>
              <w:t>2013</w:t>
            </w:r>
          </w:p>
          <w:p w14:paraId="5A2E4E10" w14:textId="2EF768CE" w:rsidR="005B3DAD" w:rsidRPr="00834149" w:rsidRDefault="005B3DAD" w:rsidP="00834149">
            <w:pPr>
              <w:pStyle w:val="Default"/>
              <w:jc w:val="center"/>
              <w:rPr>
                <w:rFonts w:asciiTheme="minorHAnsi" w:hAnsiTheme="minorHAnsi"/>
                <w:sz w:val="22"/>
                <w:szCs w:val="22"/>
              </w:rPr>
            </w:pPr>
            <w:r w:rsidRPr="00834149">
              <w:rPr>
                <w:rFonts w:asciiTheme="minorHAnsi" w:hAnsiTheme="minorHAnsi"/>
                <w:sz w:val="22"/>
                <w:szCs w:val="22"/>
              </w:rPr>
              <w:t>2017</w:t>
            </w:r>
          </w:p>
        </w:tc>
        <w:tc>
          <w:tcPr>
            <w:tcW w:w="900" w:type="dxa"/>
          </w:tcPr>
          <w:p w14:paraId="19B515D0" w14:textId="77777777" w:rsidR="00C16197" w:rsidRPr="00834149" w:rsidRDefault="00C16197" w:rsidP="00834149">
            <w:pPr>
              <w:pStyle w:val="Default"/>
              <w:jc w:val="right"/>
              <w:rPr>
                <w:rFonts w:asciiTheme="minorHAnsi" w:hAnsiTheme="minorHAnsi"/>
                <w:sz w:val="22"/>
                <w:szCs w:val="22"/>
              </w:rPr>
            </w:pPr>
          </w:p>
          <w:p w14:paraId="78F406FA" w14:textId="77777777"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9</w:t>
            </w:r>
          </w:p>
          <w:p w14:paraId="4F50C600" w14:textId="77777777"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15</w:t>
            </w:r>
          </w:p>
          <w:p w14:paraId="647C63FA" w14:textId="77777777"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30</w:t>
            </w:r>
          </w:p>
          <w:p w14:paraId="3D75AA8F" w14:textId="1314500E" w:rsidR="005B3DAD" w:rsidRPr="00834149" w:rsidRDefault="005B3DAD" w:rsidP="00834149">
            <w:pPr>
              <w:pStyle w:val="Default"/>
              <w:jc w:val="right"/>
              <w:rPr>
                <w:rFonts w:asciiTheme="minorHAnsi" w:hAnsiTheme="minorHAnsi"/>
                <w:sz w:val="22"/>
                <w:szCs w:val="22"/>
              </w:rPr>
            </w:pPr>
            <w:r w:rsidRPr="00834149">
              <w:rPr>
                <w:rFonts w:asciiTheme="minorHAnsi" w:hAnsiTheme="minorHAnsi"/>
                <w:sz w:val="22"/>
                <w:szCs w:val="22"/>
              </w:rPr>
              <w:t>10</w:t>
            </w:r>
          </w:p>
        </w:tc>
        <w:tc>
          <w:tcPr>
            <w:tcW w:w="990" w:type="dxa"/>
          </w:tcPr>
          <w:p w14:paraId="54BDFAE1" w14:textId="77777777" w:rsidR="00C16197" w:rsidRPr="00834149" w:rsidRDefault="00C16197" w:rsidP="00834149">
            <w:pPr>
              <w:pStyle w:val="Default"/>
              <w:jc w:val="right"/>
              <w:rPr>
                <w:rFonts w:asciiTheme="minorHAnsi" w:hAnsiTheme="minorHAnsi"/>
                <w:sz w:val="22"/>
                <w:szCs w:val="22"/>
              </w:rPr>
            </w:pPr>
          </w:p>
          <w:p w14:paraId="174E7C75" w14:textId="77777777"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19</w:t>
            </w:r>
          </w:p>
          <w:p w14:paraId="661CF542" w14:textId="77777777" w:rsidR="00280F7D" w:rsidRPr="00834149" w:rsidRDefault="00280F7D" w:rsidP="00834149">
            <w:pPr>
              <w:pStyle w:val="Default"/>
              <w:jc w:val="right"/>
              <w:rPr>
                <w:rFonts w:asciiTheme="minorHAnsi" w:hAnsiTheme="minorHAnsi"/>
                <w:sz w:val="22"/>
                <w:szCs w:val="22"/>
              </w:rPr>
            </w:pPr>
          </w:p>
        </w:tc>
        <w:tc>
          <w:tcPr>
            <w:tcW w:w="901" w:type="dxa"/>
          </w:tcPr>
          <w:p w14:paraId="34A253C7" w14:textId="77777777" w:rsidR="00C16197" w:rsidRPr="00834149" w:rsidRDefault="00C16197" w:rsidP="00834149">
            <w:pPr>
              <w:pStyle w:val="Default"/>
              <w:jc w:val="right"/>
              <w:rPr>
                <w:rFonts w:asciiTheme="minorHAnsi" w:hAnsiTheme="minorHAnsi"/>
                <w:sz w:val="22"/>
                <w:szCs w:val="22"/>
              </w:rPr>
            </w:pPr>
          </w:p>
          <w:p w14:paraId="294599F6" w14:textId="7DFA50C5"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1</w:t>
            </w:r>
            <w:r w:rsidR="005B3DAD" w:rsidRPr="00834149">
              <w:rPr>
                <w:rFonts w:asciiTheme="minorHAnsi" w:hAnsiTheme="minorHAnsi"/>
                <w:sz w:val="22"/>
                <w:szCs w:val="22"/>
              </w:rPr>
              <w:t>.7</w:t>
            </w:r>
          </w:p>
          <w:p w14:paraId="77FDE7EA" w14:textId="77777777"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12.5</w:t>
            </w:r>
          </w:p>
          <w:p w14:paraId="42020F29" w14:textId="5AB2DE45"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24</w:t>
            </w:r>
            <w:r w:rsidR="005B3DAD" w:rsidRPr="00834149">
              <w:rPr>
                <w:rFonts w:asciiTheme="minorHAnsi" w:hAnsiTheme="minorHAnsi"/>
                <w:sz w:val="22"/>
                <w:szCs w:val="22"/>
              </w:rPr>
              <w:t>.6</w:t>
            </w:r>
          </w:p>
          <w:p w14:paraId="7FF9BF7D" w14:textId="640C77E0" w:rsidR="005B3DAD" w:rsidRPr="00834149" w:rsidRDefault="005B3DAD" w:rsidP="00834149">
            <w:pPr>
              <w:pStyle w:val="Default"/>
              <w:jc w:val="right"/>
              <w:rPr>
                <w:rFonts w:asciiTheme="minorHAnsi" w:hAnsiTheme="minorHAnsi"/>
                <w:sz w:val="22"/>
                <w:szCs w:val="22"/>
              </w:rPr>
            </w:pPr>
            <w:r w:rsidRPr="00834149">
              <w:rPr>
                <w:rFonts w:asciiTheme="minorHAnsi" w:hAnsiTheme="minorHAnsi"/>
                <w:sz w:val="22"/>
                <w:szCs w:val="22"/>
              </w:rPr>
              <w:t>10</w:t>
            </w:r>
          </w:p>
        </w:tc>
      </w:tr>
      <w:tr w:rsidR="00C16197" w:rsidRPr="00A50430" w14:paraId="46C7C2E3" w14:textId="77777777" w:rsidTr="00834149">
        <w:tc>
          <w:tcPr>
            <w:tcW w:w="5845" w:type="dxa"/>
          </w:tcPr>
          <w:p w14:paraId="258014E5" w14:textId="269CD200" w:rsidR="00C16197" w:rsidRPr="00834149" w:rsidRDefault="00C16197" w:rsidP="00834149">
            <w:pPr>
              <w:pStyle w:val="Default"/>
              <w:rPr>
                <w:rFonts w:asciiTheme="minorHAnsi" w:hAnsiTheme="minorHAnsi"/>
                <w:b/>
                <w:sz w:val="22"/>
                <w:szCs w:val="22"/>
              </w:rPr>
            </w:pPr>
            <w:r w:rsidRPr="00834149">
              <w:rPr>
                <w:rFonts w:asciiTheme="minorHAnsi" w:hAnsiTheme="minorHAnsi"/>
                <w:b/>
                <w:sz w:val="22"/>
                <w:szCs w:val="22"/>
              </w:rPr>
              <w:t>Focus Area 2</w:t>
            </w:r>
            <w:r w:rsidR="005B3DAD" w:rsidRPr="00834149">
              <w:rPr>
                <w:rFonts w:asciiTheme="minorHAnsi" w:hAnsiTheme="minorHAnsi"/>
                <w:b/>
                <w:sz w:val="22"/>
                <w:szCs w:val="22"/>
              </w:rPr>
              <w:t>: Inclusive Public Service Delivery</w:t>
            </w:r>
          </w:p>
          <w:p w14:paraId="67A9FA4B" w14:textId="4C5BD4A0" w:rsidR="00C16197" w:rsidRPr="00834149" w:rsidRDefault="005B3DAD" w:rsidP="00834149">
            <w:pPr>
              <w:pStyle w:val="Default"/>
              <w:rPr>
                <w:rFonts w:asciiTheme="minorHAnsi" w:hAnsiTheme="minorHAnsi"/>
                <w:sz w:val="22"/>
                <w:szCs w:val="22"/>
              </w:rPr>
            </w:pPr>
            <w:r w:rsidRPr="00834149">
              <w:rPr>
                <w:rFonts w:asciiTheme="minorHAnsi" w:hAnsiTheme="minorHAnsi"/>
                <w:sz w:val="22"/>
                <w:szCs w:val="22"/>
              </w:rPr>
              <w:t xml:space="preserve">5. </w:t>
            </w:r>
            <w:r w:rsidR="00C16197" w:rsidRPr="00834149">
              <w:rPr>
                <w:rFonts w:asciiTheme="minorHAnsi" w:hAnsiTheme="minorHAnsi"/>
                <w:sz w:val="22"/>
                <w:szCs w:val="22"/>
              </w:rPr>
              <w:t>Community Development and Safety Nets</w:t>
            </w:r>
            <w:r w:rsidR="00575188" w:rsidRPr="00834149">
              <w:rPr>
                <w:rFonts w:asciiTheme="minorHAnsi" w:hAnsiTheme="minorHAnsi"/>
                <w:sz w:val="22"/>
                <w:szCs w:val="22"/>
              </w:rPr>
              <w:t xml:space="preserve"> (IDA)</w:t>
            </w:r>
          </w:p>
          <w:p w14:paraId="0FFC2AE5" w14:textId="79F8E08A" w:rsidR="00280F7D" w:rsidRPr="00834149" w:rsidRDefault="005B3DAD" w:rsidP="00834149">
            <w:pPr>
              <w:pStyle w:val="Default"/>
              <w:rPr>
                <w:rFonts w:asciiTheme="minorHAnsi" w:hAnsiTheme="minorHAnsi"/>
                <w:sz w:val="22"/>
                <w:szCs w:val="22"/>
              </w:rPr>
            </w:pPr>
            <w:r w:rsidRPr="00834149">
              <w:rPr>
                <w:rFonts w:asciiTheme="minorHAnsi" w:hAnsiTheme="minorHAnsi"/>
                <w:sz w:val="22"/>
                <w:szCs w:val="22"/>
              </w:rPr>
              <w:t xml:space="preserve">6. </w:t>
            </w:r>
            <w:r w:rsidR="00280F7D" w:rsidRPr="00834149">
              <w:rPr>
                <w:rFonts w:asciiTheme="minorHAnsi" w:hAnsiTheme="minorHAnsi"/>
                <w:sz w:val="22"/>
                <w:szCs w:val="22"/>
              </w:rPr>
              <w:t>Pilot Cash Transfer Program</w:t>
            </w:r>
            <w:r w:rsidR="00575188" w:rsidRPr="00834149">
              <w:rPr>
                <w:rFonts w:asciiTheme="minorHAnsi" w:hAnsiTheme="minorHAnsi"/>
                <w:sz w:val="22"/>
                <w:szCs w:val="22"/>
              </w:rPr>
              <w:t xml:space="preserve"> (TF)</w:t>
            </w:r>
          </w:p>
          <w:p w14:paraId="4437818E" w14:textId="3BA6985B" w:rsidR="00C16197" w:rsidRPr="00834149" w:rsidRDefault="005B3DAD" w:rsidP="00834149">
            <w:pPr>
              <w:pStyle w:val="Default"/>
              <w:rPr>
                <w:rFonts w:asciiTheme="minorHAnsi" w:hAnsiTheme="minorHAnsi"/>
                <w:sz w:val="22"/>
                <w:szCs w:val="22"/>
              </w:rPr>
            </w:pPr>
            <w:r w:rsidRPr="00834149">
              <w:rPr>
                <w:rFonts w:asciiTheme="minorHAnsi" w:hAnsiTheme="minorHAnsi"/>
                <w:sz w:val="22"/>
                <w:szCs w:val="22"/>
              </w:rPr>
              <w:t xml:space="preserve">7. </w:t>
            </w:r>
            <w:r w:rsidR="00C16197" w:rsidRPr="00834149">
              <w:rPr>
                <w:rFonts w:asciiTheme="minorHAnsi" w:hAnsiTheme="minorHAnsi"/>
                <w:sz w:val="22"/>
                <w:szCs w:val="22"/>
              </w:rPr>
              <w:t>Maternal and Child Health Support</w:t>
            </w:r>
            <w:r w:rsidR="00575188" w:rsidRPr="00834149">
              <w:rPr>
                <w:rFonts w:asciiTheme="minorHAnsi" w:hAnsiTheme="minorHAnsi"/>
                <w:sz w:val="22"/>
                <w:szCs w:val="22"/>
              </w:rPr>
              <w:t xml:space="preserve"> (IDA)</w:t>
            </w:r>
          </w:p>
          <w:p w14:paraId="14480E15" w14:textId="5EB0B1EC" w:rsidR="00C16197" w:rsidRPr="00834149" w:rsidRDefault="005B3DAD" w:rsidP="00834149">
            <w:pPr>
              <w:pStyle w:val="Default"/>
              <w:rPr>
                <w:rFonts w:asciiTheme="minorHAnsi" w:hAnsiTheme="minorHAnsi"/>
                <w:sz w:val="22"/>
                <w:szCs w:val="22"/>
              </w:rPr>
            </w:pPr>
            <w:r w:rsidRPr="00834149">
              <w:rPr>
                <w:rFonts w:asciiTheme="minorHAnsi" w:hAnsiTheme="minorHAnsi"/>
                <w:sz w:val="22"/>
                <w:szCs w:val="22"/>
              </w:rPr>
              <w:t xml:space="preserve">8. </w:t>
            </w:r>
            <w:r w:rsidR="00C16197" w:rsidRPr="00834149">
              <w:rPr>
                <w:rFonts w:asciiTheme="minorHAnsi" w:hAnsiTheme="minorHAnsi"/>
                <w:sz w:val="22"/>
                <w:szCs w:val="22"/>
              </w:rPr>
              <w:t>Global Partnership for Education Program</w:t>
            </w:r>
            <w:r w:rsidR="00575188" w:rsidRPr="00834149">
              <w:rPr>
                <w:rFonts w:asciiTheme="minorHAnsi" w:hAnsiTheme="minorHAnsi"/>
                <w:sz w:val="22"/>
                <w:szCs w:val="22"/>
              </w:rPr>
              <w:t xml:space="preserve"> (TF)</w:t>
            </w:r>
          </w:p>
          <w:p w14:paraId="2CAF5A78" w14:textId="77777777" w:rsidR="00280F7D" w:rsidRPr="00834149" w:rsidRDefault="005B3DAD" w:rsidP="00834149">
            <w:pPr>
              <w:pStyle w:val="Default"/>
              <w:rPr>
                <w:rFonts w:asciiTheme="minorHAnsi" w:hAnsiTheme="minorHAnsi"/>
                <w:sz w:val="22"/>
                <w:szCs w:val="22"/>
              </w:rPr>
            </w:pPr>
            <w:r w:rsidRPr="00834149">
              <w:rPr>
                <w:rFonts w:asciiTheme="minorHAnsi" w:hAnsiTheme="minorHAnsi"/>
                <w:sz w:val="22"/>
                <w:szCs w:val="22"/>
              </w:rPr>
              <w:t xml:space="preserve">9. </w:t>
            </w:r>
            <w:r w:rsidR="00280F7D" w:rsidRPr="00834149">
              <w:rPr>
                <w:rFonts w:asciiTheme="minorHAnsi" w:hAnsiTheme="minorHAnsi"/>
                <w:sz w:val="22"/>
                <w:szCs w:val="22"/>
              </w:rPr>
              <w:t>Africa Higher Education Centers of Excellence</w:t>
            </w:r>
            <w:r w:rsidR="00575188" w:rsidRPr="00834149">
              <w:rPr>
                <w:rFonts w:asciiTheme="minorHAnsi" w:hAnsiTheme="minorHAnsi"/>
                <w:sz w:val="22"/>
                <w:szCs w:val="22"/>
              </w:rPr>
              <w:t xml:space="preserve"> (IDA)</w:t>
            </w:r>
          </w:p>
          <w:p w14:paraId="1B8D2A8A" w14:textId="6934D404" w:rsidR="000831C7" w:rsidRPr="00834149" w:rsidRDefault="000831C7" w:rsidP="00834149">
            <w:pPr>
              <w:pStyle w:val="Default"/>
              <w:ind w:left="247" w:hanging="270"/>
              <w:rPr>
                <w:rFonts w:asciiTheme="minorHAnsi" w:hAnsiTheme="minorHAnsi"/>
                <w:sz w:val="22"/>
                <w:szCs w:val="22"/>
              </w:rPr>
            </w:pPr>
            <w:r w:rsidRPr="00834149">
              <w:rPr>
                <w:rFonts w:asciiTheme="minorHAnsi" w:hAnsiTheme="minorHAnsi"/>
                <w:sz w:val="22"/>
                <w:szCs w:val="22"/>
              </w:rPr>
              <w:t>10. Regional Disease Surveillance Systems Enhancement (REDISSE) Phase II</w:t>
            </w:r>
          </w:p>
        </w:tc>
        <w:tc>
          <w:tcPr>
            <w:tcW w:w="720" w:type="dxa"/>
          </w:tcPr>
          <w:p w14:paraId="52CC4BC5" w14:textId="77777777" w:rsidR="00C16197" w:rsidRPr="00834149" w:rsidRDefault="00C16197" w:rsidP="00834149">
            <w:pPr>
              <w:pStyle w:val="Default"/>
              <w:jc w:val="center"/>
              <w:rPr>
                <w:rFonts w:asciiTheme="minorHAnsi" w:hAnsiTheme="minorHAnsi"/>
                <w:sz w:val="22"/>
                <w:szCs w:val="22"/>
              </w:rPr>
            </w:pPr>
          </w:p>
          <w:p w14:paraId="0F8E9FE1" w14:textId="77777777" w:rsidR="00C16197" w:rsidRPr="00834149" w:rsidRDefault="00C16197" w:rsidP="00834149">
            <w:pPr>
              <w:pStyle w:val="Default"/>
              <w:jc w:val="center"/>
              <w:rPr>
                <w:rFonts w:asciiTheme="minorHAnsi" w:hAnsiTheme="minorHAnsi"/>
                <w:sz w:val="22"/>
                <w:szCs w:val="22"/>
              </w:rPr>
            </w:pPr>
            <w:r w:rsidRPr="00834149">
              <w:rPr>
                <w:rFonts w:asciiTheme="minorHAnsi" w:hAnsiTheme="minorHAnsi"/>
                <w:sz w:val="22"/>
                <w:szCs w:val="22"/>
              </w:rPr>
              <w:t>2012</w:t>
            </w:r>
          </w:p>
          <w:p w14:paraId="6B58D3DB" w14:textId="49C45C4A" w:rsidR="00280F7D" w:rsidRPr="00834149" w:rsidRDefault="00280F7D" w:rsidP="00834149">
            <w:pPr>
              <w:pStyle w:val="Default"/>
              <w:jc w:val="center"/>
              <w:rPr>
                <w:rFonts w:asciiTheme="minorHAnsi" w:hAnsiTheme="minorHAnsi"/>
                <w:sz w:val="22"/>
                <w:szCs w:val="22"/>
              </w:rPr>
            </w:pPr>
            <w:r w:rsidRPr="00834149">
              <w:rPr>
                <w:rFonts w:asciiTheme="minorHAnsi" w:hAnsiTheme="minorHAnsi"/>
                <w:sz w:val="22"/>
                <w:szCs w:val="22"/>
              </w:rPr>
              <w:t>2014</w:t>
            </w:r>
          </w:p>
          <w:p w14:paraId="6D98230D" w14:textId="77777777" w:rsidR="00C16197" w:rsidRPr="00834149" w:rsidRDefault="00C16197" w:rsidP="00834149">
            <w:pPr>
              <w:pStyle w:val="Default"/>
              <w:jc w:val="center"/>
              <w:rPr>
                <w:rFonts w:asciiTheme="minorHAnsi" w:hAnsiTheme="minorHAnsi"/>
                <w:sz w:val="22"/>
                <w:szCs w:val="22"/>
              </w:rPr>
            </w:pPr>
            <w:r w:rsidRPr="00834149">
              <w:rPr>
                <w:rFonts w:asciiTheme="minorHAnsi" w:hAnsiTheme="minorHAnsi"/>
                <w:sz w:val="22"/>
                <w:szCs w:val="22"/>
              </w:rPr>
              <w:t>2014</w:t>
            </w:r>
          </w:p>
          <w:p w14:paraId="5CC35B87" w14:textId="77777777" w:rsidR="00C16197" w:rsidRPr="00834149" w:rsidRDefault="00C16197" w:rsidP="00834149">
            <w:pPr>
              <w:pStyle w:val="Default"/>
              <w:jc w:val="center"/>
              <w:rPr>
                <w:rFonts w:asciiTheme="minorHAnsi" w:hAnsiTheme="minorHAnsi"/>
                <w:sz w:val="22"/>
                <w:szCs w:val="22"/>
              </w:rPr>
            </w:pPr>
            <w:r w:rsidRPr="00834149">
              <w:rPr>
                <w:rFonts w:asciiTheme="minorHAnsi" w:hAnsiTheme="minorHAnsi"/>
                <w:sz w:val="22"/>
                <w:szCs w:val="22"/>
              </w:rPr>
              <w:t>2015</w:t>
            </w:r>
          </w:p>
          <w:p w14:paraId="51AA521E" w14:textId="77777777" w:rsidR="00280F7D" w:rsidRPr="00834149" w:rsidRDefault="00280F7D" w:rsidP="00834149">
            <w:pPr>
              <w:pStyle w:val="Default"/>
              <w:jc w:val="center"/>
              <w:rPr>
                <w:rFonts w:asciiTheme="minorHAnsi" w:hAnsiTheme="minorHAnsi"/>
                <w:sz w:val="22"/>
                <w:szCs w:val="22"/>
              </w:rPr>
            </w:pPr>
            <w:r w:rsidRPr="00834149">
              <w:rPr>
                <w:rFonts w:asciiTheme="minorHAnsi" w:hAnsiTheme="minorHAnsi"/>
                <w:sz w:val="22"/>
                <w:szCs w:val="22"/>
              </w:rPr>
              <w:t>2015</w:t>
            </w:r>
          </w:p>
          <w:p w14:paraId="11A5C2DB" w14:textId="456CB89F" w:rsidR="000831C7" w:rsidRPr="00834149" w:rsidRDefault="000831C7" w:rsidP="00834149">
            <w:pPr>
              <w:pStyle w:val="Default"/>
              <w:jc w:val="center"/>
              <w:rPr>
                <w:rFonts w:asciiTheme="minorHAnsi" w:hAnsiTheme="minorHAnsi"/>
                <w:sz w:val="22"/>
                <w:szCs w:val="22"/>
              </w:rPr>
            </w:pPr>
            <w:r w:rsidRPr="00834149">
              <w:rPr>
                <w:rFonts w:asciiTheme="minorHAnsi" w:hAnsiTheme="minorHAnsi"/>
                <w:sz w:val="22"/>
                <w:szCs w:val="22"/>
              </w:rPr>
              <w:t>2017</w:t>
            </w:r>
          </w:p>
        </w:tc>
        <w:tc>
          <w:tcPr>
            <w:tcW w:w="900" w:type="dxa"/>
          </w:tcPr>
          <w:p w14:paraId="25D578CB" w14:textId="77777777" w:rsidR="00C16197" w:rsidRPr="00834149" w:rsidRDefault="00C16197" w:rsidP="00834149">
            <w:pPr>
              <w:pStyle w:val="Default"/>
              <w:jc w:val="right"/>
              <w:rPr>
                <w:rFonts w:asciiTheme="minorHAnsi" w:hAnsiTheme="minorHAnsi"/>
                <w:sz w:val="22"/>
                <w:szCs w:val="22"/>
              </w:rPr>
            </w:pPr>
          </w:p>
          <w:p w14:paraId="571ABFF9" w14:textId="77777777"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26.1</w:t>
            </w:r>
          </w:p>
          <w:p w14:paraId="3843AA85" w14:textId="77777777" w:rsidR="00280F7D" w:rsidRPr="00834149" w:rsidRDefault="00280F7D" w:rsidP="00834149">
            <w:pPr>
              <w:pStyle w:val="Default"/>
              <w:jc w:val="right"/>
              <w:rPr>
                <w:rFonts w:asciiTheme="minorHAnsi" w:hAnsiTheme="minorHAnsi"/>
                <w:sz w:val="22"/>
                <w:szCs w:val="22"/>
              </w:rPr>
            </w:pPr>
          </w:p>
          <w:p w14:paraId="16F17BD9" w14:textId="77777777" w:rsidR="00280F7D" w:rsidRPr="00834149" w:rsidRDefault="00280F7D" w:rsidP="00834149">
            <w:pPr>
              <w:pStyle w:val="Default"/>
              <w:jc w:val="right"/>
              <w:rPr>
                <w:rFonts w:asciiTheme="minorHAnsi" w:hAnsiTheme="minorHAnsi"/>
                <w:sz w:val="22"/>
                <w:szCs w:val="22"/>
              </w:rPr>
            </w:pPr>
          </w:p>
          <w:p w14:paraId="4928EAE7" w14:textId="77777777" w:rsidR="00280F7D" w:rsidRPr="00834149" w:rsidRDefault="00280F7D" w:rsidP="00834149">
            <w:pPr>
              <w:pStyle w:val="Default"/>
              <w:jc w:val="right"/>
              <w:rPr>
                <w:rFonts w:asciiTheme="minorHAnsi" w:hAnsiTheme="minorHAnsi"/>
                <w:sz w:val="22"/>
                <w:szCs w:val="22"/>
              </w:rPr>
            </w:pPr>
          </w:p>
          <w:p w14:paraId="1F31136B" w14:textId="41C88D2A"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8</w:t>
            </w:r>
          </w:p>
        </w:tc>
        <w:tc>
          <w:tcPr>
            <w:tcW w:w="990" w:type="dxa"/>
          </w:tcPr>
          <w:p w14:paraId="3670FD9A" w14:textId="77777777" w:rsidR="00C16197" w:rsidRPr="00834149" w:rsidRDefault="00C16197" w:rsidP="00834149">
            <w:pPr>
              <w:pStyle w:val="Default"/>
              <w:jc w:val="right"/>
              <w:rPr>
                <w:rFonts w:asciiTheme="minorHAnsi" w:hAnsiTheme="minorHAnsi"/>
                <w:sz w:val="22"/>
                <w:szCs w:val="22"/>
              </w:rPr>
            </w:pPr>
          </w:p>
          <w:p w14:paraId="27BDCE05" w14:textId="77777777" w:rsidR="00280F7D" w:rsidRPr="00834149" w:rsidRDefault="00280F7D" w:rsidP="00834149">
            <w:pPr>
              <w:pStyle w:val="Default"/>
              <w:jc w:val="right"/>
              <w:rPr>
                <w:rFonts w:asciiTheme="minorHAnsi" w:hAnsiTheme="minorHAnsi"/>
                <w:sz w:val="22"/>
                <w:szCs w:val="22"/>
              </w:rPr>
            </w:pPr>
          </w:p>
          <w:p w14:paraId="0D1553BC" w14:textId="77777777"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 xml:space="preserve">2.6 </w:t>
            </w:r>
          </w:p>
          <w:p w14:paraId="783D307B" w14:textId="77777777"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14</w:t>
            </w:r>
          </w:p>
          <w:p w14:paraId="33D81749" w14:textId="77777777"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27.8</w:t>
            </w:r>
          </w:p>
          <w:p w14:paraId="1E9D2DD9" w14:textId="77777777" w:rsidR="000831C7" w:rsidRPr="00834149" w:rsidRDefault="000831C7" w:rsidP="00834149">
            <w:pPr>
              <w:pStyle w:val="Default"/>
              <w:jc w:val="right"/>
              <w:rPr>
                <w:rFonts w:asciiTheme="minorHAnsi" w:hAnsiTheme="minorHAnsi"/>
                <w:sz w:val="22"/>
                <w:szCs w:val="22"/>
              </w:rPr>
            </w:pPr>
          </w:p>
          <w:p w14:paraId="38C2AAC4" w14:textId="7A25504E" w:rsidR="000831C7" w:rsidRPr="00834149" w:rsidRDefault="000831C7" w:rsidP="00834149">
            <w:pPr>
              <w:pStyle w:val="Default"/>
              <w:jc w:val="right"/>
              <w:rPr>
                <w:rFonts w:asciiTheme="minorHAnsi" w:hAnsiTheme="minorHAnsi"/>
                <w:sz w:val="22"/>
                <w:szCs w:val="22"/>
              </w:rPr>
            </w:pPr>
            <w:r w:rsidRPr="00834149">
              <w:rPr>
                <w:rFonts w:asciiTheme="minorHAnsi" w:hAnsiTheme="minorHAnsi"/>
                <w:sz w:val="22"/>
                <w:szCs w:val="22"/>
              </w:rPr>
              <w:t>21</w:t>
            </w:r>
          </w:p>
        </w:tc>
        <w:tc>
          <w:tcPr>
            <w:tcW w:w="901" w:type="dxa"/>
          </w:tcPr>
          <w:p w14:paraId="4A6D4704" w14:textId="77777777" w:rsidR="00C16197" w:rsidRPr="00834149" w:rsidRDefault="00C16197" w:rsidP="00834149">
            <w:pPr>
              <w:pStyle w:val="Default"/>
              <w:jc w:val="right"/>
              <w:rPr>
                <w:rFonts w:asciiTheme="minorHAnsi" w:hAnsiTheme="minorHAnsi"/>
                <w:sz w:val="22"/>
                <w:szCs w:val="22"/>
              </w:rPr>
            </w:pPr>
          </w:p>
          <w:p w14:paraId="5D4A4961" w14:textId="5AF67E1F" w:rsidR="00280F7D" w:rsidRPr="00834149" w:rsidRDefault="005B3DAD" w:rsidP="00834149">
            <w:pPr>
              <w:pStyle w:val="Default"/>
              <w:jc w:val="right"/>
              <w:rPr>
                <w:rFonts w:asciiTheme="minorHAnsi" w:hAnsiTheme="minorHAnsi"/>
                <w:sz w:val="22"/>
                <w:szCs w:val="22"/>
              </w:rPr>
            </w:pPr>
            <w:r w:rsidRPr="00834149">
              <w:rPr>
                <w:rFonts w:asciiTheme="minorHAnsi" w:hAnsiTheme="minorHAnsi"/>
                <w:sz w:val="22"/>
                <w:szCs w:val="22"/>
              </w:rPr>
              <w:t>1.8</w:t>
            </w:r>
          </w:p>
          <w:p w14:paraId="16C70C95" w14:textId="4D5FC05D" w:rsidR="00280F7D" w:rsidRPr="00834149" w:rsidRDefault="005B3DAD" w:rsidP="00834149">
            <w:pPr>
              <w:pStyle w:val="Default"/>
              <w:jc w:val="right"/>
              <w:rPr>
                <w:rFonts w:asciiTheme="minorHAnsi" w:hAnsiTheme="minorHAnsi"/>
                <w:sz w:val="22"/>
                <w:szCs w:val="22"/>
              </w:rPr>
            </w:pPr>
            <w:r w:rsidRPr="00834149">
              <w:rPr>
                <w:rFonts w:asciiTheme="minorHAnsi" w:hAnsiTheme="minorHAnsi"/>
                <w:sz w:val="22"/>
                <w:szCs w:val="22"/>
              </w:rPr>
              <w:t>0.1</w:t>
            </w:r>
          </w:p>
          <w:p w14:paraId="6D3A6912" w14:textId="09AFF9EE" w:rsidR="00280F7D" w:rsidRPr="00834149" w:rsidRDefault="005B3DAD" w:rsidP="00834149">
            <w:pPr>
              <w:pStyle w:val="Default"/>
              <w:jc w:val="right"/>
              <w:rPr>
                <w:rFonts w:asciiTheme="minorHAnsi" w:hAnsiTheme="minorHAnsi"/>
                <w:sz w:val="22"/>
                <w:szCs w:val="22"/>
              </w:rPr>
            </w:pPr>
            <w:r w:rsidRPr="00834149">
              <w:rPr>
                <w:rFonts w:asciiTheme="minorHAnsi" w:hAnsiTheme="minorHAnsi"/>
                <w:sz w:val="22"/>
                <w:szCs w:val="22"/>
              </w:rPr>
              <w:t>7.6</w:t>
            </w:r>
          </w:p>
          <w:p w14:paraId="45DC57A7" w14:textId="1FAC04E7" w:rsidR="00280F7D" w:rsidRPr="00834149" w:rsidRDefault="005B3DAD" w:rsidP="00834149">
            <w:pPr>
              <w:pStyle w:val="Default"/>
              <w:jc w:val="right"/>
              <w:rPr>
                <w:rFonts w:asciiTheme="minorHAnsi" w:hAnsiTheme="minorHAnsi"/>
                <w:sz w:val="22"/>
                <w:szCs w:val="22"/>
              </w:rPr>
            </w:pPr>
            <w:r w:rsidRPr="00834149">
              <w:rPr>
                <w:rFonts w:asciiTheme="minorHAnsi" w:hAnsiTheme="minorHAnsi"/>
                <w:sz w:val="22"/>
                <w:szCs w:val="22"/>
              </w:rPr>
              <w:t>20.8</w:t>
            </w:r>
          </w:p>
          <w:p w14:paraId="08EF4C13" w14:textId="77777777"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5.5</w:t>
            </w:r>
          </w:p>
          <w:p w14:paraId="1F1DF234" w14:textId="09BA060D" w:rsidR="000831C7" w:rsidRPr="00834149" w:rsidRDefault="000831C7" w:rsidP="00834149">
            <w:pPr>
              <w:pStyle w:val="Default"/>
              <w:jc w:val="right"/>
              <w:rPr>
                <w:rFonts w:asciiTheme="minorHAnsi" w:hAnsiTheme="minorHAnsi"/>
                <w:sz w:val="22"/>
                <w:szCs w:val="22"/>
              </w:rPr>
            </w:pPr>
            <w:r w:rsidRPr="00834149">
              <w:rPr>
                <w:rFonts w:asciiTheme="minorHAnsi" w:hAnsiTheme="minorHAnsi"/>
                <w:sz w:val="22"/>
                <w:szCs w:val="22"/>
              </w:rPr>
              <w:t>21</w:t>
            </w:r>
          </w:p>
        </w:tc>
      </w:tr>
      <w:tr w:rsidR="00C16197" w:rsidRPr="00A50430" w14:paraId="7A464180" w14:textId="77777777" w:rsidTr="00834149">
        <w:tc>
          <w:tcPr>
            <w:tcW w:w="5845" w:type="dxa"/>
          </w:tcPr>
          <w:p w14:paraId="00BBB4E8" w14:textId="68A54033" w:rsidR="00C16197" w:rsidRPr="00834149" w:rsidRDefault="00280F7D" w:rsidP="00834149">
            <w:pPr>
              <w:pStyle w:val="Default"/>
              <w:rPr>
                <w:rFonts w:asciiTheme="minorHAnsi" w:hAnsiTheme="minorHAnsi"/>
                <w:b/>
                <w:sz w:val="22"/>
                <w:szCs w:val="22"/>
              </w:rPr>
            </w:pPr>
            <w:r w:rsidRPr="00834149">
              <w:rPr>
                <w:rFonts w:asciiTheme="minorHAnsi" w:hAnsiTheme="minorHAnsi"/>
                <w:b/>
                <w:sz w:val="22"/>
                <w:szCs w:val="22"/>
              </w:rPr>
              <w:t>Focus Area 3</w:t>
            </w:r>
            <w:r w:rsidR="005B3DAD" w:rsidRPr="00834149">
              <w:rPr>
                <w:rFonts w:asciiTheme="minorHAnsi" w:hAnsiTheme="minorHAnsi"/>
                <w:b/>
                <w:sz w:val="22"/>
                <w:szCs w:val="22"/>
              </w:rPr>
              <w:t>: Environmental Sustainability and Resilience</w:t>
            </w:r>
          </w:p>
          <w:p w14:paraId="02082C12" w14:textId="74FCAB75" w:rsidR="00280F7D" w:rsidRPr="00834149" w:rsidRDefault="005B3DAD" w:rsidP="00834149">
            <w:pPr>
              <w:pStyle w:val="Default"/>
              <w:rPr>
                <w:rFonts w:asciiTheme="minorHAnsi" w:hAnsiTheme="minorHAnsi"/>
                <w:sz w:val="22"/>
                <w:szCs w:val="22"/>
              </w:rPr>
            </w:pPr>
            <w:r w:rsidRPr="00834149">
              <w:rPr>
                <w:rFonts w:asciiTheme="minorHAnsi" w:hAnsiTheme="minorHAnsi"/>
                <w:sz w:val="22"/>
                <w:szCs w:val="22"/>
              </w:rPr>
              <w:t>1</w:t>
            </w:r>
            <w:r w:rsidR="000831C7" w:rsidRPr="00834149">
              <w:rPr>
                <w:rFonts w:asciiTheme="minorHAnsi" w:hAnsiTheme="minorHAnsi"/>
                <w:sz w:val="22"/>
                <w:szCs w:val="22"/>
              </w:rPr>
              <w:t>1</w:t>
            </w:r>
            <w:r w:rsidRPr="00834149">
              <w:rPr>
                <w:rFonts w:asciiTheme="minorHAnsi" w:hAnsiTheme="minorHAnsi"/>
                <w:sz w:val="22"/>
                <w:szCs w:val="22"/>
              </w:rPr>
              <w:t xml:space="preserve">. </w:t>
            </w:r>
            <w:r w:rsidR="00280F7D" w:rsidRPr="00834149">
              <w:rPr>
                <w:rFonts w:asciiTheme="minorHAnsi" w:hAnsiTheme="minorHAnsi"/>
                <w:sz w:val="22"/>
                <w:szCs w:val="22"/>
              </w:rPr>
              <w:t>Integrated Disaster and Land Management</w:t>
            </w:r>
            <w:r w:rsidR="00575188" w:rsidRPr="00834149">
              <w:rPr>
                <w:rFonts w:asciiTheme="minorHAnsi" w:hAnsiTheme="minorHAnsi"/>
                <w:sz w:val="22"/>
                <w:szCs w:val="22"/>
              </w:rPr>
              <w:t xml:space="preserve"> (TF)</w:t>
            </w:r>
          </w:p>
          <w:p w14:paraId="788C6A22" w14:textId="4BE2F6C6" w:rsidR="00280F7D" w:rsidRPr="00834149" w:rsidRDefault="005B3DAD" w:rsidP="00834149">
            <w:pPr>
              <w:pStyle w:val="Default"/>
              <w:rPr>
                <w:rFonts w:asciiTheme="minorHAnsi" w:hAnsiTheme="minorHAnsi"/>
                <w:sz w:val="22"/>
                <w:szCs w:val="22"/>
              </w:rPr>
            </w:pPr>
            <w:r w:rsidRPr="00834149">
              <w:rPr>
                <w:rFonts w:asciiTheme="minorHAnsi" w:hAnsiTheme="minorHAnsi"/>
                <w:sz w:val="22"/>
                <w:szCs w:val="22"/>
              </w:rPr>
              <w:t>1</w:t>
            </w:r>
            <w:r w:rsidR="000831C7" w:rsidRPr="00834149">
              <w:rPr>
                <w:rFonts w:asciiTheme="minorHAnsi" w:hAnsiTheme="minorHAnsi"/>
                <w:sz w:val="22"/>
                <w:szCs w:val="22"/>
              </w:rPr>
              <w:t>2</w:t>
            </w:r>
            <w:r w:rsidRPr="00834149">
              <w:rPr>
                <w:rFonts w:asciiTheme="minorHAnsi" w:hAnsiTheme="minorHAnsi"/>
                <w:sz w:val="22"/>
                <w:szCs w:val="22"/>
              </w:rPr>
              <w:t xml:space="preserve">. </w:t>
            </w:r>
            <w:r w:rsidR="00280F7D" w:rsidRPr="00834149">
              <w:rPr>
                <w:rFonts w:asciiTheme="minorHAnsi" w:hAnsiTheme="minorHAnsi"/>
                <w:sz w:val="22"/>
                <w:szCs w:val="22"/>
              </w:rPr>
              <w:t>REDD+ Readiness preparation</w:t>
            </w:r>
            <w:r w:rsidR="00575188" w:rsidRPr="00834149">
              <w:rPr>
                <w:rFonts w:asciiTheme="minorHAnsi" w:hAnsiTheme="minorHAnsi"/>
                <w:sz w:val="22"/>
                <w:szCs w:val="22"/>
              </w:rPr>
              <w:t xml:space="preserve"> (TF)</w:t>
            </w:r>
          </w:p>
        </w:tc>
        <w:tc>
          <w:tcPr>
            <w:tcW w:w="720" w:type="dxa"/>
          </w:tcPr>
          <w:p w14:paraId="7C6D3216" w14:textId="77777777" w:rsidR="00C16197" w:rsidRPr="00834149" w:rsidRDefault="00C16197" w:rsidP="00834149">
            <w:pPr>
              <w:pStyle w:val="Default"/>
              <w:jc w:val="center"/>
              <w:rPr>
                <w:rFonts w:asciiTheme="minorHAnsi" w:hAnsiTheme="minorHAnsi"/>
                <w:sz w:val="22"/>
                <w:szCs w:val="22"/>
              </w:rPr>
            </w:pPr>
          </w:p>
          <w:p w14:paraId="29F10AC2" w14:textId="77777777" w:rsidR="00280F7D" w:rsidRPr="00834149" w:rsidRDefault="00280F7D" w:rsidP="00834149">
            <w:pPr>
              <w:pStyle w:val="Default"/>
              <w:jc w:val="center"/>
              <w:rPr>
                <w:rFonts w:asciiTheme="minorHAnsi" w:hAnsiTheme="minorHAnsi"/>
                <w:sz w:val="22"/>
                <w:szCs w:val="22"/>
              </w:rPr>
            </w:pPr>
            <w:r w:rsidRPr="00834149">
              <w:rPr>
                <w:rFonts w:asciiTheme="minorHAnsi" w:hAnsiTheme="minorHAnsi"/>
                <w:sz w:val="22"/>
                <w:szCs w:val="22"/>
              </w:rPr>
              <w:t>2012</w:t>
            </w:r>
          </w:p>
          <w:p w14:paraId="3DD09B3B" w14:textId="1F3686D3" w:rsidR="00280F7D" w:rsidRPr="00834149" w:rsidRDefault="00280F7D" w:rsidP="00834149">
            <w:pPr>
              <w:pStyle w:val="Default"/>
              <w:jc w:val="center"/>
              <w:rPr>
                <w:rFonts w:asciiTheme="minorHAnsi" w:hAnsiTheme="minorHAnsi"/>
                <w:sz w:val="22"/>
                <w:szCs w:val="22"/>
              </w:rPr>
            </w:pPr>
            <w:r w:rsidRPr="00834149">
              <w:rPr>
                <w:rFonts w:asciiTheme="minorHAnsi" w:hAnsiTheme="minorHAnsi"/>
                <w:sz w:val="22"/>
                <w:szCs w:val="22"/>
              </w:rPr>
              <w:t>2014</w:t>
            </w:r>
          </w:p>
        </w:tc>
        <w:tc>
          <w:tcPr>
            <w:tcW w:w="900" w:type="dxa"/>
          </w:tcPr>
          <w:p w14:paraId="7A809BCD" w14:textId="77777777" w:rsidR="00C16197" w:rsidRPr="00834149" w:rsidRDefault="00C16197" w:rsidP="00834149">
            <w:pPr>
              <w:pStyle w:val="Default"/>
              <w:jc w:val="right"/>
              <w:rPr>
                <w:rFonts w:asciiTheme="minorHAnsi" w:hAnsiTheme="minorHAnsi"/>
                <w:sz w:val="22"/>
                <w:szCs w:val="22"/>
              </w:rPr>
            </w:pPr>
          </w:p>
          <w:p w14:paraId="09DF1809" w14:textId="6CEE6095" w:rsidR="00280F7D" w:rsidRPr="00834149" w:rsidRDefault="00280F7D" w:rsidP="00834149">
            <w:pPr>
              <w:pStyle w:val="Default"/>
              <w:jc w:val="right"/>
              <w:rPr>
                <w:rFonts w:asciiTheme="minorHAnsi" w:hAnsiTheme="minorHAnsi"/>
                <w:sz w:val="22"/>
                <w:szCs w:val="22"/>
              </w:rPr>
            </w:pPr>
          </w:p>
          <w:p w14:paraId="06DFEA19" w14:textId="32E60CB2" w:rsidR="00280F7D" w:rsidRPr="00834149" w:rsidRDefault="00280F7D" w:rsidP="00834149">
            <w:pPr>
              <w:pStyle w:val="Default"/>
              <w:jc w:val="right"/>
              <w:rPr>
                <w:rFonts w:asciiTheme="minorHAnsi" w:hAnsiTheme="minorHAnsi"/>
                <w:sz w:val="22"/>
                <w:szCs w:val="22"/>
              </w:rPr>
            </w:pPr>
          </w:p>
        </w:tc>
        <w:tc>
          <w:tcPr>
            <w:tcW w:w="990" w:type="dxa"/>
          </w:tcPr>
          <w:p w14:paraId="3E81E101" w14:textId="77777777" w:rsidR="00C16197" w:rsidRPr="00834149" w:rsidRDefault="00C16197" w:rsidP="00834149">
            <w:pPr>
              <w:pStyle w:val="Default"/>
              <w:jc w:val="right"/>
              <w:rPr>
                <w:rFonts w:asciiTheme="minorHAnsi" w:hAnsiTheme="minorHAnsi"/>
                <w:sz w:val="22"/>
                <w:szCs w:val="22"/>
              </w:rPr>
            </w:pPr>
          </w:p>
          <w:p w14:paraId="17A1C320" w14:textId="5F24A18C"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1</w:t>
            </w:r>
            <w:r w:rsidR="005B3DAD" w:rsidRPr="00834149">
              <w:rPr>
                <w:rFonts w:asciiTheme="minorHAnsi" w:hAnsiTheme="minorHAnsi"/>
                <w:sz w:val="22"/>
                <w:szCs w:val="22"/>
              </w:rPr>
              <w:t>9.5</w:t>
            </w:r>
          </w:p>
          <w:p w14:paraId="57247562" w14:textId="4EA9BA68"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3.8</w:t>
            </w:r>
          </w:p>
        </w:tc>
        <w:tc>
          <w:tcPr>
            <w:tcW w:w="901" w:type="dxa"/>
          </w:tcPr>
          <w:p w14:paraId="6060F6E7" w14:textId="77777777" w:rsidR="00C16197" w:rsidRPr="00834149" w:rsidRDefault="00C16197" w:rsidP="00834149">
            <w:pPr>
              <w:pStyle w:val="Default"/>
              <w:jc w:val="right"/>
              <w:rPr>
                <w:rFonts w:asciiTheme="minorHAnsi" w:hAnsiTheme="minorHAnsi"/>
                <w:sz w:val="22"/>
                <w:szCs w:val="22"/>
              </w:rPr>
            </w:pPr>
          </w:p>
          <w:p w14:paraId="72D7075B" w14:textId="5CC4EC74" w:rsidR="00280F7D" w:rsidRPr="00834149" w:rsidRDefault="005B3DAD" w:rsidP="00834149">
            <w:pPr>
              <w:pStyle w:val="Default"/>
              <w:jc w:val="right"/>
              <w:rPr>
                <w:rFonts w:asciiTheme="minorHAnsi" w:hAnsiTheme="minorHAnsi"/>
                <w:sz w:val="22"/>
                <w:szCs w:val="22"/>
              </w:rPr>
            </w:pPr>
            <w:r w:rsidRPr="00834149">
              <w:rPr>
                <w:rFonts w:asciiTheme="minorHAnsi" w:hAnsiTheme="minorHAnsi"/>
                <w:sz w:val="22"/>
                <w:szCs w:val="22"/>
              </w:rPr>
              <w:t>5.5</w:t>
            </w:r>
          </w:p>
          <w:p w14:paraId="2CB80233" w14:textId="71AC89ED" w:rsidR="00280F7D" w:rsidRPr="00834149" w:rsidRDefault="00280F7D" w:rsidP="00834149">
            <w:pPr>
              <w:pStyle w:val="Default"/>
              <w:jc w:val="right"/>
              <w:rPr>
                <w:rFonts w:asciiTheme="minorHAnsi" w:hAnsiTheme="minorHAnsi"/>
                <w:sz w:val="22"/>
                <w:szCs w:val="22"/>
              </w:rPr>
            </w:pPr>
            <w:r w:rsidRPr="00834149">
              <w:rPr>
                <w:rFonts w:asciiTheme="minorHAnsi" w:hAnsiTheme="minorHAnsi"/>
                <w:sz w:val="22"/>
                <w:szCs w:val="22"/>
              </w:rPr>
              <w:t>2</w:t>
            </w:r>
            <w:r w:rsidR="005B3DAD" w:rsidRPr="00834149">
              <w:rPr>
                <w:rFonts w:asciiTheme="minorHAnsi" w:hAnsiTheme="minorHAnsi"/>
                <w:sz w:val="22"/>
                <w:szCs w:val="22"/>
              </w:rPr>
              <w:t>.6</w:t>
            </w:r>
          </w:p>
        </w:tc>
      </w:tr>
      <w:tr w:rsidR="00280F7D" w:rsidRPr="00A50430" w14:paraId="157DB998" w14:textId="77777777" w:rsidTr="00834149">
        <w:tc>
          <w:tcPr>
            <w:tcW w:w="5845" w:type="dxa"/>
            <w:shd w:val="clear" w:color="auto" w:fill="F6F4E1" w:themeFill="accent3" w:themeFillTint="33"/>
          </w:tcPr>
          <w:p w14:paraId="254F1A74" w14:textId="1345ACED" w:rsidR="00280F7D" w:rsidRPr="00834149" w:rsidRDefault="00280F7D" w:rsidP="00834149">
            <w:pPr>
              <w:pStyle w:val="Default"/>
              <w:rPr>
                <w:rFonts w:asciiTheme="minorHAnsi" w:hAnsiTheme="minorHAnsi"/>
                <w:b/>
                <w:sz w:val="22"/>
                <w:szCs w:val="22"/>
              </w:rPr>
            </w:pPr>
            <w:r w:rsidRPr="00834149">
              <w:rPr>
                <w:rFonts w:asciiTheme="minorHAnsi" w:hAnsiTheme="minorHAnsi"/>
                <w:b/>
                <w:sz w:val="22"/>
                <w:szCs w:val="22"/>
              </w:rPr>
              <w:t>Total</w:t>
            </w:r>
          </w:p>
        </w:tc>
        <w:tc>
          <w:tcPr>
            <w:tcW w:w="720" w:type="dxa"/>
            <w:shd w:val="clear" w:color="auto" w:fill="F6F4E1" w:themeFill="accent3" w:themeFillTint="33"/>
          </w:tcPr>
          <w:p w14:paraId="66B68F1B" w14:textId="77777777" w:rsidR="00280F7D" w:rsidRPr="00834149" w:rsidRDefault="00280F7D" w:rsidP="00834149">
            <w:pPr>
              <w:pStyle w:val="Default"/>
              <w:jc w:val="center"/>
              <w:rPr>
                <w:rFonts w:asciiTheme="minorHAnsi" w:hAnsiTheme="minorHAnsi"/>
                <w:b/>
                <w:sz w:val="22"/>
                <w:szCs w:val="22"/>
              </w:rPr>
            </w:pPr>
          </w:p>
        </w:tc>
        <w:tc>
          <w:tcPr>
            <w:tcW w:w="900" w:type="dxa"/>
            <w:shd w:val="clear" w:color="auto" w:fill="F6F4E1" w:themeFill="accent3" w:themeFillTint="33"/>
          </w:tcPr>
          <w:p w14:paraId="049CFD24" w14:textId="5ECEA1BE" w:rsidR="00280F7D" w:rsidRPr="00834149" w:rsidRDefault="0005495B" w:rsidP="00834149">
            <w:pPr>
              <w:pStyle w:val="Default"/>
              <w:jc w:val="right"/>
              <w:rPr>
                <w:rFonts w:asciiTheme="minorHAnsi" w:hAnsiTheme="minorHAnsi"/>
                <w:b/>
                <w:sz w:val="22"/>
                <w:szCs w:val="22"/>
              </w:rPr>
            </w:pPr>
            <w:r w:rsidRPr="00834149">
              <w:rPr>
                <w:rFonts w:asciiTheme="minorHAnsi" w:hAnsiTheme="minorHAnsi"/>
                <w:b/>
                <w:sz w:val="22"/>
                <w:szCs w:val="22"/>
              </w:rPr>
              <w:t>98</w:t>
            </w:r>
          </w:p>
        </w:tc>
        <w:tc>
          <w:tcPr>
            <w:tcW w:w="990" w:type="dxa"/>
            <w:shd w:val="clear" w:color="auto" w:fill="F6F4E1" w:themeFill="accent3" w:themeFillTint="33"/>
          </w:tcPr>
          <w:p w14:paraId="15A80AFF" w14:textId="4B1B0DA9" w:rsidR="00280F7D" w:rsidRPr="00834149" w:rsidRDefault="000831C7" w:rsidP="00834149">
            <w:pPr>
              <w:pStyle w:val="Default"/>
              <w:jc w:val="right"/>
              <w:rPr>
                <w:rFonts w:asciiTheme="minorHAnsi" w:hAnsiTheme="minorHAnsi"/>
                <w:b/>
                <w:sz w:val="22"/>
                <w:szCs w:val="22"/>
              </w:rPr>
            </w:pPr>
            <w:r w:rsidRPr="00834149">
              <w:rPr>
                <w:rFonts w:asciiTheme="minorHAnsi" w:hAnsiTheme="minorHAnsi"/>
                <w:b/>
                <w:sz w:val="22"/>
                <w:szCs w:val="22"/>
              </w:rPr>
              <w:t>107</w:t>
            </w:r>
            <w:r w:rsidR="0005495B" w:rsidRPr="00834149">
              <w:rPr>
                <w:rFonts w:asciiTheme="minorHAnsi" w:hAnsiTheme="minorHAnsi"/>
                <w:b/>
                <w:sz w:val="22"/>
                <w:szCs w:val="22"/>
              </w:rPr>
              <w:t>.7</w:t>
            </w:r>
          </w:p>
        </w:tc>
        <w:tc>
          <w:tcPr>
            <w:tcW w:w="901" w:type="dxa"/>
            <w:shd w:val="clear" w:color="auto" w:fill="F6F4E1" w:themeFill="accent3" w:themeFillTint="33"/>
          </w:tcPr>
          <w:p w14:paraId="6ABAA5F6" w14:textId="456AE93F" w:rsidR="00280F7D" w:rsidRPr="00834149" w:rsidRDefault="000831C7" w:rsidP="00834149">
            <w:pPr>
              <w:pStyle w:val="Default"/>
              <w:jc w:val="right"/>
              <w:rPr>
                <w:rFonts w:asciiTheme="minorHAnsi" w:hAnsiTheme="minorHAnsi"/>
                <w:b/>
                <w:sz w:val="22"/>
                <w:szCs w:val="22"/>
              </w:rPr>
            </w:pPr>
            <w:r w:rsidRPr="00834149">
              <w:rPr>
                <w:rFonts w:asciiTheme="minorHAnsi" w:hAnsiTheme="minorHAnsi"/>
                <w:b/>
                <w:sz w:val="22"/>
                <w:szCs w:val="22"/>
              </w:rPr>
              <w:t>113</w:t>
            </w:r>
            <w:r w:rsidR="005B3DAD" w:rsidRPr="00834149">
              <w:rPr>
                <w:rFonts w:asciiTheme="minorHAnsi" w:hAnsiTheme="minorHAnsi"/>
                <w:b/>
                <w:sz w:val="22"/>
                <w:szCs w:val="22"/>
              </w:rPr>
              <w:t>.</w:t>
            </w:r>
            <w:r w:rsidRPr="00834149">
              <w:rPr>
                <w:rFonts w:asciiTheme="minorHAnsi" w:hAnsiTheme="minorHAnsi"/>
                <w:b/>
                <w:sz w:val="22"/>
                <w:szCs w:val="22"/>
              </w:rPr>
              <w:t>0</w:t>
            </w:r>
          </w:p>
        </w:tc>
      </w:tr>
    </w:tbl>
    <w:p w14:paraId="2FE07843" w14:textId="0B545CB7" w:rsidR="00D76B19" w:rsidRPr="00834149" w:rsidRDefault="00D76B19" w:rsidP="00A50430">
      <w:pPr>
        <w:rPr>
          <w:rFonts w:cs="Times New Roman"/>
          <w:b/>
          <w:color w:val="000000"/>
        </w:rPr>
      </w:pPr>
    </w:p>
    <w:p w14:paraId="7989B6AC" w14:textId="3AB55F8D" w:rsidR="00442937" w:rsidRPr="00834149" w:rsidRDefault="004D2354" w:rsidP="00A50430">
      <w:pPr>
        <w:pStyle w:val="ListParagraph"/>
        <w:numPr>
          <w:ilvl w:val="0"/>
          <w:numId w:val="2"/>
        </w:numPr>
        <w:ind w:left="0" w:firstLine="0"/>
        <w:contextualSpacing w:val="0"/>
        <w:jc w:val="both"/>
        <w:rPr>
          <w:rFonts w:eastAsia="Times New Roman" w:cs="Times New Roman"/>
        </w:rPr>
      </w:pPr>
      <w:r w:rsidRPr="00834149">
        <w:rPr>
          <w:rFonts w:cs="Times New Roman"/>
          <w:b/>
        </w:rPr>
        <w:t xml:space="preserve">The </w:t>
      </w:r>
      <w:r w:rsidR="00296F75" w:rsidRPr="00834149">
        <w:rPr>
          <w:rFonts w:cs="Times New Roman"/>
          <w:b/>
        </w:rPr>
        <w:t xml:space="preserve">WBG </w:t>
      </w:r>
      <w:r w:rsidRPr="00834149">
        <w:rPr>
          <w:rFonts w:cs="Times New Roman"/>
          <w:b/>
        </w:rPr>
        <w:t xml:space="preserve">will work to strengthen public procurement practices, including the development of the electronic management of tender processes (e-procurement) </w:t>
      </w:r>
      <w:r w:rsidR="0032769E" w:rsidRPr="00834149">
        <w:rPr>
          <w:rFonts w:cs="Times New Roman"/>
          <w:b/>
        </w:rPr>
        <w:t xml:space="preserve">that </w:t>
      </w:r>
      <w:r w:rsidRPr="00834149">
        <w:rPr>
          <w:rFonts w:cs="Times New Roman"/>
          <w:b/>
        </w:rPr>
        <w:t>has been adopted under the Procurement Law</w:t>
      </w:r>
      <w:r w:rsidR="00F73E26" w:rsidRPr="00834149">
        <w:rPr>
          <w:rFonts w:cs="Times New Roman"/>
          <w:b/>
        </w:rPr>
        <w:t>, the</w:t>
      </w:r>
      <w:r w:rsidRPr="00834149">
        <w:rPr>
          <w:rFonts w:cs="Times New Roman"/>
          <w:b/>
        </w:rPr>
        <w:t xml:space="preserve"> introduction of a bidder prequalification process</w:t>
      </w:r>
      <w:r w:rsidR="00F73E26" w:rsidRPr="00834149">
        <w:rPr>
          <w:rFonts w:cs="Times New Roman"/>
          <w:b/>
        </w:rPr>
        <w:t>,</w:t>
      </w:r>
      <w:r w:rsidRPr="00834149">
        <w:rPr>
          <w:rFonts w:cs="Times New Roman"/>
          <w:b/>
        </w:rPr>
        <w:t xml:space="preserve"> and categorization of enterprises</w:t>
      </w:r>
      <w:r w:rsidRPr="00834149">
        <w:rPr>
          <w:rFonts w:cs="Times New Roman"/>
        </w:rPr>
        <w:t xml:space="preserve">. To improve the effectiveness of public procurement, the </w:t>
      </w:r>
      <w:r w:rsidR="00090FE6" w:rsidRPr="00834149">
        <w:rPr>
          <w:rFonts w:cs="Times New Roman"/>
        </w:rPr>
        <w:t xml:space="preserve">World </w:t>
      </w:r>
      <w:r w:rsidRPr="00834149">
        <w:rPr>
          <w:rFonts w:cs="Times New Roman"/>
        </w:rPr>
        <w:t xml:space="preserve">Bank will help the </w:t>
      </w:r>
      <w:r w:rsidR="000F5595" w:rsidRPr="00834149">
        <w:rPr>
          <w:rFonts w:cs="Times New Roman"/>
        </w:rPr>
        <w:t>G</w:t>
      </w:r>
      <w:r w:rsidRPr="00834149">
        <w:rPr>
          <w:rFonts w:cs="Times New Roman"/>
        </w:rPr>
        <w:t xml:space="preserve">overnment professionalize procurement services and provide training in procurement for selected </w:t>
      </w:r>
      <w:r w:rsidRPr="00834149">
        <w:rPr>
          <w:rFonts w:cs="Times New Roman"/>
        </w:rPr>
        <w:lastRenderedPageBreak/>
        <w:t xml:space="preserve">procurement units; support the </w:t>
      </w:r>
      <w:r w:rsidR="00F73E26" w:rsidRPr="00834149">
        <w:rPr>
          <w:rFonts w:cs="Times New Roman"/>
        </w:rPr>
        <w:t>establishment</w:t>
      </w:r>
      <w:r w:rsidRPr="00834149">
        <w:rPr>
          <w:rFonts w:cs="Times New Roman"/>
        </w:rPr>
        <w:t xml:space="preserve"> of </w:t>
      </w:r>
      <w:r w:rsidR="00F73E26" w:rsidRPr="00834149">
        <w:rPr>
          <w:rFonts w:cs="Times New Roman"/>
        </w:rPr>
        <w:t xml:space="preserve">a </w:t>
      </w:r>
      <w:r w:rsidRPr="00834149">
        <w:rPr>
          <w:rFonts w:cs="Times New Roman"/>
        </w:rPr>
        <w:t>procurement strategy; and establish procurement</w:t>
      </w:r>
      <w:r w:rsidR="00F73E26" w:rsidRPr="00834149">
        <w:rPr>
          <w:rFonts w:cs="Times New Roman"/>
        </w:rPr>
        <w:t>-</w:t>
      </w:r>
      <w:r w:rsidRPr="00834149">
        <w:rPr>
          <w:rFonts w:cs="Times New Roman"/>
        </w:rPr>
        <w:t>compliant review and auditing mec</w:t>
      </w:r>
      <w:r w:rsidR="00442937" w:rsidRPr="00834149">
        <w:rPr>
          <w:rFonts w:cs="Times New Roman"/>
        </w:rPr>
        <w:t>hanisms.</w:t>
      </w:r>
    </w:p>
    <w:p w14:paraId="347BC972" w14:textId="77777777" w:rsidR="003F399A" w:rsidRPr="00834149" w:rsidRDefault="003F399A" w:rsidP="00A50430">
      <w:pPr>
        <w:pStyle w:val="ListParagraph"/>
        <w:ind w:left="0"/>
        <w:contextualSpacing w:val="0"/>
        <w:jc w:val="both"/>
        <w:rPr>
          <w:rFonts w:eastAsia="Times New Roman" w:cs="Times New Roman"/>
        </w:rPr>
      </w:pPr>
    </w:p>
    <w:p w14:paraId="069A80E6" w14:textId="481F59B9" w:rsidR="00B22F05" w:rsidRPr="00834149" w:rsidRDefault="00784221" w:rsidP="00A50430">
      <w:pPr>
        <w:pStyle w:val="ListParagraph"/>
        <w:numPr>
          <w:ilvl w:val="0"/>
          <w:numId w:val="2"/>
        </w:numPr>
        <w:ind w:left="0" w:firstLine="0"/>
        <w:contextualSpacing w:val="0"/>
        <w:jc w:val="both"/>
        <w:rPr>
          <w:rFonts w:eastAsia="Times New Roman" w:cs="Times New Roman"/>
        </w:rPr>
      </w:pPr>
      <w:r w:rsidRPr="00834149">
        <w:rPr>
          <w:rFonts w:cs="Times New Roman"/>
          <w:b/>
        </w:rPr>
        <w:t xml:space="preserve">To mitigate </w:t>
      </w:r>
      <w:r w:rsidR="00F73E26" w:rsidRPr="00834149">
        <w:rPr>
          <w:rFonts w:cs="Times New Roman"/>
          <w:b/>
        </w:rPr>
        <w:t>the portfo</w:t>
      </w:r>
      <w:r w:rsidR="00B55D28" w:rsidRPr="00834149">
        <w:rPr>
          <w:rFonts w:cs="Times New Roman"/>
          <w:b/>
        </w:rPr>
        <w:t>l</w:t>
      </w:r>
      <w:r w:rsidR="00F73E26" w:rsidRPr="00834149">
        <w:rPr>
          <w:rFonts w:cs="Times New Roman"/>
          <w:b/>
        </w:rPr>
        <w:t xml:space="preserve">io’s </w:t>
      </w:r>
      <w:r w:rsidRPr="00834149">
        <w:rPr>
          <w:rFonts w:cs="Times New Roman"/>
          <w:b/>
        </w:rPr>
        <w:t xml:space="preserve">fiduciary risks, the </w:t>
      </w:r>
      <w:r w:rsidR="00090FE6" w:rsidRPr="00834149">
        <w:rPr>
          <w:rFonts w:cs="Times New Roman"/>
          <w:b/>
        </w:rPr>
        <w:t xml:space="preserve">World </w:t>
      </w:r>
      <w:r w:rsidRPr="00834149">
        <w:rPr>
          <w:rFonts w:cs="Times New Roman"/>
          <w:b/>
        </w:rPr>
        <w:t xml:space="preserve">Bank has agreed with the </w:t>
      </w:r>
      <w:r w:rsidR="000F5595" w:rsidRPr="00834149">
        <w:rPr>
          <w:rFonts w:cs="Times New Roman"/>
          <w:b/>
        </w:rPr>
        <w:t>G</w:t>
      </w:r>
      <w:r w:rsidRPr="00834149">
        <w:rPr>
          <w:rFonts w:cs="Times New Roman"/>
          <w:b/>
        </w:rPr>
        <w:t>overnment to strengthen, rather than bypass, national institutions for gradual use of country systems for staffing, budgeting, accounting, financial control</w:t>
      </w:r>
      <w:r w:rsidR="00F73E26" w:rsidRPr="00834149">
        <w:rPr>
          <w:rFonts w:cs="Times New Roman"/>
          <w:b/>
        </w:rPr>
        <w:t>,</w:t>
      </w:r>
      <w:r w:rsidRPr="00834149">
        <w:rPr>
          <w:rFonts w:cs="Times New Roman"/>
          <w:b/>
        </w:rPr>
        <w:t xml:space="preserve"> and disbursement.</w:t>
      </w:r>
      <w:r w:rsidRPr="00834149">
        <w:rPr>
          <w:rFonts w:cs="Times New Roman"/>
        </w:rPr>
        <w:t xml:space="preserve"> To date, </w:t>
      </w:r>
      <w:r w:rsidR="00873BCE" w:rsidRPr="00834149">
        <w:rPr>
          <w:rFonts w:cs="Times New Roman"/>
        </w:rPr>
        <w:t xml:space="preserve">Bank-financed investment operations in Togo are implemented by PIUs using </w:t>
      </w:r>
      <w:r w:rsidR="00873BCE">
        <w:rPr>
          <w:rFonts w:cs="Times New Roman"/>
        </w:rPr>
        <w:t>the Bank’</w:t>
      </w:r>
      <w:r w:rsidR="00873BCE" w:rsidRPr="00834149">
        <w:rPr>
          <w:rFonts w:cs="Times New Roman"/>
        </w:rPr>
        <w:t xml:space="preserve"> </w:t>
      </w:r>
      <w:r w:rsidRPr="00834149">
        <w:rPr>
          <w:rFonts w:cs="Times New Roman"/>
        </w:rPr>
        <w:t xml:space="preserve"> financial management requirements and procedures. However, </w:t>
      </w:r>
      <w:r w:rsidRPr="00834149">
        <w:rPr>
          <w:rFonts w:cs="Times New Roman"/>
          <w:iCs/>
        </w:rPr>
        <w:t xml:space="preserve">Togo’s portfolio will see a shift in reliance on </w:t>
      </w:r>
      <w:r w:rsidR="00F44226" w:rsidRPr="00834149">
        <w:rPr>
          <w:rFonts w:cs="Times New Roman"/>
          <w:iCs/>
        </w:rPr>
        <w:t>PIUs</w:t>
      </w:r>
      <w:r w:rsidRPr="00834149">
        <w:rPr>
          <w:rFonts w:cs="Times New Roman"/>
          <w:iCs/>
        </w:rPr>
        <w:t xml:space="preserve"> to</w:t>
      </w:r>
      <w:r w:rsidR="00F44226" w:rsidRPr="00834149">
        <w:rPr>
          <w:rFonts w:cs="Times New Roman"/>
          <w:iCs/>
        </w:rPr>
        <w:t>ward</w:t>
      </w:r>
      <w:r w:rsidRPr="00834149">
        <w:rPr>
          <w:rFonts w:cs="Times New Roman"/>
          <w:iCs/>
        </w:rPr>
        <w:t xml:space="preserve"> national agencies. The Basic Services and Safety Nets, Employment Opportunities for </w:t>
      </w:r>
      <w:r w:rsidR="00F44226" w:rsidRPr="00834149">
        <w:rPr>
          <w:rFonts w:cs="Times New Roman"/>
          <w:iCs/>
        </w:rPr>
        <w:t xml:space="preserve">Vulnerable </w:t>
      </w:r>
      <w:r w:rsidRPr="00834149">
        <w:rPr>
          <w:rFonts w:cs="Times New Roman"/>
          <w:iCs/>
        </w:rPr>
        <w:t>Youth</w:t>
      </w:r>
      <w:r w:rsidR="00F44226" w:rsidRPr="00834149">
        <w:rPr>
          <w:rFonts w:cs="Times New Roman"/>
          <w:iCs/>
        </w:rPr>
        <w:t>,</w:t>
      </w:r>
      <w:r w:rsidRPr="00834149">
        <w:rPr>
          <w:rFonts w:cs="Times New Roman"/>
          <w:iCs/>
        </w:rPr>
        <w:t xml:space="preserve"> and Urban Infrastructure Projects are all assessing institutional capacity to allow for implementation with national counterparts. </w:t>
      </w:r>
      <w:r w:rsidR="00F44226" w:rsidRPr="00834149">
        <w:rPr>
          <w:rFonts w:cs="Times New Roman"/>
        </w:rPr>
        <w:t>T</w:t>
      </w:r>
      <w:r w:rsidRPr="00834149">
        <w:rPr>
          <w:rFonts w:cs="Times New Roman"/>
        </w:rPr>
        <w:t>o scale up the use of country systems,</w:t>
      </w:r>
      <w:r w:rsidR="0078625B" w:rsidRPr="00834149">
        <w:rPr>
          <w:rFonts w:cs="Times New Roman"/>
        </w:rPr>
        <w:t xml:space="preserve"> the Inspector General of Finances</w:t>
      </w:r>
      <w:r w:rsidRPr="00834149">
        <w:rPr>
          <w:rFonts w:cs="Times New Roman"/>
        </w:rPr>
        <w:t xml:space="preserve"> is sharing the function of internal audit with individual internal auditors at some PIUs and will be trained to be fully operational and carry out ex-post reviews </w:t>
      </w:r>
      <w:r w:rsidR="00F44226" w:rsidRPr="00834149">
        <w:rPr>
          <w:rFonts w:cs="Times New Roman"/>
        </w:rPr>
        <w:t>o</w:t>
      </w:r>
      <w:r w:rsidRPr="00834149">
        <w:rPr>
          <w:rFonts w:cs="Times New Roman"/>
        </w:rPr>
        <w:t>n a bi-yearly basis.</w:t>
      </w:r>
    </w:p>
    <w:p w14:paraId="5570BA07" w14:textId="15F953D6" w:rsidR="00784221" w:rsidRPr="00834149" w:rsidRDefault="00784221" w:rsidP="00A50430">
      <w:pPr>
        <w:pStyle w:val="ListParagraph"/>
        <w:ind w:left="0"/>
        <w:contextualSpacing w:val="0"/>
        <w:jc w:val="both"/>
        <w:rPr>
          <w:rFonts w:eastAsia="Times New Roman" w:cs="Times New Roman"/>
        </w:rPr>
      </w:pPr>
    </w:p>
    <w:p w14:paraId="50262DBA" w14:textId="75C1F2C2" w:rsidR="001669C8" w:rsidRPr="00834149" w:rsidRDefault="001669C8" w:rsidP="00834149">
      <w:pPr>
        <w:pStyle w:val="ListParagraph"/>
        <w:numPr>
          <w:ilvl w:val="0"/>
          <w:numId w:val="2"/>
        </w:numPr>
        <w:ind w:left="0" w:firstLine="0"/>
        <w:contextualSpacing w:val="0"/>
        <w:jc w:val="both"/>
        <w:rPr>
          <w:rFonts w:eastAsia="Times New Roman" w:cs="Times New Roman"/>
        </w:rPr>
      </w:pPr>
      <w:r w:rsidRPr="00834149">
        <w:rPr>
          <w:rFonts w:eastAsia="Times New Roman" w:cs="Times New Roman"/>
          <w:b/>
        </w:rPr>
        <w:t>IFC has a rich investment program in Togo that covers transport, power, manufacturing, health, and SME finance</w:t>
      </w:r>
      <w:r w:rsidRPr="00834149">
        <w:rPr>
          <w:rFonts w:eastAsia="Times New Roman" w:cs="Times New Roman"/>
        </w:rPr>
        <w:t>.</w:t>
      </w:r>
      <w:r w:rsidRPr="00834149">
        <w:rPr>
          <w:rFonts w:eastAsia="Times New Roman" w:cs="Times New Roman"/>
          <w:b/>
        </w:rPr>
        <w:t xml:space="preserve"> </w:t>
      </w:r>
      <w:r w:rsidRPr="00834149">
        <w:rPr>
          <w:rFonts w:cs="Times New Roman"/>
        </w:rPr>
        <w:t>IFC invested in the Lomé Container Terminal (a US$104 million loan for a state-of-the-art transshipment container handling terminal), Lomé Container Terminal II (US$11 million for terminal expansion), and Contour Global IPP (a US$10 million loan for 100MW power plant in Lomé). IFC currently supports the two financial institutions Ecobank Togo and Orabank Togo with trade. IFC has a risk-sharing facility with Ecobank Togo, which facilitates the provision of affordable and sustainable finance to promote growth of the SME sector, which is in turn expected to boost employment generation.</w:t>
      </w:r>
      <w:r w:rsidRPr="00834149">
        <w:rPr>
          <w:rFonts w:eastAsia="Times New Roman" w:cs="Times New Roman"/>
        </w:rPr>
        <w:t xml:space="preserve"> All IFC projects are performing well. The complaints lodged against Lomé Container Terminal alleging that it is </w:t>
      </w:r>
      <w:r w:rsidRPr="00834149">
        <w:rPr>
          <w:rFonts w:cs="Times New Roman"/>
        </w:rPr>
        <w:t>contributing to coastal erosion and affecting the population’s livelihood</w:t>
      </w:r>
      <w:r w:rsidRPr="00834149">
        <w:rPr>
          <w:rFonts w:eastAsia="Times New Roman" w:cs="Times New Roman"/>
        </w:rPr>
        <w:t xml:space="preserve"> are being taken seriously. IFC adheres to the highest environmental and social standards through its Performance Standards. IFC is undertaking an internal review of the project, claims, and reports, and will revert to the </w:t>
      </w:r>
      <w:r w:rsidR="000F5595" w:rsidRPr="00834149">
        <w:rPr>
          <w:rFonts w:eastAsia="Times New Roman" w:cs="Times New Roman"/>
        </w:rPr>
        <w:t>G</w:t>
      </w:r>
      <w:r w:rsidRPr="00834149">
        <w:rPr>
          <w:rFonts w:eastAsia="Times New Roman" w:cs="Times New Roman"/>
        </w:rPr>
        <w:t>overnment when the process is complete.</w:t>
      </w:r>
    </w:p>
    <w:p w14:paraId="1009DECA" w14:textId="77777777" w:rsidR="005A4234" w:rsidRPr="00834149" w:rsidRDefault="005A4234" w:rsidP="00A50430">
      <w:pPr>
        <w:rPr>
          <w:rFonts w:cs="Times New Roman"/>
          <w:b/>
          <w:iCs/>
        </w:rPr>
      </w:pPr>
      <w:r w:rsidRPr="00A50430">
        <w:rPr>
          <w:b/>
          <w:iCs/>
        </w:rPr>
        <w:br w:type="page"/>
      </w:r>
    </w:p>
    <w:p w14:paraId="63B51A20" w14:textId="064494B7" w:rsidR="001669C8" w:rsidRPr="00834149" w:rsidRDefault="001669C8" w:rsidP="00834149">
      <w:pPr>
        <w:pStyle w:val="Default"/>
        <w:rPr>
          <w:rFonts w:asciiTheme="minorHAnsi" w:hAnsiTheme="minorHAnsi"/>
          <w:b/>
          <w:iCs/>
          <w:color w:val="auto"/>
          <w:sz w:val="22"/>
          <w:szCs w:val="22"/>
        </w:rPr>
      </w:pPr>
      <w:r w:rsidRPr="00834149">
        <w:rPr>
          <w:rFonts w:asciiTheme="minorHAnsi" w:hAnsiTheme="minorHAnsi"/>
          <w:b/>
          <w:iCs/>
          <w:color w:val="auto"/>
          <w:sz w:val="22"/>
          <w:szCs w:val="22"/>
        </w:rPr>
        <w:lastRenderedPageBreak/>
        <w:t xml:space="preserve">Table </w:t>
      </w:r>
      <w:r w:rsidR="00E3596C" w:rsidRPr="00834149">
        <w:rPr>
          <w:rFonts w:asciiTheme="minorHAnsi" w:hAnsiTheme="minorHAnsi"/>
          <w:b/>
          <w:iCs/>
          <w:color w:val="auto"/>
          <w:sz w:val="22"/>
          <w:szCs w:val="22"/>
        </w:rPr>
        <w:t>7</w:t>
      </w:r>
      <w:r w:rsidRPr="00834149">
        <w:rPr>
          <w:rFonts w:asciiTheme="minorHAnsi" w:hAnsiTheme="minorHAnsi"/>
          <w:b/>
          <w:iCs/>
          <w:color w:val="auto"/>
          <w:sz w:val="22"/>
          <w:szCs w:val="22"/>
        </w:rPr>
        <w:t>: IFC Investment Portfolio (committed balance)</w:t>
      </w:r>
      <w:r w:rsidRPr="00834149">
        <w:rPr>
          <w:rFonts w:asciiTheme="minorHAnsi" w:hAnsiTheme="minorHAnsi" w:cs="Arial"/>
          <w:sz w:val="22"/>
          <w:szCs w:val="22"/>
        </w:rPr>
        <w:t xml:space="preserve"> </w:t>
      </w: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260"/>
        <w:gridCol w:w="3510"/>
        <w:gridCol w:w="1440"/>
      </w:tblGrid>
      <w:tr w:rsidR="001669C8" w:rsidRPr="00A50430" w14:paraId="7308E771" w14:textId="77777777" w:rsidTr="003335D1">
        <w:trPr>
          <w:trHeight w:val="255"/>
        </w:trPr>
        <w:tc>
          <w:tcPr>
            <w:tcW w:w="3060" w:type="dxa"/>
            <w:shd w:val="clear" w:color="auto" w:fill="EBF2F1" w:themeFill="accent2" w:themeFillTint="33"/>
            <w:noWrap/>
            <w:vAlign w:val="center"/>
            <w:hideMark/>
          </w:tcPr>
          <w:p w14:paraId="35B82A7F" w14:textId="77777777" w:rsidR="001669C8" w:rsidRPr="00834149" w:rsidRDefault="001669C8" w:rsidP="00A50430">
            <w:pPr>
              <w:jc w:val="center"/>
              <w:rPr>
                <w:rFonts w:eastAsia="Calibri" w:cs="Times New Roman"/>
                <w:b/>
                <w:bCs/>
              </w:rPr>
            </w:pPr>
            <w:r w:rsidRPr="00834149">
              <w:rPr>
                <w:rFonts w:eastAsia="Calibri" w:cs="Times New Roman"/>
                <w:b/>
                <w:bCs/>
              </w:rPr>
              <w:t>Client</w:t>
            </w:r>
          </w:p>
        </w:tc>
        <w:tc>
          <w:tcPr>
            <w:tcW w:w="1260" w:type="dxa"/>
            <w:shd w:val="clear" w:color="auto" w:fill="EBF2F1" w:themeFill="accent2" w:themeFillTint="33"/>
            <w:noWrap/>
            <w:vAlign w:val="center"/>
            <w:hideMark/>
          </w:tcPr>
          <w:p w14:paraId="7543210D" w14:textId="77777777" w:rsidR="001669C8" w:rsidRPr="00834149" w:rsidRDefault="001669C8" w:rsidP="00A50430">
            <w:pPr>
              <w:jc w:val="center"/>
              <w:rPr>
                <w:rFonts w:eastAsia="Calibri" w:cs="Times New Roman"/>
                <w:b/>
                <w:bCs/>
              </w:rPr>
            </w:pPr>
            <w:r w:rsidRPr="00834149">
              <w:rPr>
                <w:rFonts w:eastAsia="Calibri" w:cs="Times New Roman"/>
                <w:b/>
                <w:bCs/>
              </w:rPr>
              <w:t>Sector</w:t>
            </w:r>
          </w:p>
        </w:tc>
        <w:tc>
          <w:tcPr>
            <w:tcW w:w="3510" w:type="dxa"/>
            <w:shd w:val="clear" w:color="auto" w:fill="EBF2F1" w:themeFill="accent2" w:themeFillTint="33"/>
          </w:tcPr>
          <w:p w14:paraId="2B57E48A" w14:textId="77777777" w:rsidR="001669C8" w:rsidRPr="00834149" w:rsidRDefault="001669C8" w:rsidP="00A50430">
            <w:pPr>
              <w:jc w:val="center"/>
              <w:rPr>
                <w:rFonts w:cs="Times New Roman"/>
                <w:b/>
                <w:bCs/>
              </w:rPr>
            </w:pPr>
          </w:p>
        </w:tc>
        <w:tc>
          <w:tcPr>
            <w:tcW w:w="1440" w:type="dxa"/>
            <w:shd w:val="clear" w:color="auto" w:fill="EBF2F1" w:themeFill="accent2" w:themeFillTint="33"/>
            <w:noWrap/>
            <w:vAlign w:val="center"/>
            <w:hideMark/>
          </w:tcPr>
          <w:p w14:paraId="65E73C80" w14:textId="0F71A24C" w:rsidR="001669C8" w:rsidRPr="00834149" w:rsidRDefault="001669C8" w:rsidP="00A50430">
            <w:pPr>
              <w:jc w:val="center"/>
              <w:rPr>
                <w:rFonts w:eastAsia="Calibri" w:cs="Times New Roman"/>
                <w:b/>
                <w:bCs/>
              </w:rPr>
            </w:pPr>
            <w:r w:rsidRPr="00834149">
              <w:rPr>
                <w:rFonts w:cs="Times New Roman"/>
                <w:b/>
                <w:bCs/>
              </w:rPr>
              <w:t>Committed Balance (US$ m)</w:t>
            </w:r>
          </w:p>
        </w:tc>
      </w:tr>
      <w:tr w:rsidR="001669C8" w:rsidRPr="00A50430" w14:paraId="39FE6DC2" w14:textId="77777777" w:rsidTr="009F3777">
        <w:trPr>
          <w:trHeight w:val="255"/>
        </w:trPr>
        <w:tc>
          <w:tcPr>
            <w:tcW w:w="9270" w:type="dxa"/>
            <w:gridSpan w:val="4"/>
            <w:shd w:val="clear" w:color="auto" w:fill="F8F8F0" w:themeFill="background2" w:themeFillTint="33"/>
          </w:tcPr>
          <w:p w14:paraId="37A3DE4D" w14:textId="77777777" w:rsidR="001669C8" w:rsidRPr="00834149" w:rsidRDefault="001669C8" w:rsidP="00A50430">
            <w:pPr>
              <w:jc w:val="center"/>
              <w:rPr>
                <w:rFonts w:cs="Times New Roman"/>
                <w:b/>
                <w:noProof/>
              </w:rPr>
            </w:pPr>
            <w:r w:rsidRPr="00834149">
              <w:rPr>
                <w:rFonts w:cs="Times New Roman"/>
                <w:b/>
                <w:noProof/>
              </w:rPr>
              <w:t>Infrastructure</w:t>
            </w:r>
          </w:p>
        </w:tc>
      </w:tr>
      <w:tr w:rsidR="001669C8" w:rsidRPr="00A50430" w14:paraId="2AB9B395" w14:textId="77777777" w:rsidTr="00844141">
        <w:trPr>
          <w:trHeight w:val="255"/>
        </w:trPr>
        <w:tc>
          <w:tcPr>
            <w:tcW w:w="3060" w:type="dxa"/>
            <w:shd w:val="clear" w:color="auto" w:fill="auto"/>
            <w:noWrap/>
            <w:vAlign w:val="bottom"/>
          </w:tcPr>
          <w:p w14:paraId="5BF91CE0" w14:textId="77777777" w:rsidR="001669C8" w:rsidRPr="00834149" w:rsidRDefault="001669C8" w:rsidP="00A50430">
            <w:pPr>
              <w:jc w:val="center"/>
              <w:rPr>
                <w:rFonts w:cs="Times New Roman"/>
                <w:noProof/>
              </w:rPr>
            </w:pPr>
            <w:r w:rsidRPr="00834149">
              <w:rPr>
                <w:rFonts w:cs="Times New Roman"/>
                <w:noProof/>
              </w:rPr>
              <w:t>Lome Container Terminal Mobilization</w:t>
            </w:r>
          </w:p>
        </w:tc>
        <w:tc>
          <w:tcPr>
            <w:tcW w:w="1260" w:type="dxa"/>
            <w:shd w:val="clear" w:color="auto" w:fill="auto"/>
            <w:noWrap/>
            <w:vAlign w:val="bottom"/>
          </w:tcPr>
          <w:p w14:paraId="7ED59BB5" w14:textId="77777777" w:rsidR="001669C8" w:rsidRPr="00834149" w:rsidRDefault="001669C8" w:rsidP="00A50430">
            <w:pPr>
              <w:jc w:val="center"/>
              <w:rPr>
                <w:rFonts w:cs="Times New Roman"/>
                <w:noProof/>
              </w:rPr>
            </w:pPr>
            <w:r w:rsidRPr="00834149">
              <w:rPr>
                <w:rFonts w:cs="Times New Roman"/>
                <w:noProof/>
              </w:rPr>
              <w:t>Port</w:t>
            </w:r>
          </w:p>
        </w:tc>
        <w:tc>
          <w:tcPr>
            <w:tcW w:w="3510" w:type="dxa"/>
            <w:vMerge w:val="restart"/>
          </w:tcPr>
          <w:p w14:paraId="63C362E4" w14:textId="77777777" w:rsidR="001669C8" w:rsidRPr="00834149" w:rsidRDefault="001669C8" w:rsidP="00A50430">
            <w:pPr>
              <w:jc w:val="center"/>
              <w:rPr>
                <w:rFonts w:cs="Times New Roman"/>
                <w:noProof/>
              </w:rPr>
            </w:pPr>
            <w:r w:rsidRPr="00834149">
              <w:rPr>
                <w:rFonts w:cs="Times New Roman"/>
              </w:rPr>
              <w:t>State-of-the-art transshipment container handling terminal at the Port of Lomé plus mobilization from 5 lenders.</w:t>
            </w:r>
          </w:p>
        </w:tc>
        <w:tc>
          <w:tcPr>
            <w:tcW w:w="1440" w:type="dxa"/>
            <w:shd w:val="clear" w:color="auto" w:fill="auto"/>
            <w:noWrap/>
            <w:vAlign w:val="bottom"/>
          </w:tcPr>
          <w:p w14:paraId="59B5B3A5" w14:textId="77777777" w:rsidR="001669C8" w:rsidRPr="00834149" w:rsidRDefault="001669C8" w:rsidP="00A50430">
            <w:pPr>
              <w:jc w:val="center"/>
              <w:rPr>
                <w:rFonts w:cs="Times New Roman"/>
                <w:noProof/>
              </w:rPr>
            </w:pPr>
            <w:r w:rsidRPr="00834149">
              <w:rPr>
                <w:rFonts w:cs="Times New Roman"/>
                <w:noProof/>
              </w:rPr>
              <w:t>160</w:t>
            </w:r>
          </w:p>
        </w:tc>
      </w:tr>
      <w:tr w:rsidR="001669C8" w:rsidRPr="00A50430" w14:paraId="5103A231" w14:textId="77777777" w:rsidTr="00844141">
        <w:trPr>
          <w:trHeight w:val="255"/>
        </w:trPr>
        <w:tc>
          <w:tcPr>
            <w:tcW w:w="3060" w:type="dxa"/>
            <w:shd w:val="clear" w:color="auto" w:fill="auto"/>
            <w:noWrap/>
            <w:vAlign w:val="bottom"/>
          </w:tcPr>
          <w:p w14:paraId="312B3186" w14:textId="77777777" w:rsidR="001669C8" w:rsidRPr="00834149" w:rsidRDefault="001669C8" w:rsidP="00A50430">
            <w:pPr>
              <w:jc w:val="center"/>
              <w:rPr>
                <w:rFonts w:cs="Times New Roman"/>
                <w:noProof/>
              </w:rPr>
            </w:pPr>
            <w:r w:rsidRPr="00834149">
              <w:rPr>
                <w:rFonts w:cs="Times New Roman"/>
                <w:noProof/>
              </w:rPr>
              <w:t>Lome Container Terminal 1</w:t>
            </w:r>
          </w:p>
        </w:tc>
        <w:tc>
          <w:tcPr>
            <w:tcW w:w="1260" w:type="dxa"/>
            <w:shd w:val="clear" w:color="auto" w:fill="auto"/>
            <w:noWrap/>
            <w:vAlign w:val="bottom"/>
          </w:tcPr>
          <w:p w14:paraId="6117A5B6" w14:textId="77777777" w:rsidR="001669C8" w:rsidRPr="00834149" w:rsidRDefault="001669C8" w:rsidP="00A50430">
            <w:pPr>
              <w:jc w:val="center"/>
              <w:rPr>
                <w:rFonts w:cs="Times New Roman"/>
                <w:noProof/>
              </w:rPr>
            </w:pPr>
            <w:r w:rsidRPr="00834149">
              <w:rPr>
                <w:rFonts w:cs="Times New Roman"/>
                <w:noProof/>
              </w:rPr>
              <w:t>Port</w:t>
            </w:r>
          </w:p>
        </w:tc>
        <w:tc>
          <w:tcPr>
            <w:tcW w:w="3510" w:type="dxa"/>
            <w:vMerge/>
          </w:tcPr>
          <w:p w14:paraId="633D349F" w14:textId="77777777" w:rsidR="001669C8" w:rsidRPr="00834149" w:rsidRDefault="001669C8" w:rsidP="00A50430">
            <w:pPr>
              <w:jc w:val="center"/>
              <w:rPr>
                <w:rFonts w:cs="Times New Roman"/>
                <w:noProof/>
              </w:rPr>
            </w:pPr>
          </w:p>
        </w:tc>
        <w:tc>
          <w:tcPr>
            <w:tcW w:w="1440" w:type="dxa"/>
            <w:shd w:val="clear" w:color="auto" w:fill="auto"/>
            <w:noWrap/>
            <w:vAlign w:val="bottom"/>
          </w:tcPr>
          <w:p w14:paraId="3E189B1E" w14:textId="77777777" w:rsidR="001669C8" w:rsidRPr="00834149" w:rsidRDefault="001669C8" w:rsidP="00A50430">
            <w:pPr>
              <w:jc w:val="center"/>
              <w:rPr>
                <w:rFonts w:cs="Times New Roman"/>
                <w:noProof/>
              </w:rPr>
            </w:pPr>
            <w:r w:rsidRPr="00834149">
              <w:rPr>
                <w:rFonts w:cs="Times New Roman"/>
                <w:noProof/>
              </w:rPr>
              <w:t>104</w:t>
            </w:r>
          </w:p>
        </w:tc>
      </w:tr>
      <w:tr w:rsidR="001669C8" w:rsidRPr="00A50430" w14:paraId="1ED3B3FA" w14:textId="77777777" w:rsidTr="00844141">
        <w:trPr>
          <w:trHeight w:val="255"/>
        </w:trPr>
        <w:tc>
          <w:tcPr>
            <w:tcW w:w="3060" w:type="dxa"/>
            <w:shd w:val="clear" w:color="auto" w:fill="auto"/>
            <w:noWrap/>
            <w:vAlign w:val="bottom"/>
          </w:tcPr>
          <w:p w14:paraId="137218E8" w14:textId="77777777" w:rsidR="001669C8" w:rsidRPr="00834149" w:rsidRDefault="001669C8" w:rsidP="00A50430">
            <w:pPr>
              <w:jc w:val="center"/>
              <w:rPr>
                <w:rFonts w:cs="Times New Roman"/>
                <w:noProof/>
              </w:rPr>
            </w:pPr>
            <w:r w:rsidRPr="00834149">
              <w:rPr>
                <w:rFonts w:cs="Times New Roman"/>
                <w:noProof/>
              </w:rPr>
              <w:t>Lome Container Terminal 2</w:t>
            </w:r>
          </w:p>
        </w:tc>
        <w:tc>
          <w:tcPr>
            <w:tcW w:w="1260" w:type="dxa"/>
            <w:shd w:val="clear" w:color="auto" w:fill="auto"/>
            <w:noWrap/>
            <w:vAlign w:val="bottom"/>
          </w:tcPr>
          <w:p w14:paraId="1B322D5D" w14:textId="77777777" w:rsidR="001669C8" w:rsidRPr="00834149" w:rsidRDefault="001669C8" w:rsidP="00A50430">
            <w:pPr>
              <w:jc w:val="center"/>
              <w:rPr>
                <w:rFonts w:cs="Times New Roman"/>
                <w:noProof/>
              </w:rPr>
            </w:pPr>
            <w:r w:rsidRPr="00834149">
              <w:rPr>
                <w:rFonts w:cs="Times New Roman"/>
                <w:noProof/>
              </w:rPr>
              <w:t>Port</w:t>
            </w:r>
          </w:p>
        </w:tc>
        <w:tc>
          <w:tcPr>
            <w:tcW w:w="3510" w:type="dxa"/>
            <w:vMerge/>
          </w:tcPr>
          <w:p w14:paraId="6F02FB49" w14:textId="77777777" w:rsidR="001669C8" w:rsidRPr="00834149" w:rsidRDefault="001669C8" w:rsidP="00A50430">
            <w:pPr>
              <w:jc w:val="center"/>
              <w:rPr>
                <w:rFonts w:cs="Times New Roman"/>
                <w:noProof/>
              </w:rPr>
            </w:pPr>
          </w:p>
        </w:tc>
        <w:tc>
          <w:tcPr>
            <w:tcW w:w="1440" w:type="dxa"/>
            <w:shd w:val="clear" w:color="auto" w:fill="auto"/>
            <w:noWrap/>
            <w:vAlign w:val="bottom"/>
          </w:tcPr>
          <w:p w14:paraId="606F09B1" w14:textId="77777777" w:rsidR="001669C8" w:rsidRPr="00834149" w:rsidRDefault="001669C8" w:rsidP="00A50430">
            <w:pPr>
              <w:jc w:val="center"/>
              <w:rPr>
                <w:rFonts w:cs="Times New Roman"/>
                <w:noProof/>
              </w:rPr>
            </w:pPr>
            <w:r w:rsidRPr="00834149">
              <w:rPr>
                <w:rFonts w:cs="Times New Roman"/>
                <w:noProof/>
              </w:rPr>
              <w:t>11</w:t>
            </w:r>
          </w:p>
        </w:tc>
      </w:tr>
      <w:tr w:rsidR="001669C8" w:rsidRPr="00A50430" w14:paraId="3627C68D" w14:textId="77777777" w:rsidTr="00844141">
        <w:trPr>
          <w:trHeight w:val="255"/>
        </w:trPr>
        <w:tc>
          <w:tcPr>
            <w:tcW w:w="3060" w:type="dxa"/>
            <w:shd w:val="clear" w:color="auto" w:fill="auto"/>
            <w:noWrap/>
            <w:vAlign w:val="bottom"/>
          </w:tcPr>
          <w:p w14:paraId="3AAC4E25" w14:textId="77777777" w:rsidR="001669C8" w:rsidRPr="00834149" w:rsidRDefault="001669C8" w:rsidP="00A50430">
            <w:pPr>
              <w:jc w:val="center"/>
              <w:rPr>
                <w:rFonts w:cs="Times New Roman"/>
                <w:noProof/>
              </w:rPr>
            </w:pPr>
            <w:r w:rsidRPr="00834149">
              <w:rPr>
                <w:rFonts w:cs="Times New Roman"/>
                <w:noProof/>
              </w:rPr>
              <w:t>CG Togo</w:t>
            </w:r>
          </w:p>
        </w:tc>
        <w:tc>
          <w:tcPr>
            <w:tcW w:w="1260" w:type="dxa"/>
            <w:shd w:val="clear" w:color="auto" w:fill="auto"/>
            <w:noWrap/>
            <w:vAlign w:val="bottom"/>
          </w:tcPr>
          <w:p w14:paraId="7F3EB07D" w14:textId="77777777" w:rsidR="001669C8" w:rsidRPr="00834149" w:rsidRDefault="001669C8" w:rsidP="00A50430">
            <w:pPr>
              <w:jc w:val="center"/>
              <w:rPr>
                <w:rFonts w:cs="Times New Roman"/>
                <w:noProof/>
              </w:rPr>
            </w:pPr>
            <w:r w:rsidRPr="00834149">
              <w:rPr>
                <w:rFonts w:cs="Times New Roman"/>
                <w:noProof/>
              </w:rPr>
              <w:t>Power</w:t>
            </w:r>
          </w:p>
        </w:tc>
        <w:tc>
          <w:tcPr>
            <w:tcW w:w="3510" w:type="dxa"/>
          </w:tcPr>
          <w:p w14:paraId="23059D74" w14:textId="77777777" w:rsidR="001669C8" w:rsidRPr="00834149" w:rsidRDefault="001669C8" w:rsidP="00A50430">
            <w:pPr>
              <w:jc w:val="center"/>
              <w:rPr>
                <w:rFonts w:cs="Times New Roman"/>
                <w:noProof/>
              </w:rPr>
            </w:pPr>
            <w:r w:rsidRPr="00834149">
              <w:rPr>
                <w:rFonts w:cs="Times New Roman"/>
                <w:noProof/>
              </w:rPr>
              <w:t>First independent power production (IPP) project</w:t>
            </w:r>
          </w:p>
        </w:tc>
        <w:tc>
          <w:tcPr>
            <w:tcW w:w="1440" w:type="dxa"/>
            <w:shd w:val="clear" w:color="auto" w:fill="auto"/>
            <w:noWrap/>
            <w:vAlign w:val="bottom"/>
          </w:tcPr>
          <w:p w14:paraId="2976304D" w14:textId="77777777" w:rsidR="001669C8" w:rsidRPr="00834149" w:rsidRDefault="001669C8" w:rsidP="00A50430">
            <w:pPr>
              <w:jc w:val="center"/>
              <w:rPr>
                <w:rFonts w:cs="Times New Roman"/>
                <w:noProof/>
              </w:rPr>
            </w:pPr>
            <w:r w:rsidRPr="00834149">
              <w:rPr>
                <w:rFonts w:cs="Times New Roman"/>
                <w:noProof/>
              </w:rPr>
              <w:t>14</w:t>
            </w:r>
          </w:p>
        </w:tc>
      </w:tr>
      <w:tr w:rsidR="001669C8" w:rsidRPr="00A50430" w14:paraId="7A754332" w14:textId="77777777" w:rsidTr="009F3777">
        <w:trPr>
          <w:trHeight w:val="255"/>
        </w:trPr>
        <w:tc>
          <w:tcPr>
            <w:tcW w:w="9270" w:type="dxa"/>
            <w:gridSpan w:val="4"/>
            <w:shd w:val="clear" w:color="auto" w:fill="F8F8F0" w:themeFill="background2" w:themeFillTint="33"/>
          </w:tcPr>
          <w:p w14:paraId="2EF8DB20" w14:textId="77777777" w:rsidR="001669C8" w:rsidRPr="00834149" w:rsidRDefault="001669C8" w:rsidP="00A50430">
            <w:pPr>
              <w:jc w:val="center"/>
              <w:rPr>
                <w:rFonts w:cs="Times New Roman"/>
                <w:b/>
                <w:noProof/>
              </w:rPr>
            </w:pPr>
            <w:r w:rsidRPr="00834149">
              <w:rPr>
                <w:rFonts w:cs="Times New Roman"/>
                <w:b/>
                <w:noProof/>
              </w:rPr>
              <w:t>Financial Instituations</w:t>
            </w:r>
          </w:p>
        </w:tc>
      </w:tr>
      <w:tr w:rsidR="001669C8" w:rsidRPr="00A50430" w14:paraId="67BB2E14" w14:textId="77777777" w:rsidTr="00844141">
        <w:trPr>
          <w:trHeight w:val="255"/>
        </w:trPr>
        <w:tc>
          <w:tcPr>
            <w:tcW w:w="3060" w:type="dxa"/>
            <w:shd w:val="clear" w:color="auto" w:fill="auto"/>
            <w:noWrap/>
            <w:vAlign w:val="bottom"/>
          </w:tcPr>
          <w:p w14:paraId="0F1B6AC7" w14:textId="77777777" w:rsidR="001669C8" w:rsidRPr="00834149" w:rsidRDefault="001669C8" w:rsidP="00A50430">
            <w:pPr>
              <w:jc w:val="center"/>
              <w:rPr>
                <w:rFonts w:cs="Times New Roman"/>
                <w:noProof/>
              </w:rPr>
            </w:pPr>
            <w:r w:rsidRPr="00834149">
              <w:rPr>
                <w:rFonts w:cs="Times New Roman"/>
                <w:noProof/>
              </w:rPr>
              <w:t>ORABANK TOGO</w:t>
            </w:r>
          </w:p>
        </w:tc>
        <w:tc>
          <w:tcPr>
            <w:tcW w:w="1260" w:type="dxa"/>
            <w:shd w:val="clear" w:color="auto" w:fill="auto"/>
            <w:noWrap/>
            <w:vAlign w:val="bottom"/>
          </w:tcPr>
          <w:p w14:paraId="29DC0333" w14:textId="77777777" w:rsidR="001669C8" w:rsidRPr="00834149" w:rsidRDefault="001669C8" w:rsidP="00A50430">
            <w:pPr>
              <w:jc w:val="center"/>
              <w:rPr>
                <w:rFonts w:cs="Times New Roman"/>
                <w:noProof/>
              </w:rPr>
            </w:pPr>
            <w:r w:rsidRPr="00834149">
              <w:rPr>
                <w:rFonts w:cs="Times New Roman"/>
                <w:noProof/>
              </w:rPr>
              <w:t xml:space="preserve">Trade </w:t>
            </w:r>
          </w:p>
        </w:tc>
        <w:tc>
          <w:tcPr>
            <w:tcW w:w="3510" w:type="dxa"/>
          </w:tcPr>
          <w:p w14:paraId="78738A20" w14:textId="77777777" w:rsidR="001669C8" w:rsidRPr="00834149" w:rsidRDefault="001669C8" w:rsidP="00A50430">
            <w:pPr>
              <w:jc w:val="center"/>
              <w:rPr>
                <w:rFonts w:cs="Times New Roman"/>
                <w:noProof/>
              </w:rPr>
            </w:pPr>
            <w:r w:rsidRPr="00834149">
              <w:rPr>
                <w:rFonts w:cs="Times New Roman"/>
                <w:noProof/>
              </w:rPr>
              <w:t>Trade finance</w:t>
            </w:r>
          </w:p>
        </w:tc>
        <w:tc>
          <w:tcPr>
            <w:tcW w:w="1440" w:type="dxa"/>
            <w:shd w:val="clear" w:color="auto" w:fill="auto"/>
            <w:noWrap/>
            <w:vAlign w:val="bottom"/>
          </w:tcPr>
          <w:p w14:paraId="0386DC39" w14:textId="77777777" w:rsidR="001669C8" w:rsidRPr="00834149" w:rsidRDefault="001669C8" w:rsidP="00A50430">
            <w:pPr>
              <w:jc w:val="center"/>
              <w:rPr>
                <w:rFonts w:cs="Times New Roman"/>
                <w:noProof/>
              </w:rPr>
            </w:pPr>
            <w:r w:rsidRPr="00834149">
              <w:rPr>
                <w:rFonts w:cs="Times New Roman"/>
                <w:noProof/>
              </w:rPr>
              <w:t>4</w:t>
            </w:r>
          </w:p>
        </w:tc>
      </w:tr>
      <w:tr w:rsidR="001669C8" w:rsidRPr="00A50430" w14:paraId="28541DA7" w14:textId="77777777" w:rsidTr="00844141">
        <w:trPr>
          <w:trHeight w:val="255"/>
        </w:trPr>
        <w:tc>
          <w:tcPr>
            <w:tcW w:w="3060" w:type="dxa"/>
            <w:shd w:val="clear" w:color="auto" w:fill="auto"/>
            <w:noWrap/>
            <w:vAlign w:val="bottom"/>
          </w:tcPr>
          <w:p w14:paraId="12E39806" w14:textId="77777777" w:rsidR="001669C8" w:rsidRPr="00834149" w:rsidRDefault="001669C8" w:rsidP="00A50430">
            <w:pPr>
              <w:jc w:val="center"/>
              <w:rPr>
                <w:rFonts w:cs="Times New Roman"/>
                <w:noProof/>
              </w:rPr>
            </w:pPr>
            <w:r w:rsidRPr="00834149">
              <w:rPr>
                <w:rFonts w:cs="Times New Roman"/>
                <w:noProof/>
              </w:rPr>
              <w:t>Ecobank Togo</w:t>
            </w:r>
          </w:p>
        </w:tc>
        <w:tc>
          <w:tcPr>
            <w:tcW w:w="1260" w:type="dxa"/>
            <w:shd w:val="clear" w:color="auto" w:fill="auto"/>
            <w:noWrap/>
            <w:vAlign w:val="bottom"/>
          </w:tcPr>
          <w:p w14:paraId="404BE117" w14:textId="77777777" w:rsidR="001669C8" w:rsidRPr="00834149" w:rsidRDefault="001669C8" w:rsidP="00A50430">
            <w:pPr>
              <w:jc w:val="center"/>
              <w:rPr>
                <w:rFonts w:cs="Times New Roman"/>
                <w:noProof/>
              </w:rPr>
            </w:pPr>
            <w:r w:rsidRPr="00834149">
              <w:rPr>
                <w:rFonts w:cs="Times New Roman"/>
                <w:noProof/>
              </w:rPr>
              <w:t>Trade</w:t>
            </w:r>
          </w:p>
        </w:tc>
        <w:tc>
          <w:tcPr>
            <w:tcW w:w="3510" w:type="dxa"/>
          </w:tcPr>
          <w:p w14:paraId="3A071110" w14:textId="77777777" w:rsidR="001669C8" w:rsidRPr="00834149" w:rsidDel="000D45C9" w:rsidRDefault="001669C8" w:rsidP="00A50430">
            <w:pPr>
              <w:jc w:val="center"/>
              <w:rPr>
                <w:rFonts w:cs="Times New Roman"/>
                <w:noProof/>
              </w:rPr>
            </w:pPr>
            <w:r w:rsidRPr="00834149">
              <w:rPr>
                <w:rFonts w:cs="Times New Roman"/>
              </w:rPr>
              <w:t>Part of IFC and AMC’s US$150 million investment in Ecobank Transnational (ETI)</w:t>
            </w:r>
          </w:p>
        </w:tc>
        <w:tc>
          <w:tcPr>
            <w:tcW w:w="1440" w:type="dxa"/>
            <w:shd w:val="clear" w:color="auto" w:fill="auto"/>
            <w:noWrap/>
            <w:vAlign w:val="bottom"/>
          </w:tcPr>
          <w:p w14:paraId="3C266742" w14:textId="77777777" w:rsidR="001669C8" w:rsidRPr="00834149" w:rsidRDefault="001669C8" w:rsidP="00A50430">
            <w:pPr>
              <w:jc w:val="center"/>
              <w:rPr>
                <w:rFonts w:cs="Times New Roman"/>
                <w:noProof/>
              </w:rPr>
            </w:pPr>
            <w:r w:rsidRPr="00834149">
              <w:rPr>
                <w:rFonts w:cs="Times New Roman"/>
                <w:noProof/>
              </w:rPr>
              <w:t>7</w:t>
            </w:r>
          </w:p>
        </w:tc>
      </w:tr>
      <w:tr w:rsidR="001669C8" w:rsidRPr="00A50430" w14:paraId="2CCB294E" w14:textId="77777777" w:rsidTr="00844141">
        <w:trPr>
          <w:trHeight w:val="255"/>
        </w:trPr>
        <w:tc>
          <w:tcPr>
            <w:tcW w:w="3060" w:type="dxa"/>
            <w:shd w:val="clear" w:color="auto" w:fill="auto"/>
            <w:noWrap/>
            <w:vAlign w:val="bottom"/>
          </w:tcPr>
          <w:p w14:paraId="3E025EDE" w14:textId="77777777" w:rsidR="001669C8" w:rsidRPr="00834149" w:rsidRDefault="001669C8" w:rsidP="00A50430">
            <w:pPr>
              <w:jc w:val="center"/>
              <w:rPr>
                <w:rFonts w:cs="Times New Roman"/>
                <w:noProof/>
              </w:rPr>
            </w:pPr>
            <w:r w:rsidRPr="00834149">
              <w:rPr>
                <w:rFonts w:cs="Times New Roman"/>
                <w:noProof/>
              </w:rPr>
              <w:t>Oragroup*</w:t>
            </w:r>
          </w:p>
        </w:tc>
        <w:tc>
          <w:tcPr>
            <w:tcW w:w="1260" w:type="dxa"/>
            <w:shd w:val="clear" w:color="auto" w:fill="auto"/>
            <w:noWrap/>
            <w:vAlign w:val="bottom"/>
          </w:tcPr>
          <w:p w14:paraId="7BFE4442" w14:textId="77777777" w:rsidR="001669C8" w:rsidRPr="00834149" w:rsidRDefault="001669C8" w:rsidP="00A50430">
            <w:pPr>
              <w:jc w:val="center"/>
              <w:rPr>
                <w:rFonts w:cs="Times New Roman"/>
                <w:noProof/>
              </w:rPr>
            </w:pPr>
            <w:r w:rsidRPr="00834149">
              <w:rPr>
                <w:rFonts w:cs="Times New Roman"/>
                <w:noProof/>
              </w:rPr>
              <w:t>Equity</w:t>
            </w:r>
          </w:p>
        </w:tc>
        <w:tc>
          <w:tcPr>
            <w:tcW w:w="3510" w:type="dxa"/>
          </w:tcPr>
          <w:p w14:paraId="648DA178" w14:textId="77777777" w:rsidR="001669C8" w:rsidRPr="00834149" w:rsidDel="000D45C9" w:rsidRDefault="001669C8" w:rsidP="00A50430">
            <w:pPr>
              <w:jc w:val="center"/>
              <w:rPr>
                <w:rFonts w:cs="Times New Roman"/>
                <w:noProof/>
              </w:rPr>
            </w:pPr>
            <w:r w:rsidRPr="00834149">
              <w:rPr>
                <w:rFonts w:cs="Times New Roman"/>
                <w:noProof/>
              </w:rPr>
              <w:t>Equity through a fund</w:t>
            </w:r>
          </w:p>
        </w:tc>
        <w:tc>
          <w:tcPr>
            <w:tcW w:w="1440" w:type="dxa"/>
            <w:shd w:val="clear" w:color="auto" w:fill="auto"/>
            <w:noWrap/>
            <w:vAlign w:val="bottom"/>
          </w:tcPr>
          <w:p w14:paraId="28785E6C" w14:textId="77777777" w:rsidR="001669C8" w:rsidRPr="00834149" w:rsidRDefault="001669C8" w:rsidP="00A50430">
            <w:pPr>
              <w:jc w:val="center"/>
              <w:rPr>
                <w:rFonts w:cs="Times New Roman"/>
                <w:noProof/>
              </w:rPr>
            </w:pPr>
            <w:r w:rsidRPr="00834149">
              <w:rPr>
                <w:rFonts w:cs="Times New Roman"/>
                <w:noProof/>
              </w:rPr>
              <w:t>6</w:t>
            </w:r>
          </w:p>
        </w:tc>
      </w:tr>
      <w:tr w:rsidR="001669C8" w:rsidRPr="00A50430" w14:paraId="17305DCD" w14:textId="77777777" w:rsidTr="00844141">
        <w:trPr>
          <w:trHeight w:val="255"/>
        </w:trPr>
        <w:tc>
          <w:tcPr>
            <w:tcW w:w="3060" w:type="dxa"/>
            <w:shd w:val="clear" w:color="auto" w:fill="auto"/>
            <w:noWrap/>
            <w:vAlign w:val="bottom"/>
          </w:tcPr>
          <w:p w14:paraId="08FC6789" w14:textId="77777777" w:rsidR="001669C8" w:rsidRPr="00834149" w:rsidRDefault="001669C8" w:rsidP="00A50430">
            <w:pPr>
              <w:jc w:val="center"/>
              <w:rPr>
                <w:rFonts w:cs="Times New Roman"/>
                <w:noProof/>
              </w:rPr>
            </w:pPr>
            <w:r w:rsidRPr="00834149">
              <w:rPr>
                <w:rFonts w:cs="Times New Roman"/>
                <w:noProof/>
              </w:rPr>
              <w:t>Ecobank Togo SME RSF</w:t>
            </w:r>
          </w:p>
        </w:tc>
        <w:tc>
          <w:tcPr>
            <w:tcW w:w="1260" w:type="dxa"/>
            <w:shd w:val="clear" w:color="auto" w:fill="auto"/>
            <w:noWrap/>
            <w:vAlign w:val="bottom"/>
          </w:tcPr>
          <w:p w14:paraId="561CB036" w14:textId="77777777" w:rsidR="001669C8" w:rsidRPr="00834149" w:rsidRDefault="001669C8" w:rsidP="00A50430">
            <w:pPr>
              <w:jc w:val="center"/>
              <w:rPr>
                <w:rFonts w:cs="Times New Roman"/>
                <w:noProof/>
              </w:rPr>
            </w:pPr>
            <w:r w:rsidRPr="00834149">
              <w:rPr>
                <w:rFonts w:cs="Times New Roman"/>
                <w:noProof/>
              </w:rPr>
              <w:t>Guarantee</w:t>
            </w:r>
          </w:p>
        </w:tc>
        <w:tc>
          <w:tcPr>
            <w:tcW w:w="3510" w:type="dxa"/>
          </w:tcPr>
          <w:p w14:paraId="25A0DF5C" w14:textId="77777777" w:rsidR="001669C8" w:rsidRPr="00834149" w:rsidDel="007D28EE" w:rsidRDefault="001669C8" w:rsidP="00A50430">
            <w:pPr>
              <w:jc w:val="center"/>
              <w:rPr>
                <w:rFonts w:cs="Times New Roman"/>
                <w:noProof/>
              </w:rPr>
            </w:pPr>
            <w:r w:rsidRPr="00834149">
              <w:rPr>
                <w:rFonts w:cs="Times New Roman"/>
                <w:noProof/>
              </w:rPr>
              <w:t>Risk sharing facility (RSF)</w:t>
            </w:r>
          </w:p>
        </w:tc>
        <w:tc>
          <w:tcPr>
            <w:tcW w:w="1440" w:type="dxa"/>
            <w:shd w:val="clear" w:color="auto" w:fill="auto"/>
            <w:noWrap/>
            <w:vAlign w:val="bottom"/>
          </w:tcPr>
          <w:p w14:paraId="27A59ACC" w14:textId="77777777" w:rsidR="001669C8" w:rsidRPr="00834149" w:rsidRDefault="001669C8" w:rsidP="00A50430">
            <w:pPr>
              <w:jc w:val="center"/>
              <w:rPr>
                <w:rFonts w:cs="Times New Roman"/>
                <w:noProof/>
              </w:rPr>
            </w:pPr>
            <w:r w:rsidRPr="00834149">
              <w:rPr>
                <w:rFonts w:cs="Times New Roman"/>
                <w:noProof/>
              </w:rPr>
              <w:t>8</w:t>
            </w:r>
          </w:p>
        </w:tc>
      </w:tr>
      <w:tr w:rsidR="001669C8" w:rsidRPr="00A50430" w14:paraId="577EDD28" w14:textId="77777777" w:rsidTr="00844141">
        <w:trPr>
          <w:trHeight w:val="255"/>
        </w:trPr>
        <w:tc>
          <w:tcPr>
            <w:tcW w:w="3060" w:type="dxa"/>
            <w:shd w:val="clear" w:color="auto" w:fill="auto"/>
            <w:noWrap/>
            <w:vAlign w:val="bottom"/>
          </w:tcPr>
          <w:p w14:paraId="358B4535" w14:textId="77777777" w:rsidR="001669C8" w:rsidRPr="00834149" w:rsidRDefault="001669C8" w:rsidP="00A50430">
            <w:pPr>
              <w:jc w:val="center"/>
              <w:rPr>
                <w:rFonts w:cs="Times New Roman"/>
                <w:noProof/>
              </w:rPr>
            </w:pPr>
            <w:r w:rsidRPr="00834149">
              <w:rPr>
                <w:rFonts w:cs="Times New Roman"/>
                <w:noProof/>
              </w:rPr>
              <w:t>Ecobank Togo</w:t>
            </w:r>
          </w:p>
        </w:tc>
        <w:tc>
          <w:tcPr>
            <w:tcW w:w="1260" w:type="dxa"/>
            <w:shd w:val="clear" w:color="auto" w:fill="auto"/>
            <w:noWrap/>
            <w:vAlign w:val="bottom"/>
          </w:tcPr>
          <w:p w14:paraId="3AEAE3E3" w14:textId="77777777" w:rsidR="001669C8" w:rsidRPr="00834149" w:rsidRDefault="001669C8" w:rsidP="00A50430">
            <w:pPr>
              <w:jc w:val="center"/>
              <w:rPr>
                <w:rFonts w:cs="Times New Roman"/>
                <w:noProof/>
              </w:rPr>
            </w:pPr>
            <w:r w:rsidRPr="00834149">
              <w:rPr>
                <w:rFonts w:cs="Times New Roman"/>
                <w:noProof/>
              </w:rPr>
              <w:t>Trade</w:t>
            </w:r>
          </w:p>
        </w:tc>
        <w:tc>
          <w:tcPr>
            <w:tcW w:w="3510" w:type="dxa"/>
          </w:tcPr>
          <w:p w14:paraId="603548F0" w14:textId="77777777" w:rsidR="001669C8" w:rsidRPr="00834149" w:rsidDel="000D45C9" w:rsidRDefault="001669C8" w:rsidP="00A50430">
            <w:pPr>
              <w:jc w:val="center"/>
              <w:rPr>
                <w:rFonts w:cs="Times New Roman"/>
                <w:noProof/>
              </w:rPr>
            </w:pPr>
            <w:r w:rsidRPr="00834149">
              <w:rPr>
                <w:rFonts w:cs="Times New Roman"/>
                <w:noProof/>
              </w:rPr>
              <w:t>Trade finance</w:t>
            </w:r>
          </w:p>
        </w:tc>
        <w:tc>
          <w:tcPr>
            <w:tcW w:w="1440" w:type="dxa"/>
            <w:shd w:val="clear" w:color="auto" w:fill="auto"/>
            <w:noWrap/>
            <w:vAlign w:val="bottom"/>
          </w:tcPr>
          <w:p w14:paraId="773C1858" w14:textId="77777777" w:rsidR="001669C8" w:rsidRPr="00834149" w:rsidRDefault="001669C8" w:rsidP="00A50430">
            <w:pPr>
              <w:jc w:val="center"/>
              <w:rPr>
                <w:rFonts w:cs="Times New Roman"/>
                <w:noProof/>
              </w:rPr>
            </w:pPr>
            <w:r w:rsidRPr="00834149">
              <w:rPr>
                <w:rFonts w:cs="Times New Roman"/>
                <w:noProof/>
              </w:rPr>
              <w:t>5</w:t>
            </w:r>
          </w:p>
        </w:tc>
      </w:tr>
      <w:tr w:rsidR="001669C8" w:rsidRPr="00A50430" w14:paraId="4B922D48" w14:textId="77777777" w:rsidTr="009F3777">
        <w:trPr>
          <w:trHeight w:val="255"/>
        </w:trPr>
        <w:tc>
          <w:tcPr>
            <w:tcW w:w="9270" w:type="dxa"/>
            <w:gridSpan w:val="4"/>
            <w:shd w:val="clear" w:color="auto" w:fill="F8F8F0" w:themeFill="background2" w:themeFillTint="33"/>
            <w:noWrap/>
            <w:vAlign w:val="bottom"/>
          </w:tcPr>
          <w:p w14:paraId="38F724AB" w14:textId="77777777" w:rsidR="001669C8" w:rsidRPr="00834149" w:rsidRDefault="001669C8" w:rsidP="00A50430">
            <w:pPr>
              <w:jc w:val="center"/>
              <w:rPr>
                <w:rFonts w:cs="Times New Roman"/>
                <w:b/>
                <w:noProof/>
              </w:rPr>
            </w:pPr>
            <w:r w:rsidRPr="00834149">
              <w:rPr>
                <w:rFonts w:cs="Times New Roman"/>
                <w:b/>
                <w:noProof/>
              </w:rPr>
              <w:t>Manufacturing, Agribusiness and Services</w:t>
            </w:r>
          </w:p>
        </w:tc>
      </w:tr>
      <w:tr w:rsidR="001669C8" w:rsidRPr="00A50430" w14:paraId="3C4AD199" w14:textId="77777777" w:rsidTr="00844141">
        <w:trPr>
          <w:trHeight w:val="255"/>
        </w:trPr>
        <w:tc>
          <w:tcPr>
            <w:tcW w:w="3060" w:type="dxa"/>
            <w:shd w:val="clear" w:color="auto" w:fill="auto"/>
            <w:noWrap/>
            <w:vAlign w:val="bottom"/>
          </w:tcPr>
          <w:p w14:paraId="387C16A7" w14:textId="77777777" w:rsidR="001669C8" w:rsidRPr="00834149" w:rsidRDefault="001669C8" w:rsidP="00A50430">
            <w:pPr>
              <w:jc w:val="center"/>
              <w:rPr>
                <w:rFonts w:cs="Times New Roman"/>
                <w:noProof/>
              </w:rPr>
            </w:pPr>
            <w:r w:rsidRPr="00834149">
              <w:rPr>
                <w:rFonts w:cs="Times New Roman"/>
              </w:rPr>
              <w:t>Heidelberg Cement</w:t>
            </w:r>
            <w:r w:rsidRPr="00834149" w:rsidDel="007D28EE">
              <w:rPr>
                <w:rFonts w:cs="Times New Roman"/>
                <w:noProof/>
              </w:rPr>
              <w:t xml:space="preserve"> </w:t>
            </w:r>
          </w:p>
        </w:tc>
        <w:tc>
          <w:tcPr>
            <w:tcW w:w="1260" w:type="dxa"/>
            <w:shd w:val="clear" w:color="auto" w:fill="auto"/>
            <w:noWrap/>
            <w:vAlign w:val="bottom"/>
          </w:tcPr>
          <w:p w14:paraId="0B7DE375" w14:textId="77777777" w:rsidR="001669C8" w:rsidRPr="00834149" w:rsidRDefault="001669C8" w:rsidP="00A50430">
            <w:pPr>
              <w:jc w:val="center"/>
              <w:rPr>
                <w:rFonts w:cs="Times New Roman"/>
                <w:noProof/>
              </w:rPr>
            </w:pPr>
            <w:r w:rsidRPr="00834149">
              <w:rPr>
                <w:rFonts w:cs="Times New Roman"/>
              </w:rPr>
              <w:t>Building materials</w:t>
            </w:r>
            <w:r w:rsidRPr="00834149" w:rsidDel="007D28EE">
              <w:rPr>
                <w:rFonts w:cs="Times New Roman"/>
                <w:noProof/>
              </w:rPr>
              <w:t xml:space="preserve"> </w:t>
            </w:r>
          </w:p>
        </w:tc>
        <w:tc>
          <w:tcPr>
            <w:tcW w:w="3510" w:type="dxa"/>
          </w:tcPr>
          <w:p w14:paraId="778BAA5C" w14:textId="77777777" w:rsidR="001669C8" w:rsidRPr="00834149" w:rsidRDefault="001669C8" w:rsidP="00A50430">
            <w:pPr>
              <w:jc w:val="center"/>
              <w:rPr>
                <w:rFonts w:cs="Times New Roman"/>
                <w:noProof/>
              </w:rPr>
            </w:pPr>
            <w:r w:rsidRPr="00834149">
              <w:rPr>
                <w:rFonts w:eastAsia="Times New Roman" w:cs="Times New Roman"/>
              </w:rPr>
              <w:t xml:space="preserve">Part of US$110 million equity investment in Heidelberg Cement in 7 African countries </w:t>
            </w:r>
          </w:p>
        </w:tc>
        <w:tc>
          <w:tcPr>
            <w:tcW w:w="1440" w:type="dxa"/>
            <w:shd w:val="clear" w:color="auto" w:fill="auto"/>
            <w:noWrap/>
            <w:vAlign w:val="bottom"/>
          </w:tcPr>
          <w:p w14:paraId="441387BA" w14:textId="77777777" w:rsidR="001669C8" w:rsidRPr="00834149" w:rsidRDefault="001669C8" w:rsidP="00A50430">
            <w:pPr>
              <w:jc w:val="center"/>
              <w:rPr>
                <w:rFonts w:cs="Times New Roman"/>
                <w:noProof/>
              </w:rPr>
            </w:pPr>
            <w:r w:rsidRPr="00834149">
              <w:rPr>
                <w:rFonts w:cs="Times New Roman"/>
                <w:noProof/>
              </w:rPr>
              <w:t>~35</w:t>
            </w:r>
          </w:p>
        </w:tc>
      </w:tr>
      <w:tr w:rsidR="001669C8" w:rsidRPr="00A50430" w14:paraId="057CE5C0" w14:textId="77777777" w:rsidTr="00844141">
        <w:trPr>
          <w:trHeight w:val="255"/>
        </w:trPr>
        <w:tc>
          <w:tcPr>
            <w:tcW w:w="3060" w:type="dxa"/>
            <w:shd w:val="clear" w:color="auto" w:fill="auto"/>
            <w:noWrap/>
            <w:vAlign w:val="bottom"/>
          </w:tcPr>
          <w:p w14:paraId="1D57AB0F" w14:textId="77777777" w:rsidR="001669C8" w:rsidRPr="00834149" w:rsidRDefault="001669C8" w:rsidP="00A50430">
            <w:pPr>
              <w:jc w:val="center"/>
              <w:rPr>
                <w:rFonts w:cs="Times New Roman"/>
                <w:noProof/>
              </w:rPr>
            </w:pPr>
            <w:r w:rsidRPr="00834149">
              <w:rPr>
                <w:rFonts w:cs="Times New Roman"/>
                <w:noProof/>
              </w:rPr>
              <w:t>Clinique Biasa*</w:t>
            </w:r>
          </w:p>
        </w:tc>
        <w:tc>
          <w:tcPr>
            <w:tcW w:w="1260" w:type="dxa"/>
            <w:shd w:val="clear" w:color="auto" w:fill="auto"/>
            <w:noWrap/>
            <w:vAlign w:val="bottom"/>
          </w:tcPr>
          <w:p w14:paraId="474A1512" w14:textId="77777777" w:rsidR="001669C8" w:rsidRPr="00834149" w:rsidRDefault="001669C8" w:rsidP="00A50430">
            <w:pPr>
              <w:jc w:val="center"/>
              <w:rPr>
                <w:rFonts w:cs="Times New Roman"/>
                <w:noProof/>
              </w:rPr>
            </w:pPr>
            <w:r w:rsidRPr="00834149">
              <w:rPr>
                <w:rFonts w:cs="Times New Roman"/>
                <w:noProof/>
              </w:rPr>
              <w:t>Health</w:t>
            </w:r>
          </w:p>
        </w:tc>
        <w:tc>
          <w:tcPr>
            <w:tcW w:w="3510" w:type="dxa"/>
          </w:tcPr>
          <w:p w14:paraId="00173D58" w14:textId="77777777" w:rsidR="001669C8" w:rsidRPr="00834149" w:rsidRDefault="001669C8" w:rsidP="00A50430">
            <w:pPr>
              <w:jc w:val="center"/>
              <w:rPr>
                <w:rFonts w:cs="Times New Roman"/>
                <w:noProof/>
              </w:rPr>
            </w:pPr>
            <w:r w:rsidRPr="00834149">
              <w:rPr>
                <w:rFonts w:cs="Times New Roman"/>
                <w:noProof/>
              </w:rPr>
              <w:t>Equity through a fund</w:t>
            </w:r>
          </w:p>
        </w:tc>
        <w:tc>
          <w:tcPr>
            <w:tcW w:w="1440" w:type="dxa"/>
            <w:shd w:val="clear" w:color="auto" w:fill="auto"/>
            <w:noWrap/>
            <w:vAlign w:val="bottom"/>
          </w:tcPr>
          <w:p w14:paraId="1698F85E" w14:textId="77777777" w:rsidR="001669C8" w:rsidRPr="00834149" w:rsidRDefault="001669C8" w:rsidP="00A50430">
            <w:pPr>
              <w:jc w:val="center"/>
              <w:rPr>
                <w:rFonts w:cs="Times New Roman"/>
                <w:noProof/>
              </w:rPr>
            </w:pPr>
            <w:r w:rsidRPr="00834149">
              <w:rPr>
                <w:rFonts w:cs="Times New Roman"/>
                <w:noProof/>
              </w:rPr>
              <w:t>1</w:t>
            </w:r>
          </w:p>
        </w:tc>
      </w:tr>
      <w:tr w:rsidR="001669C8" w:rsidRPr="00A50430" w14:paraId="0CD27A04" w14:textId="77777777" w:rsidTr="009F3777">
        <w:trPr>
          <w:trHeight w:val="255"/>
        </w:trPr>
        <w:tc>
          <w:tcPr>
            <w:tcW w:w="3060" w:type="dxa"/>
            <w:shd w:val="clear" w:color="auto" w:fill="F8F8F0" w:themeFill="background2" w:themeFillTint="33"/>
            <w:noWrap/>
            <w:vAlign w:val="center"/>
          </w:tcPr>
          <w:p w14:paraId="2386AF57" w14:textId="77777777" w:rsidR="001669C8" w:rsidRPr="00834149" w:rsidRDefault="001669C8" w:rsidP="00A50430">
            <w:pPr>
              <w:jc w:val="center"/>
              <w:rPr>
                <w:rFonts w:cs="Times New Roman"/>
                <w:b/>
                <w:bCs/>
              </w:rPr>
            </w:pPr>
            <w:r w:rsidRPr="00834149">
              <w:rPr>
                <w:rFonts w:cs="Times New Roman"/>
                <w:b/>
                <w:bCs/>
              </w:rPr>
              <w:t>Total</w:t>
            </w:r>
          </w:p>
        </w:tc>
        <w:tc>
          <w:tcPr>
            <w:tcW w:w="1260" w:type="dxa"/>
            <w:shd w:val="clear" w:color="auto" w:fill="F8F8F0" w:themeFill="background2" w:themeFillTint="33"/>
            <w:noWrap/>
            <w:vAlign w:val="center"/>
          </w:tcPr>
          <w:p w14:paraId="010173EB" w14:textId="77777777" w:rsidR="001669C8" w:rsidRPr="00834149" w:rsidRDefault="001669C8" w:rsidP="00A50430">
            <w:pPr>
              <w:jc w:val="center"/>
              <w:rPr>
                <w:rFonts w:cs="Times New Roman"/>
                <w:b/>
                <w:bCs/>
              </w:rPr>
            </w:pPr>
          </w:p>
        </w:tc>
        <w:tc>
          <w:tcPr>
            <w:tcW w:w="3510" w:type="dxa"/>
            <w:shd w:val="clear" w:color="auto" w:fill="F8F8F0" w:themeFill="background2" w:themeFillTint="33"/>
          </w:tcPr>
          <w:p w14:paraId="2FC8C16F" w14:textId="77777777" w:rsidR="001669C8" w:rsidRPr="00834149" w:rsidRDefault="001669C8" w:rsidP="00A50430">
            <w:pPr>
              <w:jc w:val="center"/>
              <w:rPr>
                <w:rFonts w:cs="Times New Roman"/>
                <w:b/>
                <w:bCs/>
              </w:rPr>
            </w:pPr>
          </w:p>
        </w:tc>
        <w:tc>
          <w:tcPr>
            <w:tcW w:w="1440" w:type="dxa"/>
            <w:shd w:val="clear" w:color="auto" w:fill="F8F8F0" w:themeFill="background2" w:themeFillTint="33"/>
            <w:noWrap/>
            <w:vAlign w:val="center"/>
          </w:tcPr>
          <w:p w14:paraId="43B1889B" w14:textId="77777777" w:rsidR="001669C8" w:rsidRPr="00834149" w:rsidRDefault="001669C8" w:rsidP="00A50430">
            <w:pPr>
              <w:jc w:val="center"/>
              <w:rPr>
                <w:rFonts w:cs="Times New Roman"/>
                <w:b/>
                <w:bCs/>
              </w:rPr>
            </w:pPr>
            <w:r w:rsidRPr="00834149">
              <w:rPr>
                <w:rFonts w:cs="Times New Roman"/>
                <w:b/>
                <w:bCs/>
              </w:rPr>
              <w:t>354</w:t>
            </w:r>
          </w:p>
        </w:tc>
      </w:tr>
    </w:tbl>
    <w:p w14:paraId="019FA334" w14:textId="0E8DD2FC" w:rsidR="001669C8" w:rsidRPr="00834149" w:rsidRDefault="003335D1" w:rsidP="00A50430">
      <w:pPr>
        <w:rPr>
          <w:rFonts w:cs="Times New Roman"/>
          <w:i/>
        </w:rPr>
      </w:pPr>
      <w:r w:rsidRPr="00834149">
        <w:rPr>
          <w:rFonts w:cs="Times New Roman"/>
        </w:rPr>
        <w:t xml:space="preserve"> </w:t>
      </w:r>
      <w:r w:rsidR="001669C8" w:rsidRPr="00834149">
        <w:rPr>
          <w:rFonts w:cs="Times New Roman"/>
          <w:i/>
        </w:rPr>
        <w:t>* through funds</w:t>
      </w:r>
    </w:p>
    <w:p w14:paraId="5EB4DEC8" w14:textId="4365EEB7" w:rsidR="005A4234" w:rsidRPr="00834149" w:rsidRDefault="005A4234" w:rsidP="00A50430">
      <w:pPr>
        <w:rPr>
          <w:rFonts w:cs="Times New Roman"/>
          <w:b/>
          <w:iCs/>
        </w:rPr>
      </w:pPr>
    </w:p>
    <w:p w14:paraId="3BBD9F83" w14:textId="5BD37965" w:rsidR="001669C8" w:rsidRPr="00834149" w:rsidRDefault="001669C8" w:rsidP="00A50430">
      <w:pPr>
        <w:rPr>
          <w:rFonts w:cs="Times New Roman"/>
          <w:b/>
          <w:iCs/>
        </w:rPr>
      </w:pPr>
      <w:r w:rsidRPr="00834149">
        <w:rPr>
          <w:rFonts w:cs="Times New Roman"/>
          <w:b/>
          <w:iCs/>
        </w:rPr>
        <w:t xml:space="preserve">Table </w:t>
      </w:r>
      <w:r w:rsidR="00E3596C" w:rsidRPr="00834149">
        <w:rPr>
          <w:rFonts w:cs="Times New Roman"/>
          <w:b/>
          <w:iCs/>
        </w:rPr>
        <w:t>8</w:t>
      </w:r>
      <w:r w:rsidRPr="00834149">
        <w:rPr>
          <w:rFonts w:cs="Times New Roman"/>
          <w:b/>
          <w:iCs/>
        </w:rPr>
        <w:t>: IFC Advisory program (as of December 31,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3059"/>
        <w:gridCol w:w="3330"/>
        <w:gridCol w:w="1345"/>
      </w:tblGrid>
      <w:tr w:rsidR="001669C8" w:rsidRPr="00A50430" w14:paraId="6DF84AE4" w14:textId="77777777" w:rsidTr="003335D1">
        <w:trPr>
          <w:trHeight w:val="530"/>
        </w:trPr>
        <w:tc>
          <w:tcPr>
            <w:tcW w:w="864" w:type="pct"/>
            <w:tcBorders>
              <w:top w:val="single" w:sz="4" w:space="0" w:color="auto"/>
              <w:left w:val="single" w:sz="4" w:space="0" w:color="auto"/>
              <w:bottom w:val="single" w:sz="4" w:space="0" w:color="auto"/>
              <w:right w:val="single" w:sz="4" w:space="0" w:color="auto"/>
            </w:tcBorders>
            <w:shd w:val="clear" w:color="auto" w:fill="EBF2F1" w:themeFill="accent2" w:themeFillTint="33"/>
            <w:noWrap/>
            <w:vAlign w:val="bottom"/>
            <w:hideMark/>
          </w:tcPr>
          <w:p w14:paraId="749D2D44" w14:textId="77777777" w:rsidR="001669C8" w:rsidRPr="00834149" w:rsidRDefault="001669C8" w:rsidP="00834149">
            <w:pPr>
              <w:rPr>
                <w:rFonts w:eastAsia="Times New Roman" w:cs="Times New Roman"/>
                <w:b/>
                <w:bCs/>
                <w:color w:val="000000"/>
              </w:rPr>
            </w:pPr>
            <w:r w:rsidRPr="00834149">
              <w:rPr>
                <w:rFonts w:eastAsia="Times New Roman" w:cs="Times New Roman"/>
                <w:b/>
                <w:bCs/>
                <w:color w:val="000000"/>
              </w:rPr>
              <w:t>Project Stage</w:t>
            </w:r>
          </w:p>
        </w:tc>
        <w:tc>
          <w:tcPr>
            <w:tcW w:w="1636" w:type="pct"/>
            <w:tcBorders>
              <w:top w:val="single" w:sz="4" w:space="0" w:color="auto"/>
              <w:left w:val="single" w:sz="4" w:space="0" w:color="auto"/>
              <w:bottom w:val="single" w:sz="4" w:space="0" w:color="auto"/>
              <w:right w:val="single" w:sz="4" w:space="0" w:color="auto"/>
            </w:tcBorders>
            <w:shd w:val="clear" w:color="auto" w:fill="EBF2F1" w:themeFill="accent2" w:themeFillTint="33"/>
            <w:noWrap/>
            <w:vAlign w:val="bottom"/>
            <w:hideMark/>
          </w:tcPr>
          <w:p w14:paraId="4CDE913F" w14:textId="77777777" w:rsidR="001669C8" w:rsidRPr="00834149" w:rsidRDefault="001669C8" w:rsidP="00834149">
            <w:pPr>
              <w:rPr>
                <w:rFonts w:eastAsia="Times New Roman" w:cs="Times New Roman"/>
                <w:b/>
                <w:bCs/>
                <w:color w:val="000000"/>
              </w:rPr>
            </w:pPr>
            <w:r w:rsidRPr="00834149">
              <w:rPr>
                <w:rFonts w:eastAsia="Times New Roman" w:cs="Times New Roman"/>
                <w:b/>
                <w:bCs/>
                <w:color w:val="000000"/>
              </w:rPr>
              <w:t>Project Name</w:t>
            </w:r>
          </w:p>
        </w:tc>
        <w:tc>
          <w:tcPr>
            <w:tcW w:w="1781" w:type="pct"/>
            <w:tcBorders>
              <w:top w:val="single" w:sz="4" w:space="0" w:color="auto"/>
              <w:left w:val="single" w:sz="4" w:space="0" w:color="auto"/>
              <w:bottom w:val="single" w:sz="4" w:space="0" w:color="auto"/>
              <w:right w:val="single" w:sz="4" w:space="0" w:color="auto"/>
            </w:tcBorders>
            <w:shd w:val="clear" w:color="auto" w:fill="EBF2F1" w:themeFill="accent2" w:themeFillTint="33"/>
            <w:noWrap/>
            <w:vAlign w:val="bottom"/>
            <w:hideMark/>
          </w:tcPr>
          <w:p w14:paraId="11770E5B" w14:textId="77777777" w:rsidR="001669C8" w:rsidRPr="00834149" w:rsidRDefault="001669C8" w:rsidP="00834149">
            <w:pPr>
              <w:rPr>
                <w:rFonts w:eastAsia="Times New Roman" w:cs="Times New Roman"/>
                <w:b/>
                <w:bCs/>
                <w:color w:val="000000"/>
              </w:rPr>
            </w:pPr>
            <w:r w:rsidRPr="00834149">
              <w:rPr>
                <w:rFonts w:eastAsia="Times New Roman" w:cs="Times New Roman"/>
                <w:b/>
                <w:bCs/>
                <w:color w:val="000000"/>
              </w:rPr>
              <w:t>Primary Business Line Name</w:t>
            </w:r>
          </w:p>
        </w:tc>
        <w:tc>
          <w:tcPr>
            <w:tcW w:w="719" w:type="pct"/>
            <w:tcBorders>
              <w:top w:val="single" w:sz="4" w:space="0" w:color="auto"/>
              <w:left w:val="single" w:sz="4" w:space="0" w:color="auto"/>
              <w:bottom w:val="single" w:sz="4" w:space="0" w:color="auto"/>
              <w:right w:val="single" w:sz="4" w:space="0" w:color="auto"/>
            </w:tcBorders>
            <w:shd w:val="clear" w:color="auto" w:fill="EBF2F1" w:themeFill="accent2" w:themeFillTint="33"/>
            <w:vAlign w:val="bottom"/>
            <w:hideMark/>
          </w:tcPr>
          <w:p w14:paraId="1F6E8530" w14:textId="785483A9" w:rsidR="001669C8" w:rsidRPr="00834149" w:rsidRDefault="00544C76" w:rsidP="00834149">
            <w:pPr>
              <w:rPr>
                <w:rFonts w:eastAsia="Times New Roman" w:cs="Times New Roman"/>
                <w:b/>
                <w:bCs/>
                <w:color w:val="000000"/>
              </w:rPr>
            </w:pPr>
            <w:r w:rsidRPr="00834149">
              <w:rPr>
                <w:rFonts w:eastAsia="Times New Roman" w:cs="Times New Roman"/>
                <w:b/>
                <w:bCs/>
                <w:color w:val="000000"/>
              </w:rPr>
              <w:t xml:space="preserve"> (US$M</w:t>
            </w:r>
            <w:r w:rsidR="001669C8" w:rsidRPr="00834149">
              <w:rPr>
                <w:rFonts w:eastAsia="Times New Roman" w:cs="Times New Roman"/>
                <w:b/>
                <w:bCs/>
                <w:color w:val="000000"/>
              </w:rPr>
              <w:t>)</w:t>
            </w:r>
            <w:r w:rsidRPr="00834149">
              <w:rPr>
                <w:rFonts w:eastAsia="Times New Roman" w:cs="Times New Roman"/>
                <w:b/>
                <w:bCs/>
                <w:color w:val="000000"/>
              </w:rPr>
              <w:t>*</w:t>
            </w:r>
          </w:p>
        </w:tc>
      </w:tr>
      <w:tr w:rsidR="001669C8" w:rsidRPr="00A50430" w14:paraId="393B84D9" w14:textId="77777777" w:rsidTr="009F3777">
        <w:trPr>
          <w:trHeight w:val="255"/>
        </w:trPr>
        <w:tc>
          <w:tcPr>
            <w:tcW w:w="864" w:type="pct"/>
            <w:tcBorders>
              <w:top w:val="single" w:sz="4" w:space="0" w:color="auto"/>
              <w:left w:val="single" w:sz="4" w:space="0" w:color="auto"/>
              <w:bottom w:val="single" w:sz="4" w:space="0" w:color="auto"/>
              <w:right w:val="single" w:sz="4" w:space="0" w:color="auto"/>
            </w:tcBorders>
            <w:shd w:val="clear" w:color="auto" w:fill="F8F8F0" w:themeFill="background2" w:themeFillTint="33"/>
            <w:noWrap/>
            <w:vAlign w:val="bottom"/>
            <w:hideMark/>
          </w:tcPr>
          <w:p w14:paraId="695DFF77" w14:textId="77777777" w:rsidR="001669C8" w:rsidRPr="00834149" w:rsidRDefault="001669C8" w:rsidP="00A50430">
            <w:pPr>
              <w:rPr>
                <w:rFonts w:eastAsia="Times New Roman" w:cs="Times New Roman"/>
                <w:bCs/>
                <w:color w:val="000000"/>
              </w:rPr>
            </w:pPr>
            <w:r w:rsidRPr="00834149">
              <w:rPr>
                <w:rFonts w:eastAsia="Times New Roman" w:cs="Times New Roman"/>
                <w:bCs/>
                <w:color w:val="000000"/>
              </w:rPr>
              <w:t>PORTFOLIO</w:t>
            </w: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E7523" w14:textId="77777777" w:rsidR="001669C8" w:rsidRPr="00834149" w:rsidRDefault="001669C8" w:rsidP="00A50430">
            <w:pPr>
              <w:rPr>
                <w:rFonts w:eastAsia="Times New Roman" w:cs="Times New Roman"/>
                <w:color w:val="000000"/>
              </w:rPr>
            </w:pPr>
            <w:r w:rsidRPr="00834149">
              <w:rPr>
                <w:rFonts w:eastAsia="Times New Roman" w:cs="Times New Roman"/>
                <w:color w:val="000000"/>
              </w:rPr>
              <w:t>Togo Trade Facilitation project</w:t>
            </w:r>
          </w:p>
        </w:tc>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091AF" w14:textId="77777777" w:rsidR="001669C8" w:rsidRPr="00834149" w:rsidRDefault="001669C8" w:rsidP="00A50430">
            <w:pPr>
              <w:rPr>
                <w:rFonts w:eastAsia="Times New Roman" w:cs="Times New Roman"/>
                <w:color w:val="000000"/>
              </w:rPr>
            </w:pPr>
            <w:r w:rsidRPr="00834149">
              <w:rPr>
                <w:rFonts w:eastAsia="Times New Roman" w:cs="Times New Roman"/>
                <w:color w:val="000000"/>
              </w:rPr>
              <w:t>Trade and Competitiveness</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1DBD7" w14:textId="77777777" w:rsidR="001669C8" w:rsidRPr="00834149" w:rsidRDefault="001669C8" w:rsidP="00A50430">
            <w:pPr>
              <w:rPr>
                <w:rFonts w:eastAsia="Times New Roman" w:cs="Times New Roman"/>
                <w:color w:val="000000"/>
              </w:rPr>
            </w:pPr>
            <w:r w:rsidRPr="00834149">
              <w:rPr>
                <w:rFonts w:eastAsia="Times New Roman" w:cs="Times New Roman"/>
                <w:color w:val="000000"/>
              </w:rPr>
              <w:t>1.9</w:t>
            </w:r>
          </w:p>
        </w:tc>
      </w:tr>
      <w:tr w:rsidR="001669C8" w:rsidRPr="00A50430" w14:paraId="6C71AB20" w14:textId="77777777" w:rsidTr="009F3777">
        <w:trPr>
          <w:trHeight w:val="255"/>
        </w:trPr>
        <w:tc>
          <w:tcPr>
            <w:tcW w:w="864" w:type="pct"/>
            <w:tcBorders>
              <w:top w:val="single" w:sz="4" w:space="0" w:color="auto"/>
              <w:left w:val="single" w:sz="4" w:space="0" w:color="auto"/>
              <w:bottom w:val="single" w:sz="4" w:space="0" w:color="auto"/>
              <w:right w:val="single" w:sz="4" w:space="0" w:color="auto"/>
            </w:tcBorders>
            <w:shd w:val="clear" w:color="auto" w:fill="F8F8F0" w:themeFill="background2" w:themeFillTint="33"/>
            <w:noWrap/>
            <w:vAlign w:val="bottom"/>
            <w:hideMark/>
          </w:tcPr>
          <w:p w14:paraId="3B644615" w14:textId="77777777" w:rsidR="001669C8" w:rsidRPr="00834149" w:rsidRDefault="001669C8" w:rsidP="00A50430">
            <w:pPr>
              <w:rPr>
                <w:rFonts w:eastAsia="Times New Roman" w:cs="Times New Roman"/>
                <w:bCs/>
                <w:color w:val="000000"/>
              </w:rPr>
            </w:pPr>
            <w:r w:rsidRPr="00834149">
              <w:rPr>
                <w:rFonts w:eastAsia="Times New Roman" w:cs="Times New Roman"/>
                <w:bCs/>
                <w:color w:val="000000"/>
              </w:rPr>
              <w:t>PIPELINE</w:t>
            </w: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177E3" w14:textId="77777777" w:rsidR="001669C8" w:rsidRPr="00834149" w:rsidRDefault="001669C8" w:rsidP="00A50430">
            <w:pPr>
              <w:rPr>
                <w:rFonts w:eastAsia="Times New Roman" w:cs="Times New Roman"/>
                <w:color w:val="000000"/>
              </w:rPr>
            </w:pPr>
            <w:r w:rsidRPr="00834149">
              <w:rPr>
                <w:rFonts w:eastAsia="Times New Roman" w:cs="Times New Roman"/>
                <w:color w:val="000000"/>
              </w:rPr>
              <w:t>BOAD MOU – PPP Advisory</w:t>
            </w:r>
          </w:p>
        </w:tc>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0F44A" w14:textId="77777777" w:rsidR="001669C8" w:rsidRPr="00834149" w:rsidRDefault="001669C8" w:rsidP="00A50430">
            <w:pPr>
              <w:rPr>
                <w:rFonts w:eastAsia="Times New Roman" w:cs="Times New Roman"/>
                <w:color w:val="000000"/>
              </w:rPr>
            </w:pPr>
            <w:r w:rsidRPr="00834149">
              <w:rPr>
                <w:rFonts w:eastAsia="Times New Roman" w:cs="Times New Roman"/>
                <w:color w:val="000000"/>
              </w:rPr>
              <w:t>Cross-Industry Advisory Services</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896E4" w14:textId="77777777" w:rsidR="001669C8" w:rsidRPr="00834149" w:rsidRDefault="001669C8" w:rsidP="00A50430">
            <w:pPr>
              <w:rPr>
                <w:rFonts w:eastAsia="Times New Roman" w:cs="Times New Roman"/>
                <w:color w:val="000000"/>
              </w:rPr>
            </w:pPr>
            <w:r w:rsidRPr="00834149">
              <w:rPr>
                <w:rFonts w:eastAsia="Times New Roman" w:cs="Times New Roman"/>
                <w:color w:val="000000"/>
              </w:rPr>
              <w:t>TBD</w:t>
            </w:r>
          </w:p>
        </w:tc>
      </w:tr>
      <w:tr w:rsidR="001669C8" w:rsidRPr="00A50430" w14:paraId="17EF4333" w14:textId="77777777" w:rsidTr="009F3777">
        <w:trPr>
          <w:trHeight w:val="255"/>
        </w:trPr>
        <w:tc>
          <w:tcPr>
            <w:tcW w:w="864" w:type="pct"/>
            <w:tcBorders>
              <w:top w:val="single" w:sz="4" w:space="0" w:color="auto"/>
              <w:left w:val="single" w:sz="4" w:space="0" w:color="auto"/>
              <w:bottom w:val="single" w:sz="4" w:space="0" w:color="auto"/>
              <w:right w:val="single" w:sz="4" w:space="0" w:color="auto"/>
            </w:tcBorders>
            <w:shd w:val="clear" w:color="auto" w:fill="F8F8F0" w:themeFill="background2" w:themeFillTint="33"/>
            <w:noWrap/>
            <w:vAlign w:val="bottom"/>
            <w:hideMark/>
          </w:tcPr>
          <w:p w14:paraId="5FBEE5F5" w14:textId="77777777" w:rsidR="001669C8" w:rsidRPr="00834149" w:rsidRDefault="001669C8" w:rsidP="00A50430">
            <w:pPr>
              <w:rPr>
                <w:rFonts w:eastAsia="Times New Roman" w:cs="Times New Roman"/>
                <w:bCs/>
                <w:color w:val="000000"/>
              </w:rPr>
            </w:pPr>
            <w:r w:rsidRPr="00834149">
              <w:rPr>
                <w:rFonts w:eastAsia="Times New Roman" w:cs="Times New Roman"/>
                <w:bCs/>
                <w:color w:val="000000"/>
              </w:rPr>
              <w:t>PIPELINE</w:t>
            </w: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8C13F" w14:textId="77777777" w:rsidR="001669C8" w:rsidRPr="00834149" w:rsidRDefault="001669C8" w:rsidP="00A50430">
            <w:pPr>
              <w:rPr>
                <w:rFonts w:eastAsia="Times New Roman" w:cs="Times New Roman"/>
                <w:color w:val="000000"/>
              </w:rPr>
            </w:pPr>
            <w:r w:rsidRPr="00834149">
              <w:rPr>
                <w:rFonts w:eastAsia="Times New Roman" w:cs="Times New Roman"/>
                <w:color w:val="000000"/>
              </w:rPr>
              <w:t xml:space="preserve">Orabank - </w:t>
            </w:r>
            <w:r w:rsidRPr="00834149">
              <w:rPr>
                <w:rFonts w:cs="Times New Roman"/>
              </w:rPr>
              <w:t>Risk management advisory</w:t>
            </w:r>
          </w:p>
        </w:tc>
        <w:tc>
          <w:tcPr>
            <w:tcW w:w="1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A4E2D" w14:textId="77777777" w:rsidR="001669C8" w:rsidRPr="00834149" w:rsidRDefault="001669C8" w:rsidP="00A50430">
            <w:pPr>
              <w:rPr>
                <w:rFonts w:eastAsia="Times New Roman" w:cs="Times New Roman"/>
                <w:color w:val="000000"/>
              </w:rPr>
            </w:pPr>
            <w:r w:rsidRPr="00834149">
              <w:rPr>
                <w:rFonts w:eastAsia="Times New Roman" w:cs="Times New Roman"/>
                <w:color w:val="000000"/>
              </w:rPr>
              <w:t>Finance and Markets</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5E857" w14:textId="77777777" w:rsidR="001669C8" w:rsidRPr="00834149" w:rsidRDefault="001669C8" w:rsidP="00A50430">
            <w:pPr>
              <w:rPr>
                <w:rFonts w:eastAsia="Times New Roman" w:cs="Times New Roman"/>
                <w:color w:val="000000"/>
              </w:rPr>
            </w:pPr>
            <w:r w:rsidRPr="00834149">
              <w:rPr>
                <w:rFonts w:eastAsia="Times New Roman" w:cs="Times New Roman"/>
                <w:color w:val="000000"/>
              </w:rPr>
              <w:t>TBD</w:t>
            </w:r>
          </w:p>
        </w:tc>
      </w:tr>
      <w:tr w:rsidR="001669C8" w:rsidRPr="00A50430" w14:paraId="49CBBEE3" w14:textId="77777777" w:rsidTr="003335D1">
        <w:trPr>
          <w:trHeight w:val="255"/>
        </w:trPr>
        <w:tc>
          <w:tcPr>
            <w:tcW w:w="864" w:type="pct"/>
            <w:tcBorders>
              <w:top w:val="single" w:sz="4" w:space="0" w:color="auto"/>
              <w:left w:val="single" w:sz="4" w:space="0" w:color="auto"/>
              <w:bottom w:val="single" w:sz="4" w:space="0" w:color="auto"/>
              <w:right w:val="single" w:sz="4" w:space="0" w:color="auto"/>
            </w:tcBorders>
            <w:shd w:val="clear" w:color="auto" w:fill="EBF2F1" w:themeFill="accent2" w:themeFillTint="33"/>
            <w:noWrap/>
            <w:vAlign w:val="bottom"/>
            <w:hideMark/>
          </w:tcPr>
          <w:p w14:paraId="50F1BD17" w14:textId="77777777" w:rsidR="001669C8" w:rsidRPr="00834149" w:rsidRDefault="001669C8" w:rsidP="00834149">
            <w:pPr>
              <w:rPr>
                <w:rFonts w:eastAsia="Times New Roman" w:cs="Times New Roman"/>
                <w:b/>
                <w:bCs/>
                <w:color w:val="000000"/>
              </w:rPr>
            </w:pPr>
            <w:r w:rsidRPr="00834149">
              <w:rPr>
                <w:rFonts w:eastAsia="Times New Roman" w:cs="Times New Roman"/>
                <w:b/>
                <w:bCs/>
                <w:color w:val="000000"/>
              </w:rPr>
              <w:t>Total</w:t>
            </w:r>
          </w:p>
        </w:tc>
        <w:tc>
          <w:tcPr>
            <w:tcW w:w="1636" w:type="pct"/>
            <w:tcBorders>
              <w:top w:val="single" w:sz="4" w:space="0" w:color="auto"/>
              <w:left w:val="single" w:sz="4" w:space="0" w:color="auto"/>
              <w:bottom w:val="single" w:sz="4" w:space="0" w:color="auto"/>
              <w:right w:val="single" w:sz="4" w:space="0" w:color="auto"/>
            </w:tcBorders>
            <w:shd w:val="clear" w:color="auto" w:fill="EBF2F1" w:themeFill="accent2" w:themeFillTint="33"/>
            <w:noWrap/>
            <w:vAlign w:val="bottom"/>
            <w:hideMark/>
          </w:tcPr>
          <w:p w14:paraId="64EFF2B8" w14:textId="77777777" w:rsidR="001669C8" w:rsidRPr="00834149" w:rsidRDefault="001669C8" w:rsidP="00834149">
            <w:pPr>
              <w:rPr>
                <w:rFonts w:eastAsia="Times New Roman" w:cs="Times New Roman"/>
                <w:b/>
                <w:bCs/>
                <w:color w:val="000000"/>
              </w:rPr>
            </w:pPr>
            <w:r w:rsidRPr="00834149">
              <w:rPr>
                <w:rFonts w:eastAsia="Times New Roman" w:cs="Times New Roman"/>
                <w:b/>
                <w:bCs/>
                <w:color w:val="000000"/>
              </w:rPr>
              <w:t> </w:t>
            </w:r>
          </w:p>
        </w:tc>
        <w:tc>
          <w:tcPr>
            <w:tcW w:w="1781" w:type="pct"/>
            <w:tcBorders>
              <w:top w:val="single" w:sz="4" w:space="0" w:color="auto"/>
              <w:left w:val="single" w:sz="4" w:space="0" w:color="auto"/>
              <w:bottom w:val="single" w:sz="4" w:space="0" w:color="auto"/>
              <w:right w:val="single" w:sz="4" w:space="0" w:color="auto"/>
            </w:tcBorders>
            <w:shd w:val="clear" w:color="auto" w:fill="EBF2F1" w:themeFill="accent2" w:themeFillTint="33"/>
            <w:noWrap/>
            <w:vAlign w:val="bottom"/>
            <w:hideMark/>
          </w:tcPr>
          <w:p w14:paraId="643F751A" w14:textId="77777777" w:rsidR="001669C8" w:rsidRPr="00834149" w:rsidRDefault="001669C8" w:rsidP="00834149">
            <w:pPr>
              <w:rPr>
                <w:rFonts w:eastAsia="Times New Roman" w:cs="Times New Roman"/>
                <w:b/>
                <w:bCs/>
                <w:color w:val="000000"/>
              </w:rPr>
            </w:pPr>
            <w:r w:rsidRPr="00834149">
              <w:rPr>
                <w:rFonts w:eastAsia="Times New Roman" w:cs="Times New Roman"/>
                <w:b/>
                <w:bCs/>
                <w:color w:val="000000"/>
              </w:rPr>
              <w:t> </w:t>
            </w:r>
          </w:p>
        </w:tc>
        <w:tc>
          <w:tcPr>
            <w:tcW w:w="719" w:type="pct"/>
            <w:tcBorders>
              <w:top w:val="single" w:sz="4" w:space="0" w:color="auto"/>
              <w:left w:val="single" w:sz="4" w:space="0" w:color="auto"/>
              <w:bottom w:val="single" w:sz="4" w:space="0" w:color="auto"/>
              <w:right w:val="single" w:sz="4" w:space="0" w:color="auto"/>
            </w:tcBorders>
            <w:shd w:val="clear" w:color="auto" w:fill="EBF2F1" w:themeFill="accent2" w:themeFillTint="33"/>
            <w:noWrap/>
            <w:vAlign w:val="bottom"/>
            <w:hideMark/>
          </w:tcPr>
          <w:p w14:paraId="717C54BD" w14:textId="77777777" w:rsidR="001669C8" w:rsidRPr="00834149" w:rsidRDefault="001669C8" w:rsidP="00834149">
            <w:pPr>
              <w:rPr>
                <w:rFonts w:eastAsia="Times New Roman" w:cs="Times New Roman"/>
                <w:b/>
                <w:bCs/>
                <w:color w:val="000000"/>
              </w:rPr>
            </w:pPr>
            <w:r w:rsidRPr="00834149">
              <w:rPr>
                <w:rFonts w:eastAsia="Times New Roman" w:cs="Times New Roman"/>
                <w:b/>
                <w:bCs/>
                <w:color w:val="000000"/>
              </w:rPr>
              <w:t>TBD</w:t>
            </w:r>
          </w:p>
        </w:tc>
      </w:tr>
    </w:tbl>
    <w:p w14:paraId="2866D76B" w14:textId="456256AB" w:rsidR="001669C8" w:rsidRPr="00834149" w:rsidRDefault="00544C76" w:rsidP="00A50430">
      <w:pPr>
        <w:rPr>
          <w:rFonts w:cs="Times New Roman"/>
          <w:iCs/>
        </w:rPr>
      </w:pPr>
      <w:r w:rsidRPr="00834149">
        <w:rPr>
          <w:rFonts w:eastAsia="Times New Roman" w:cs="Times New Roman"/>
          <w:bCs/>
          <w:color w:val="000000"/>
        </w:rPr>
        <w:t>*Total Funds Managed by IFC</w:t>
      </w:r>
    </w:p>
    <w:p w14:paraId="190D2292" w14:textId="77777777" w:rsidR="00F44226" w:rsidRPr="00834149" w:rsidRDefault="00F44226" w:rsidP="00A50430">
      <w:pPr>
        <w:rPr>
          <w:rFonts w:eastAsiaTheme="majorEastAsia" w:cs="Times New Roman"/>
          <w:b/>
          <w:bCs/>
        </w:rPr>
      </w:pPr>
    </w:p>
    <w:p w14:paraId="6A3A8A15" w14:textId="77777777" w:rsidR="00F44226" w:rsidRPr="00834149" w:rsidRDefault="00F44226" w:rsidP="00A50430">
      <w:pPr>
        <w:rPr>
          <w:rFonts w:eastAsiaTheme="majorEastAsia" w:cs="Times New Roman"/>
          <w:b/>
          <w:bCs/>
        </w:rPr>
      </w:pPr>
    </w:p>
    <w:p w14:paraId="11E2711F" w14:textId="2F92F689" w:rsidR="009D6839" w:rsidRPr="00834149" w:rsidRDefault="009D6839" w:rsidP="00A50430">
      <w:pPr>
        <w:pStyle w:val="Heading3"/>
        <w:numPr>
          <w:ilvl w:val="2"/>
          <w:numId w:val="7"/>
        </w:numPr>
        <w:spacing w:before="0" w:line="240" w:lineRule="auto"/>
        <w:jc w:val="both"/>
        <w:rPr>
          <w:rFonts w:asciiTheme="minorHAnsi" w:hAnsiTheme="minorHAnsi" w:cs="Times New Roman"/>
        </w:rPr>
      </w:pPr>
      <w:bookmarkStart w:id="36" w:name="_Toc258222523"/>
      <w:bookmarkStart w:id="37" w:name="_Toc468742155"/>
      <w:bookmarkStart w:id="38" w:name="_Toc468803958"/>
      <w:bookmarkStart w:id="39" w:name="_Toc480207643"/>
      <w:r w:rsidRPr="00834149">
        <w:rPr>
          <w:rFonts w:asciiTheme="minorHAnsi" w:hAnsiTheme="minorHAnsi" w:cs="Times New Roman"/>
        </w:rPr>
        <w:t xml:space="preserve">Monitoring and Evaluating CPF </w:t>
      </w:r>
      <w:r w:rsidR="00D221D3" w:rsidRPr="00834149">
        <w:rPr>
          <w:rFonts w:asciiTheme="minorHAnsi" w:hAnsiTheme="minorHAnsi" w:cs="Times New Roman"/>
        </w:rPr>
        <w:t>P</w:t>
      </w:r>
      <w:r w:rsidRPr="00834149">
        <w:rPr>
          <w:rFonts w:asciiTheme="minorHAnsi" w:hAnsiTheme="minorHAnsi" w:cs="Times New Roman"/>
        </w:rPr>
        <w:t xml:space="preserve">erformance and </w:t>
      </w:r>
      <w:r w:rsidR="00D221D3" w:rsidRPr="00834149">
        <w:rPr>
          <w:rFonts w:asciiTheme="minorHAnsi" w:hAnsiTheme="minorHAnsi" w:cs="Times New Roman"/>
        </w:rPr>
        <w:t>R</w:t>
      </w:r>
      <w:r w:rsidRPr="00834149">
        <w:rPr>
          <w:rFonts w:asciiTheme="minorHAnsi" w:hAnsiTheme="minorHAnsi" w:cs="Times New Roman"/>
        </w:rPr>
        <w:t>esults</w:t>
      </w:r>
      <w:bookmarkEnd w:id="36"/>
      <w:bookmarkEnd w:id="37"/>
      <w:bookmarkEnd w:id="38"/>
      <w:bookmarkEnd w:id="39"/>
    </w:p>
    <w:p w14:paraId="371A5EC5" w14:textId="77777777" w:rsidR="009D6839" w:rsidRPr="00834149" w:rsidRDefault="009D6839" w:rsidP="00A50430">
      <w:pPr>
        <w:autoSpaceDE w:val="0"/>
        <w:autoSpaceDN w:val="0"/>
        <w:adjustRightInd w:val="0"/>
        <w:jc w:val="both"/>
        <w:rPr>
          <w:rFonts w:cs="Times New Roman"/>
          <w:b/>
        </w:rPr>
      </w:pPr>
    </w:p>
    <w:p w14:paraId="7C027077" w14:textId="7C3304F7" w:rsidR="00442937" w:rsidRPr="00834149" w:rsidRDefault="00442937" w:rsidP="00A50430">
      <w:pPr>
        <w:pStyle w:val="ListParagraph"/>
        <w:numPr>
          <w:ilvl w:val="0"/>
          <w:numId w:val="2"/>
        </w:numPr>
        <w:autoSpaceDE w:val="0"/>
        <w:autoSpaceDN w:val="0"/>
        <w:adjustRightInd w:val="0"/>
        <w:ind w:left="0" w:firstLine="0"/>
        <w:jc w:val="both"/>
        <w:rPr>
          <w:rFonts w:cs="Times New Roman"/>
        </w:rPr>
      </w:pPr>
      <w:r w:rsidRPr="00834149">
        <w:rPr>
          <w:rFonts w:cs="Times New Roman"/>
          <w:b/>
        </w:rPr>
        <w:t xml:space="preserve">The </w:t>
      </w:r>
      <w:r w:rsidR="00090FE6" w:rsidRPr="00834149">
        <w:rPr>
          <w:rFonts w:cs="Times New Roman"/>
          <w:b/>
        </w:rPr>
        <w:t xml:space="preserve">World </w:t>
      </w:r>
      <w:r w:rsidRPr="00834149">
        <w:rPr>
          <w:rFonts w:cs="Times New Roman"/>
          <w:b/>
        </w:rPr>
        <w:t xml:space="preserve">Bank’s performance will be measured according to results obtainable during the CPF, influenced </w:t>
      </w:r>
      <w:r w:rsidR="00D221D3" w:rsidRPr="00834149">
        <w:rPr>
          <w:rFonts w:cs="Times New Roman"/>
          <w:b/>
        </w:rPr>
        <w:t xml:space="preserve">mostly </w:t>
      </w:r>
      <w:r w:rsidRPr="00834149">
        <w:rPr>
          <w:rFonts w:cs="Times New Roman"/>
          <w:b/>
        </w:rPr>
        <w:t>by ongoing operations or those prepared within the first two years of the CP</w:t>
      </w:r>
      <w:r w:rsidR="00D221D3" w:rsidRPr="00834149">
        <w:rPr>
          <w:rFonts w:cs="Times New Roman"/>
          <w:b/>
        </w:rPr>
        <w:t>F</w:t>
      </w:r>
      <w:r w:rsidRPr="00834149">
        <w:rPr>
          <w:rFonts w:cs="Times New Roman"/>
          <w:b/>
        </w:rPr>
        <w:t xml:space="preserve"> period</w:t>
      </w:r>
      <w:r w:rsidRPr="00834149">
        <w:rPr>
          <w:rFonts w:cs="Times New Roman"/>
        </w:rPr>
        <w:t xml:space="preserve">. </w:t>
      </w:r>
      <w:r w:rsidR="00D221D3" w:rsidRPr="00834149">
        <w:rPr>
          <w:rFonts w:cs="Times New Roman"/>
        </w:rPr>
        <w:t xml:space="preserve">The accompanying results framework (Annex 1) lists </w:t>
      </w:r>
      <w:r w:rsidRPr="00834149">
        <w:rPr>
          <w:rFonts w:cs="Times New Roman"/>
        </w:rPr>
        <w:t xml:space="preserve">the specific outcomes the </w:t>
      </w:r>
      <w:r w:rsidR="00090FE6" w:rsidRPr="00834149">
        <w:rPr>
          <w:rFonts w:cs="Times New Roman"/>
        </w:rPr>
        <w:t xml:space="preserve">World </w:t>
      </w:r>
      <w:r w:rsidRPr="00834149">
        <w:rPr>
          <w:rFonts w:cs="Times New Roman"/>
        </w:rPr>
        <w:t>Bank expects to influence through ongoing and planned operations and nonfinancial support</w:t>
      </w:r>
      <w:r w:rsidR="009017C0" w:rsidRPr="00834149">
        <w:rPr>
          <w:rFonts w:cs="Times New Roman"/>
        </w:rPr>
        <w:t xml:space="preserve"> under Engagement Scenario 2 (given the higher risks under Engagement Scenario 1)</w:t>
      </w:r>
      <w:r w:rsidR="00D221D3" w:rsidRPr="00834149">
        <w:rPr>
          <w:rFonts w:cs="Times New Roman"/>
        </w:rPr>
        <w:t>, together with relevant measurement indicators, baselines, and targets</w:t>
      </w:r>
      <w:r w:rsidRPr="00834149">
        <w:rPr>
          <w:rFonts w:cs="Times New Roman"/>
        </w:rPr>
        <w:t>.</w:t>
      </w:r>
      <w:r w:rsidR="00D221D3" w:rsidRPr="00834149">
        <w:rPr>
          <w:rFonts w:cs="Times New Roman"/>
        </w:rPr>
        <w:t xml:space="preserve"> Results related to the cross-cutting theme</w:t>
      </w:r>
      <w:r w:rsidR="00E04042">
        <w:rPr>
          <w:rFonts w:cs="Times New Roman"/>
        </w:rPr>
        <w:t xml:space="preserve"> of governance are highlighted </w:t>
      </w:r>
      <w:r w:rsidR="00D221D3" w:rsidRPr="00834149">
        <w:rPr>
          <w:rFonts w:cs="Times New Roman"/>
        </w:rPr>
        <w:t>in bold text</w:t>
      </w:r>
      <w:r w:rsidR="00E04042">
        <w:rPr>
          <w:rFonts w:cs="Times New Roman"/>
        </w:rPr>
        <w:t xml:space="preserve"> in the results matrix</w:t>
      </w:r>
      <w:r w:rsidR="00694F75" w:rsidRPr="00834149">
        <w:rPr>
          <w:rFonts w:cs="Times New Roman"/>
        </w:rPr>
        <w:t>.</w:t>
      </w:r>
    </w:p>
    <w:p w14:paraId="04A16DFC" w14:textId="77777777" w:rsidR="00442937" w:rsidRPr="00834149" w:rsidRDefault="00442937" w:rsidP="00A50430">
      <w:pPr>
        <w:autoSpaceDE w:val="0"/>
        <w:autoSpaceDN w:val="0"/>
        <w:adjustRightInd w:val="0"/>
        <w:jc w:val="both"/>
        <w:rPr>
          <w:rFonts w:cs="Times New Roman"/>
        </w:rPr>
      </w:pPr>
    </w:p>
    <w:p w14:paraId="5FF84EE0" w14:textId="13EEF1EE" w:rsidR="00442937" w:rsidRPr="00834149" w:rsidRDefault="00442937" w:rsidP="00A50430">
      <w:pPr>
        <w:pStyle w:val="ListParagraph"/>
        <w:numPr>
          <w:ilvl w:val="0"/>
          <w:numId w:val="2"/>
        </w:numPr>
        <w:autoSpaceDE w:val="0"/>
        <w:autoSpaceDN w:val="0"/>
        <w:adjustRightInd w:val="0"/>
        <w:ind w:left="0" w:firstLine="0"/>
        <w:jc w:val="both"/>
        <w:rPr>
          <w:rFonts w:cs="Times New Roman"/>
        </w:rPr>
      </w:pPr>
      <w:r w:rsidRPr="00834149">
        <w:rPr>
          <w:rFonts w:cs="Times New Roman"/>
        </w:rPr>
        <w:t xml:space="preserve"> </w:t>
      </w:r>
      <w:r w:rsidR="009D6839" w:rsidRPr="00834149">
        <w:rPr>
          <w:rFonts w:cs="Times New Roman"/>
          <w:b/>
        </w:rPr>
        <w:t>During the CPF period, macro-monitoring and fiduciary supervision updates will provide feedback on the effectiveness of targeted expenditures and identify bottlenecks in the flow of funds and implementation</w:t>
      </w:r>
      <w:r w:rsidR="009D6839" w:rsidRPr="00834149">
        <w:rPr>
          <w:rFonts w:cs="Times New Roman"/>
        </w:rPr>
        <w:t xml:space="preserve">. Country Portfolio Performance Reviews will provide a forum for raising policy and implementation issues and agreeing with counterparts on how to address these issues. The </w:t>
      </w:r>
      <w:r w:rsidR="00090FE6" w:rsidRPr="00834149">
        <w:rPr>
          <w:rFonts w:cs="Times New Roman"/>
        </w:rPr>
        <w:t xml:space="preserve">World </w:t>
      </w:r>
      <w:r w:rsidR="009D6839" w:rsidRPr="00834149">
        <w:rPr>
          <w:rFonts w:cs="Times New Roman"/>
        </w:rPr>
        <w:t xml:space="preserve">Bank’s Implementation </w:t>
      </w:r>
      <w:r w:rsidR="00F62EC1" w:rsidRPr="00834149">
        <w:rPr>
          <w:rFonts w:cs="Times New Roman"/>
        </w:rPr>
        <w:t xml:space="preserve">Status and Results </w:t>
      </w:r>
      <w:r w:rsidR="009D6839" w:rsidRPr="00834149">
        <w:rPr>
          <w:rFonts w:cs="Times New Roman"/>
        </w:rPr>
        <w:t xml:space="preserve">Reports (ISRs) and Implementation Completion and </w:t>
      </w:r>
      <w:r w:rsidR="0034783B" w:rsidRPr="00834149">
        <w:rPr>
          <w:rFonts w:cs="Times New Roman"/>
        </w:rPr>
        <w:t xml:space="preserve">Results </w:t>
      </w:r>
      <w:r w:rsidR="009D6839" w:rsidRPr="00834149">
        <w:rPr>
          <w:rFonts w:cs="Times New Roman"/>
        </w:rPr>
        <w:t>Reports (</w:t>
      </w:r>
      <w:r w:rsidR="00694F75" w:rsidRPr="00834149">
        <w:rPr>
          <w:rFonts w:cs="Times New Roman"/>
        </w:rPr>
        <w:t>ICRs</w:t>
      </w:r>
      <w:r w:rsidR="009D6839" w:rsidRPr="00834149">
        <w:rPr>
          <w:rFonts w:cs="Times New Roman"/>
        </w:rPr>
        <w:t xml:space="preserve">) will also contribute to the </w:t>
      </w:r>
      <w:r w:rsidR="00694F75" w:rsidRPr="00834149">
        <w:rPr>
          <w:rFonts w:cs="Times New Roman"/>
        </w:rPr>
        <w:t xml:space="preserve">monitoring and evaluation of the </w:t>
      </w:r>
      <w:r w:rsidR="009D6839" w:rsidRPr="00834149">
        <w:rPr>
          <w:rFonts w:cs="Times New Roman"/>
        </w:rPr>
        <w:t xml:space="preserve">CPF.  </w:t>
      </w:r>
    </w:p>
    <w:p w14:paraId="3ECC10B8" w14:textId="77777777" w:rsidR="00442937" w:rsidRPr="00834149" w:rsidRDefault="00442937" w:rsidP="00A50430">
      <w:pPr>
        <w:pStyle w:val="ListParagraph"/>
        <w:rPr>
          <w:rFonts w:cs="Times New Roman"/>
          <w:b/>
        </w:rPr>
      </w:pPr>
    </w:p>
    <w:p w14:paraId="1B3820C3" w14:textId="3D1E5DB3" w:rsidR="00E5110B" w:rsidRPr="00834149" w:rsidRDefault="00C95976" w:rsidP="00A50430">
      <w:pPr>
        <w:pStyle w:val="ListParagraph"/>
        <w:numPr>
          <w:ilvl w:val="0"/>
          <w:numId w:val="2"/>
        </w:numPr>
        <w:autoSpaceDE w:val="0"/>
        <w:autoSpaceDN w:val="0"/>
        <w:adjustRightInd w:val="0"/>
        <w:ind w:left="0" w:firstLine="0"/>
        <w:jc w:val="both"/>
        <w:rPr>
          <w:rFonts w:cs="Times New Roman"/>
        </w:rPr>
      </w:pPr>
      <w:r w:rsidRPr="00834149">
        <w:rPr>
          <w:rFonts w:cs="Times New Roman"/>
          <w:b/>
        </w:rPr>
        <w:t xml:space="preserve">A Progress and Learning Review (PLR) will be prepared in FY19 to allow adjustments to be made to the </w:t>
      </w:r>
      <w:r w:rsidR="0034783B" w:rsidRPr="00834149">
        <w:rPr>
          <w:rFonts w:cs="Times New Roman"/>
          <w:b/>
        </w:rPr>
        <w:t xml:space="preserve">CPF strategy </w:t>
      </w:r>
      <w:r w:rsidRPr="00834149">
        <w:rPr>
          <w:rFonts w:cs="Times New Roman"/>
          <w:b/>
        </w:rPr>
        <w:t>and to update indicators for the results matrix</w:t>
      </w:r>
      <w:r w:rsidRPr="00834149">
        <w:rPr>
          <w:rFonts w:cs="Times New Roman"/>
        </w:rPr>
        <w:t xml:space="preserve"> </w:t>
      </w:r>
      <w:r w:rsidRPr="00834149">
        <w:rPr>
          <w:rFonts w:cs="Times New Roman"/>
          <w:b/>
        </w:rPr>
        <w:t>based on new knowledge, program performance</w:t>
      </w:r>
      <w:r w:rsidR="0034783B" w:rsidRPr="00834149">
        <w:rPr>
          <w:rFonts w:cs="Times New Roman"/>
          <w:b/>
        </w:rPr>
        <w:t>,</w:t>
      </w:r>
      <w:r w:rsidRPr="00834149">
        <w:rPr>
          <w:rFonts w:cs="Times New Roman"/>
          <w:b/>
        </w:rPr>
        <w:t xml:space="preserve"> or changing circumstances</w:t>
      </w:r>
      <w:r w:rsidRPr="00834149">
        <w:rPr>
          <w:rFonts w:cs="Times New Roman"/>
        </w:rPr>
        <w:t xml:space="preserve">. </w:t>
      </w:r>
      <w:r w:rsidR="00BB3BF2" w:rsidRPr="00834149">
        <w:rPr>
          <w:rFonts w:cs="Times New Roman"/>
        </w:rPr>
        <w:t>The PLR will also provide an opportunity to update the results matrix and reflect results should the CPF program b</w:t>
      </w:r>
      <w:r w:rsidR="00EB1C08" w:rsidRPr="00834149">
        <w:rPr>
          <w:rFonts w:cs="Times New Roman"/>
        </w:rPr>
        <w:t xml:space="preserve">ased on IDA </w:t>
      </w:r>
      <w:r w:rsidR="0082558D" w:rsidRPr="00834149">
        <w:rPr>
          <w:rFonts w:cs="Times New Roman"/>
        </w:rPr>
        <w:t>E</w:t>
      </w:r>
      <w:r w:rsidR="00EB1C08" w:rsidRPr="00834149">
        <w:rPr>
          <w:rFonts w:cs="Times New Roman"/>
        </w:rPr>
        <w:t xml:space="preserve">ngagement </w:t>
      </w:r>
      <w:r w:rsidR="0082558D" w:rsidRPr="00834149">
        <w:rPr>
          <w:rFonts w:cs="Times New Roman"/>
        </w:rPr>
        <w:t>S</w:t>
      </w:r>
      <w:r w:rsidR="00EB1C08" w:rsidRPr="00834149">
        <w:rPr>
          <w:rFonts w:cs="Times New Roman"/>
        </w:rPr>
        <w:t>cena</w:t>
      </w:r>
      <w:r w:rsidR="0082558D" w:rsidRPr="00834149">
        <w:rPr>
          <w:rFonts w:cs="Times New Roman"/>
        </w:rPr>
        <w:t>rios 1 or</w:t>
      </w:r>
      <w:r w:rsidR="00EB1C08" w:rsidRPr="00834149">
        <w:rPr>
          <w:rFonts w:cs="Times New Roman"/>
        </w:rPr>
        <w:t xml:space="preserve"> 2</w:t>
      </w:r>
      <w:r w:rsidR="00BB3BF2" w:rsidRPr="00834149">
        <w:rPr>
          <w:rFonts w:cs="Times New Roman"/>
        </w:rPr>
        <w:t>.</w:t>
      </w:r>
      <w:r w:rsidR="0082558D" w:rsidRPr="00834149">
        <w:rPr>
          <w:rFonts w:cs="Times New Roman"/>
        </w:rPr>
        <w:t xml:space="preserve"> </w:t>
      </w:r>
      <w:r w:rsidRPr="00834149">
        <w:rPr>
          <w:rFonts w:cs="Times New Roman"/>
        </w:rPr>
        <w:t xml:space="preserve">The PLR is particularly important for capturing IFC’s program, given the relatively opportunistic nature of private sector investments. A </w:t>
      </w:r>
      <w:r w:rsidR="0034783B" w:rsidRPr="00834149">
        <w:rPr>
          <w:rFonts w:cs="Times New Roman"/>
        </w:rPr>
        <w:t>Completion and Learning</w:t>
      </w:r>
      <w:r w:rsidRPr="00834149">
        <w:rPr>
          <w:rFonts w:cs="Times New Roman"/>
        </w:rPr>
        <w:t xml:space="preserve"> Report</w:t>
      </w:r>
      <w:r w:rsidR="0034783B" w:rsidRPr="00834149">
        <w:rPr>
          <w:rFonts w:cs="Times New Roman"/>
        </w:rPr>
        <w:t xml:space="preserve"> (CLR)</w:t>
      </w:r>
      <w:r w:rsidRPr="00834149">
        <w:rPr>
          <w:rFonts w:cs="Times New Roman"/>
        </w:rPr>
        <w:t xml:space="preserve"> will be prepared in FY21 to evaluate the program’s performance</w:t>
      </w:r>
      <w:r w:rsidR="0034783B" w:rsidRPr="00834149">
        <w:rPr>
          <w:rFonts w:cs="Times New Roman"/>
        </w:rPr>
        <w:t xml:space="preserve"> and offer insights into the preparation of a follow-on CPF</w:t>
      </w:r>
      <w:r w:rsidRPr="00834149">
        <w:rPr>
          <w:rFonts w:cs="Times New Roman"/>
        </w:rPr>
        <w:t>.</w:t>
      </w:r>
    </w:p>
    <w:p w14:paraId="09783946" w14:textId="77777777" w:rsidR="009F3777" w:rsidRPr="00834149" w:rsidRDefault="009F3777" w:rsidP="00A50430">
      <w:pPr>
        <w:pStyle w:val="ListParagraph"/>
        <w:rPr>
          <w:rFonts w:cs="Times New Roman"/>
        </w:rPr>
      </w:pPr>
    </w:p>
    <w:p w14:paraId="1CD3B8D2" w14:textId="1911FC8E" w:rsidR="00B22F05" w:rsidRPr="00834149" w:rsidRDefault="009F3777" w:rsidP="00A50430">
      <w:pPr>
        <w:autoSpaceDE w:val="0"/>
        <w:autoSpaceDN w:val="0"/>
        <w:adjustRightInd w:val="0"/>
        <w:jc w:val="both"/>
        <w:rPr>
          <w:rFonts w:cs="Times New Roman"/>
        </w:rPr>
      </w:pPr>
      <w:r w:rsidRPr="00834149">
        <w:rPr>
          <w:rFonts w:cs="Times New Roman"/>
          <w:b/>
        </w:rPr>
        <w:t>The implementation of the new WBG Country Engagement Model in Togo has been supported by a communications plan</w:t>
      </w:r>
      <w:r w:rsidR="009017C0" w:rsidRPr="00834149">
        <w:rPr>
          <w:rFonts w:cs="Times New Roman"/>
          <w:b/>
        </w:rPr>
        <w:t>,</w:t>
      </w:r>
      <w:r w:rsidRPr="00834149">
        <w:rPr>
          <w:rFonts w:cs="Times New Roman"/>
          <w:b/>
        </w:rPr>
        <w:t xml:space="preserve"> including a large and inclusive consultation process for both the </w:t>
      </w:r>
      <w:r w:rsidR="00E255DB" w:rsidRPr="00834149">
        <w:rPr>
          <w:rFonts w:cs="Times New Roman"/>
          <w:b/>
        </w:rPr>
        <w:t xml:space="preserve">2016 </w:t>
      </w:r>
      <w:r w:rsidRPr="00834149">
        <w:rPr>
          <w:rFonts w:cs="Times New Roman"/>
          <w:b/>
        </w:rPr>
        <w:t xml:space="preserve">SCD and </w:t>
      </w:r>
      <w:r w:rsidR="00E255DB" w:rsidRPr="00834149">
        <w:rPr>
          <w:rFonts w:cs="Times New Roman"/>
          <w:b/>
        </w:rPr>
        <w:t xml:space="preserve">this </w:t>
      </w:r>
      <w:r w:rsidRPr="00834149">
        <w:rPr>
          <w:rFonts w:cs="Times New Roman"/>
          <w:b/>
        </w:rPr>
        <w:t>CPF</w:t>
      </w:r>
      <w:r w:rsidRPr="00834149">
        <w:rPr>
          <w:rFonts w:cs="Times New Roman"/>
        </w:rPr>
        <w:t>. Going forward, the WBG team will develop a comprehensive communications strategy to support the implementation of the CPF at its various stages</w:t>
      </w:r>
      <w:r w:rsidR="009017C0" w:rsidRPr="00834149">
        <w:rPr>
          <w:rFonts w:cs="Times New Roman"/>
        </w:rPr>
        <w:t>—</w:t>
      </w:r>
      <w:r w:rsidRPr="00834149">
        <w:rPr>
          <w:rFonts w:cs="Times New Roman"/>
        </w:rPr>
        <w:t>from Board approval through PLR to completion</w:t>
      </w:r>
      <w:r w:rsidR="009017C0" w:rsidRPr="00834149">
        <w:rPr>
          <w:rFonts w:cs="Times New Roman"/>
        </w:rPr>
        <w:t>—</w:t>
      </w:r>
      <w:r w:rsidRPr="00834149">
        <w:rPr>
          <w:rFonts w:cs="Times New Roman"/>
        </w:rPr>
        <w:t>to showcase key results achieved and share key lessons learn</w:t>
      </w:r>
      <w:r w:rsidR="009017C0" w:rsidRPr="00834149">
        <w:rPr>
          <w:rFonts w:cs="Times New Roman"/>
        </w:rPr>
        <w:t>ed</w:t>
      </w:r>
      <w:r w:rsidRPr="00834149">
        <w:rPr>
          <w:rFonts w:cs="Times New Roman"/>
        </w:rPr>
        <w:t>.</w:t>
      </w:r>
    </w:p>
    <w:p w14:paraId="5FDA9939" w14:textId="77777777" w:rsidR="00B22F05" w:rsidRPr="00834149" w:rsidRDefault="00B22F05" w:rsidP="00A50430">
      <w:pPr>
        <w:pStyle w:val="ListParagraph"/>
        <w:autoSpaceDE w:val="0"/>
        <w:autoSpaceDN w:val="0"/>
        <w:adjustRightInd w:val="0"/>
        <w:ind w:left="0"/>
        <w:jc w:val="both"/>
        <w:rPr>
          <w:rStyle w:val="Strong"/>
          <w:rFonts w:cs="Times New Roman"/>
          <w:b w:val="0"/>
          <w:bCs w:val="0"/>
        </w:rPr>
      </w:pPr>
    </w:p>
    <w:p w14:paraId="1BE1E247" w14:textId="77777777" w:rsidR="005A4234" w:rsidRPr="00834149" w:rsidRDefault="005A4234" w:rsidP="00A50430">
      <w:pPr>
        <w:pStyle w:val="ListParagraph"/>
        <w:autoSpaceDE w:val="0"/>
        <w:autoSpaceDN w:val="0"/>
        <w:adjustRightInd w:val="0"/>
        <w:ind w:left="0"/>
        <w:jc w:val="both"/>
        <w:rPr>
          <w:rStyle w:val="Strong"/>
          <w:rFonts w:eastAsiaTheme="majorEastAsia" w:cs="Times New Roman"/>
        </w:rPr>
      </w:pPr>
    </w:p>
    <w:p w14:paraId="634E070F" w14:textId="49D5997B" w:rsidR="00E053C3" w:rsidRPr="00F566F5" w:rsidRDefault="00E053C3" w:rsidP="00A50430">
      <w:pPr>
        <w:pStyle w:val="HEAD"/>
        <w:rPr>
          <w:rStyle w:val="Strong"/>
          <w:rFonts w:asciiTheme="minorHAnsi" w:hAnsiTheme="minorHAnsi"/>
          <w:bCs w:val="0"/>
          <w:sz w:val="22"/>
          <w:szCs w:val="22"/>
        </w:rPr>
      </w:pPr>
      <w:bookmarkStart w:id="40" w:name="_Toc480207644"/>
      <w:r w:rsidRPr="00834149">
        <w:rPr>
          <w:rStyle w:val="Strong"/>
          <w:rFonts w:asciiTheme="minorHAnsi" w:hAnsiTheme="minorHAnsi"/>
          <w:bCs w:val="0"/>
          <w:sz w:val="22"/>
          <w:szCs w:val="22"/>
        </w:rPr>
        <w:t>IV. MANAGING RISKS TO THE CPF PROGRAM</w:t>
      </w:r>
      <w:bookmarkEnd w:id="40"/>
    </w:p>
    <w:p w14:paraId="4371BD17" w14:textId="77777777" w:rsidR="006879B3" w:rsidRPr="00834149" w:rsidRDefault="006879B3" w:rsidP="00A50430">
      <w:pPr>
        <w:jc w:val="both"/>
        <w:rPr>
          <w:rFonts w:cs="Times New Roman"/>
        </w:rPr>
      </w:pPr>
    </w:p>
    <w:p w14:paraId="3194AC9F" w14:textId="4D636986" w:rsidR="00B91A9B" w:rsidRPr="00834149" w:rsidRDefault="006362CA" w:rsidP="00834149">
      <w:pPr>
        <w:pStyle w:val="Caption"/>
        <w:rPr>
          <w:rFonts w:eastAsia="SimSun" w:cs="Times New Roman"/>
          <w:sz w:val="22"/>
          <w:szCs w:val="22"/>
          <w:lang w:val="en-GB"/>
        </w:rPr>
      </w:pPr>
      <w:bookmarkStart w:id="41" w:name="_Toc439852962"/>
      <w:r w:rsidRPr="00834149">
        <w:rPr>
          <w:rFonts w:cs="Times New Roman"/>
          <w:sz w:val="22"/>
          <w:szCs w:val="22"/>
        </w:rPr>
        <w:t xml:space="preserve"> </w:t>
      </w:r>
      <w:r w:rsidR="007C6C42" w:rsidRPr="00834149">
        <w:rPr>
          <w:rFonts w:cs="Times New Roman"/>
          <w:caps w:val="0"/>
          <w:sz w:val="22"/>
          <w:szCs w:val="22"/>
        </w:rPr>
        <w:t xml:space="preserve">Table </w:t>
      </w:r>
      <w:r w:rsidR="004111AF" w:rsidRPr="00834149">
        <w:rPr>
          <w:rFonts w:cs="Times New Roman"/>
          <w:sz w:val="22"/>
          <w:szCs w:val="22"/>
        </w:rPr>
        <w:t>9</w:t>
      </w:r>
      <w:r w:rsidRPr="00834149">
        <w:rPr>
          <w:rFonts w:cs="Times New Roman"/>
          <w:caps w:val="0"/>
          <w:sz w:val="22"/>
          <w:szCs w:val="22"/>
        </w:rPr>
        <w:t xml:space="preserve">: </w:t>
      </w:r>
      <w:r w:rsidRPr="00834149">
        <w:rPr>
          <w:rFonts w:eastAsia="SimSun" w:cs="Times New Roman"/>
          <w:caps w:val="0"/>
          <w:sz w:val="22"/>
          <w:szCs w:val="22"/>
          <w:lang w:val="en-GB"/>
        </w:rPr>
        <w:t>Systematic Operations Risk-Rating Tool</w:t>
      </w:r>
      <w:r w:rsidR="00B91A9B" w:rsidRPr="00834149">
        <w:rPr>
          <w:rFonts w:eastAsia="SimSun" w:cs="Times New Roman"/>
          <w:sz w:val="22"/>
          <w:szCs w:val="22"/>
          <w:lang w:val="en-GB"/>
        </w:rPr>
        <w:t xml:space="preserve"> (SORT)</w:t>
      </w:r>
      <w:bookmarkEnd w:id="41"/>
    </w:p>
    <w:tbl>
      <w:tblPr>
        <w:tblStyle w:val="TableGrid"/>
        <w:tblW w:w="0" w:type="auto"/>
        <w:tblLook w:val="04A0" w:firstRow="1" w:lastRow="0" w:firstColumn="1" w:lastColumn="0" w:noHBand="0" w:noVBand="1"/>
      </w:tblPr>
      <w:tblGrid>
        <w:gridCol w:w="328"/>
        <w:gridCol w:w="5496"/>
        <w:gridCol w:w="1836"/>
      </w:tblGrid>
      <w:tr w:rsidR="00B91A9B" w:rsidRPr="00A50430" w14:paraId="46F18F5E" w14:textId="77777777" w:rsidTr="00CD63D9">
        <w:tc>
          <w:tcPr>
            <w:tcW w:w="0" w:type="auto"/>
            <w:tcBorders>
              <w:top w:val="single" w:sz="4" w:space="0" w:color="auto"/>
              <w:left w:val="single" w:sz="4" w:space="0" w:color="auto"/>
              <w:bottom w:val="single" w:sz="4" w:space="0" w:color="auto"/>
              <w:right w:val="single" w:sz="4" w:space="0" w:color="auto"/>
            </w:tcBorders>
          </w:tcPr>
          <w:p w14:paraId="2FAF0D6E" w14:textId="77777777" w:rsidR="00B91A9B" w:rsidRPr="00834149" w:rsidRDefault="00B91A9B" w:rsidP="00834149">
            <w:pPr>
              <w:jc w:val="center"/>
              <w:rPr>
                <w:rFonts w:eastAsia="SimSun" w:cstheme="majorBidi"/>
                <w:lang w:val="en-GB"/>
              </w:rPr>
            </w:pPr>
          </w:p>
        </w:tc>
        <w:tc>
          <w:tcPr>
            <w:tcW w:w="0" w:type="auto"/>
            <w:tcBorders>
              <w:top w:val="single" w:sz="4" w:space="0" w:color="auto"/>
              <w:left w:val="single" w:sz="4" w:space="0" w:color="auto"/>
              <w:bottom w:val="single" w:sz="4" w:space="0" w:color="auto"/>
              <w:right w:val="single" w:sz="4" w:space="0" w:color="auto"/>
            </w:tcBorders>
            <w:hideMark/>
          </w:tcPr>
          <w:p w14:paraId="69A2FB3E" w14:textId="77777777" w:rsidR="00B91A9B" w:rsidRPr="00834149" w:rsidRDefault="00B91A9B" w:rsidP="00834149">
            <w:pPr>
              <w:rPr>
                <w:rFonts w:eastAsia="SimSun" w:cstheme="majorBidi"/>
                <w:b/>
                <w:lang w:val="en-GB"/>
              </w:rPr>
            </w:pPr>
            <w:r w:rsidRPr="00834149">
              <w:rPr>
                <w:rFonts w:eastAsia="SimSun" w:cstheme="majorBidi"/>
                <w:b/>
              </w:rPr>
              <w:t>Risk Rating</w:t>
            </w:r>
          </w:p>
        </w:tc>
        <w:tc>
          <w:tcPr>
            <w:tcW w:w="0" w:type="auto"/>
            <w:tcBorders>
              <w:top w:val="single" w:sz="4" w:space="0" w:color="auto"/>
              <w:left w:val="single" w:sz="4" w:space="0" w:color="auto"/>
              <w:bottom w:val="single" w:sz="4" w:space="0" w:color="auto"/>
              <w:right w:val="single" w:sz="4" w:space="0" w:color="auto"/>
            </w:tcBorders>
            <w:hideMark/>
          </w:tcPr>
          <w:p w14:paraId="2C8D61E6" w14:textId="77777777" w:rsidR="00B91A9B" w:rsidRPr="00834149" w:rsidRDefault="00B91A9B" w:rsidP="00834149">
            <w:pPr>
              <w:jc w:val="center"/>
              <w:rPr>
                <w:rFonts w:eastAsia="SimSun" w:cstheme="majorBidi"/>
                <w:b/>
                <w:lang w:val="en-GB"/>
              </w:rPr>
            </w:pPr>
            <w:r w:rsidRPr="00834149">
              <w:rPr>
                <w:rFonts w:eastAsia="SimSun" w:cstheme="majorBidi"/>
                <w:b/>
              </w:rPr>
              <w:t>Rating (H, S, M, L)</w:t>
            </w:r>
          </w:p>
        </w:tc>
      </w:tr>
      <w:tr w:rsidR="00B91A9B" w:rsidRPr="00A50430" w14:paraId="091F21F5" w14:textId="77777777" w:rsidTr="00CD63D9">
        <w:tc>
          <w:tcPr>
            <w:tcW w:w="0" w:type="auto"/>
            <w:tcBorders>
              <w:top w:val="single" w:sz="4" w:space="0" w:color="auto"/>
              <w:left w:val="single" w:sz="4" w:space="0" w:color="auto"/>
              <w:bottom w:val="single" w:sz="4" w:space="0" w:color="auto"/>
              <w:right w:val="single" w:sz="4" w:space="0" w:color="auto"/>
            </w:tcBorders>
            <w:hideMark/>
          </w:tcPr>
          <w:p w14:paraId="3C15E8AF" w14:textId="77777777" w:rsidR="00B91A9B" w:rsidRPr="00834149" w:rsidRDefault="00B91A9B" w:rsidP="00834149">
            <w:pPr>
              <w:jc w:val="center"/>
              <w:rPr>
                <w:rFonts w:eastAsia="SimSun" w:cstheme="majorBidi"/>
                <w:lang w:val="en-GB"/>
              </w:rPr>
            </w:pPr>
            <w:r w:rsidRPr="00834149">
              <w:rPr>
                <w:rFonts w:eastAsia="SimSun" w:cstheme="majorBidi"/>
              </w:rPr>
              <w:t>1</w:t>
            </w:r>
          </w:p>
        </w:tc>
        <w:tc>
          <w:tcPr>
            <w:tcW w:w="0" w:type="auto"/>
            <w:tcBorders>
              <w:top w:val="single" w:sz="4" w:space="0" w:color="auto"/>
              <w:left w:val="single" w:sz="4" w:space="0" w:color="auto"/>
              <w:bottom w:val="single" w:sz="4" w:space="0" w:color="auto"/>
              <w:right w:val="single" w:sz="4" w:space="0" w:color="auto"/>
            </w:tcBorders>
            <w:hideMark/>
          </w:tcPr>
          <w:p w14:paraId="2F8C4BC1" w14:textId="384120ED" w:rsidR="00B91A9B" w:rsidRPr="00834149" w:rsidRDefault="00B91A9B" w:rsidP="00834149">
            <w:pPr>
              <w:rPr>
                <w:rFonts w:eastAsia="SimSun" w:cstheme="majorBidi"/>
                <w:lang w:val="en-GB"/>
              </w:rPr>
            </w:pPr>
            <w:r w:rsidRPr="00834149">
              <w:rPr>
                <w:rFonts w:eastAsia="SimSun" w:cstheme="majorBidi"/>
              </w:rPr>
              <w:t xml:space="preserve">Political </w:t>
            </w:r>
            <w:r w:rsidR="000C50BD" w:rsidRPr="00834149">
              <w:rPr>
                <w:rFonts w:eastAsia="SimSun" w:cstheme="majorBidi"/>
              </w:rPr>
              <w:t xml:space="preserve">and </w:t>
            </w:r>
            <w:r w:rsidRPr="00834149">
              <w:rPr>
                <w:rFonts w:eastAsia="SimSun" w:cstheme="majorBidi"/>
              </w:rPr>
              <w:t>governance</w:t>
            </w:r>
          </w:p>
        </w:tc>
        <w:tc>
          <w:tcPr>
            <w:tcW w:w="0" w:type="auto"/>
            <w:tcBorders>
              <w:top w:val="single" w:sz="4" w:space="0" w:color="auto"/>
              <w:left w:val="single" w:sz="4" w:space="0" w:color="auto"/>
              <w:bottom w:val="single" w:sz="4" w:space="0" w:color="auto"/>
              <w:right w:val="single" w:sz="4" w:space="0" w:color="auto"/>
            </w:tcBorders>
            <w:hideMark/>
          </w:tcPr>
          <w:p w14:paraId="3442FE36" w14:textId="28696B95" w:rsidR="00B91A9B" w:rsidRPr="00834149" w:rsidRDefault="004D0DD9" w:rsidP="00834149">
            <w:pPr>
              <w:jc w:val="center"/>
              <w:rPr>
                <w:rFonts w:eastAsia="SimSun" w:cstheme="majorBidi"/>
                <w:lang w:val="en-GB"/>
              </w:rPr>
            </w:pPr>
            <w:r w:rsidRPr="00834149">
              <w:rPr>
                <w:rFonts w:eastAsia="SimSun" w:cstheme="majorBidi"/>
                <w:lang w:val="en-GB"/>
              </w:rPr>
              <w:t>S</w:t>
            </w:r>
          </w:p>
        </w:tc>
      </w:tr>
      <w:tr w:rsidR="00B91A9B" w:rsidRPr="00A50430" w14:paraId="54EF3551" w14:textId="77777777" w:rsidTr="00CD63D9">
        <w:tc>
          <w:tcPr>
            <w:tcW w:w="0" w:type="auto"/>
            <w:tcBorders>
              <w:top w:val="single" w:sz="4" w:space="0" w:color="auto"/>
              <w:left w:val="single" w:sz="4" w:space="0" w:color="auto"/>
              <w:bottom w:val="single" w:sz="4" w:space="0" w:color="auto"/>
              <w:right w:val="single" w:sz="4" w:space="0" w:color="auto"/>
            </w:tcBorders>
            <w:hideMark/>
          </w:tcPr>
          <w:p w14:paraId="0A665A4C" w14:textId="77777777" w:rsidR="00B91A9B" w:rsidRPr="00834149" w:rsidRDefault="00B91A9B" w:rsidP="00834149">
            <w:pPr>
              <w:jc w:val="center"/>
              <w:rPr>
                <w:rFonts w:eastAsia="SimSun" w:cstheme="majorBidi"/>
                <w:lang w:val="en-GB"/>
              </w:rPr>
            </w:pPr>
            <w:r w:rsidRPr="00834149">
              <w:rPr>
                <w:rFonts w:eastAsia="SimSun" w:cstheme="majorBidi"/>
              </w:rPr>
              <w:t>2</w:t>
            </w:r>
          </w:p>
        </w:tc>
        <w:tc>
          <w:tcPr>
            <w:tcW w:w="0" w:type="auto"/>
            <w:tcBorders>
              <w:top w:val="single" w:sz="4" w:space="0" w:color="auto"/>
              <w:left w:val="single" w:sz="4" w:space="0" w:color="auto"/>
              <w:bottom w:val="single" w:sz="4" w:space="0" w:color="auto"/>
              <w:right w:val="single" w:sz="4" w:space="0" w:color="auto"/>
            </w:tcBorders>
            <w:hideMark/>
          </w:tcPr>
          <w:p w14:paraId="13A2C21F" w14:textId="3598ED14" w:rsidR="00B91A9B" w:rsidRPr="00834149" w:rsidRDefault="00B91A9B" w:rsidP="00834149">
            <w:pPr>
              <w:rPr>
                <w:rFonts w:eastAsia="SimSun" w:cstheme="majorBidi"/>
                <w:lang w:val="en-GB"/>
              </w:rPr>
            </w:pPr>
            <w:r w:rsidRPr="00834149">
              <w:rPr>
                <w:rFonts w:eastAsia="SimSun" w:cstheme="majorBidi"/>
              </w:rPr>
              <w:t>Macroeconomic</w:t>
            </w:r>
          </w:p>
        </w:tc>
        <w:tc>
          <w:tcPr>
            <w:tcW w:w="0" w:type="auto"/>
            <w:tcBorders>
              <w:top w:val="single" w:sz="4" w:space="0" w:color="auto"/>
              <w:left w:val="single" w:sz="4" w:space="0" w:color="auto"/>
              <w:bottom w:val="single" w:sz="4" w:space="0" w:color="auto"/>
              <w:right w:val="single" w:sz="4" w:space="0" w:color="auto"/>
            </w:tcBorders>
            <w:hideMark/>
          </w:tcPr>
          <w:p w14:paraId="65FDCEB0" w14:textId="77777777" w:rsidR="00B91A9B" w:rsidRPr="00834149" w:rsidRDefault="00B91A9B" w:rsidP="00834149">
            <w:pPr>
              <w:jc w:val="center"/>
              <w:rPr>
                <w:rFonts w:eastAsia="SimSun" w:cstheme="majorBidi"/>
                <w:lang w:val="en-GB"/>
              </w:rPr>
            </w:pPr>
            <w:r w:rsidRPr="00834149">
              <w:rPr>
                <w:rFonts w:eastAsia="SimSun" w:cstheme="majorBidi"/>
              </w:rPr>
              <w:t>S</w:t>
            </w:r>
          </w:p>
        </w:tc>
      </w:tr>
      <w:tr w:rsidR="00B91A9B" w:rsidRPr="00A50430" w14:paraId="23FEBD1B" w14:textId="77777777" w:rsidTr="00CD63D9">
        <w:tc>
          <w:tcPr>
            <w:tcW w:w="0" w:type="auto"/>
            <w:tcBorders>
              <w:top w:val="single" w:sz="4" w:space="0" w:color="auto"/>
              <w:left w:val="single" w:sz="4" w:space="0" w:color="auto"/>
              <w:bottom w:val="single" w:sz="4" w:space="0" w:color="auto"/>
              <w:right w:val="single" w:sz="4" w:space="0" w:color="auto"/>
            </w:tcBorders>
            <w:hideMark/>
          </w:tcPr>
          <w:p w14:paraId="77DD362B" w14:textId="77777777" w:rsidR="00B91A9B" w:rsidRPr="00834149" w:rsidRDefault="00B91A9B" w:rsidP="00834149">
            <w:pPr>
              <w:jc w:val="center"/>
              <w:rPr>
                <w:rFonts w:eastAsia="SimSun" w:cstheme="majorBidi"/>
                <w:lang w:val="en-GB"/>
              </w:rPr>
            </w:pPr>
            <w:r w:rsidRPr="00834149">
              <w:rPr>
                <w:rFonts w:eastAsia="SimSun" w:cstheme="majorBidi"/>
              </w:rPr>
              <w:t>3</w:t>
            </w:r>
          </w:p>
        </w:tc>
        <w:tc>
          <w:tcPr>
            <w:tcW w:w="0" w:type="auto"/>
            <w:tcBorders>
              <w:top w:val="single" w:sz="4" w:space="0" w:color="auto"/>
              <w:left w:val="single" w:sz="4" w:space="0" w:color="auto"/>
              <w:bottom w:val="single" w:sz="4" w:space="0" w:color="auto"/>
              <w:right w:val="single" w:sz="4" w:space="0" w:color="auto"/>
            </w:tcBorders>
            <w:hideMark/>
          </w:tcPr>
          <w:p w14:paraId="7C741657" w14:textId="77777777" w:rsidR="00B91A9B" w:rsidRPr="00834149" w:rsidRDefault="00B91A9B" w:rsidP="00834149">
            <w:pPr>
              <w:rPr>
                <w:rFonts w:eastAsia="SimSun" w:cstheme="majorBidi"/>
                <w:lang w:val="en-GB"/>
              </w:rPr>
            </w:pPr>
            <w:r w:rsidRPr="00834149">
              <w:rPr>
                <w:rFonts w:eastAsia="SimSun" w:cstheme="majorBidi"/>
              </w:rPr>
              <w:t>Sector strategies and policies</w:t>
            </w:r>
          </w:p>
        </w:tc>
        <w:tc>
          <w:tcPr>
            <w:tcW w:w="0" w:type="auto"/>
            <w:tcBorders>
              <w:top w:val="single" w:sz="4" w:space="0" w:color="auto"/>
              <w:left w:val="single" w:sz="4" w:space="0" w:color="auto"/>
              <w:bottom w:val="single" w:sz="4" w:space="0" w:color="auto"/>
              <w:right w:val="single" w:sz="4" w:space="0" w:color="auto"/>
            </w:tcBorders>
            <w:hideMark/>
          </w:tcPr>
          <w:p w14:paraId="0C89F814" w14:textId="77777777" w:rsidR="00B91A9B" w:rsidRPr="00834149" w:rsidRDefault="00B91A9B" w:rsidP="00834149">
            <w:pPr>
              <w:jc w:val="center"/>
              <w:rPr>
                <w:rFonts w:eastAsia="SimSun" w:cstheme="majorBidi"/>
                <w:lang w:val="en-GB"/>
              </w:rPr>
            </w:pPr>
            <w:r w:rsidRPr="00834149">
              <w:rPr>
                <w:rFonts w:eastAsia="SimSun" w:cstheme="majorBidi"/>
              </w:rPr>
              <w:t>S</w:t>
            </w:r>
          </w:p>
        </w:tc>
      </w:tr>
      <w:tr w:rsidR="00B91A9B" w:rsidRPr="00A50430" w14:paraId="57540887" w14:textId="77777777" w:rsidTr="00CD63D9">
        <w:tc>
          <w:tcPr>
            <w:tcW w:w="0" w:type="auto"/>
            <w:tcBorders>
              <w:top w:val="single" w:sz="4" w:space="0" w:color="auto"/>
              <w:left w:val="single" w:sz="4" w:space="0" w:color="auto"/>
              <w:bottom w:val="single" w:sz="4" w:space="0" w:color="auto"/>
              <w:right w:val="single" w:sz="4" w:space="0" w:color="auto"/>
            </w:tcBorders>
            <w:hideMark/>
          </w:tcPr>
          <w:p w14:paraId="7EA9843B" w14:textId="77777777" w:rsidR="00B91A9B" w:rsidRPr="00834149" w:rsidRDefault="00B91A9B" w:rsidP="00834149">
            <w:pPr>
              <w:jc w:val="center"/>
              <w:rPr>
                <w:rFonts w:eastAsia="SimSun" w:cstheme="majorBidi"/>
                <w:lang w:val="en-GB"/>
              </w:rPr>
            </w:pPr>
            <w:r w:rsidRPr="00834149">
              <w:rPr>
                <w:rFonts w:eastAsia="SimSun" w:cstheme="majorBidi"/>
              </w:rPr>
              <w:t>4</w:t>
            </w:r>
          </w:p>
        </w:tc>
        <w:tc>
          <w:tcPr>
            <w:tcW w:w="0" w:type="auto"/>
            <w:tcBorders>
              <w:top w:val="single" w:sz="4" w:space="0" w:color="auto"/>
              <w:left w:val="single" w:sz="4" w:space="0" w:color="auto"/>
              <w:bottom w:val="single" w:sz="4" w:space="0" w:color="auto"/>
              <w:right w:val="single" w:sz="4" w:space="0" w:color="auto"/>
            </w:tcBorders>
            <w:hideMark/>
          </w:tcPr>
          <w:p w14:paraId="4842B9F4" w14:textId="77777777" w:rsidR="00B91A9B" w:rsidRPr="00834149" w:rsidRDefault="00B91A9B" w:rsidP="00834149">
            <w:pPr>
              <w:rPr>
                <w:rFonts w:eastAsia="SimSun" w:cstheme="majorBidi"/>
                <w:lang w:val="en-GB"/>
              </w:rPr>
            </w:pPr>
            <w:r w:rsidRPr="00834149">
              <w:rPr>
                <w:rFonts w:eastAsia="SimSun" w:cstheme="majorBidi"/>
              </w:rPr>
              <w:t>Technical design of project/program</w:t>
            </w:r>
          </w:p>
        </w:tc>
        <w:tc>
          <w:tcPr>
            <w:tcW w:w="0" w:type="auto"/>
            <w:tcBorders>
              <w:top w:val="single" w:sz="4" w:space="0" w:color="auto"/>
              <w:left w:val="single" w:sz="4" w:space="0" w:color="auto"/>
              <w:bottom w:val="single" w:sz="4" w:space="0" w:color="auto"/>
              <w:right w:val="single" w:sz="4" w:space="0" w:color="auto"/>
            </w:tcBorders>
            <w:hideMark/>
          </w:tcPr>
          <w:p w14:paraId="42E49C7C" w14:textId="77777777" w:rsidR="00B91A9B" w:rsidRPr="00834149" w:rsidRDefault="00B91A9B" w:rsidP="00834149">
            <w:pPr>
              <w:jc w:val="center"/>
              <w:rPr>
                <w:rFonts w:eastAsia="SimSun" w:cstheme="majorBidi"/>
                <w:lang w:val="en-GB"/>
              </w:rPr>
            </w:pPr>
            <w:r w:rsidRPr="00834149">
              <w:rPr>
                <w:rFonts w:eastAsia="SimSun" w:cstheme="majorBidi"/>
              </w:rPr>
              <w:t>M</w:t>
            </w:r>
          </w:p>
        </w:tc>
      </w:tr>
      <w:tr w:rsidR="00B91A9B" w:rsidRPr="00A50430" w14:paraId="00C179B2" w14:textId="77777777" w:rsidTr="00CD63D9">
        <w:tc>
          <w:tcPr>
            <w:tcW w:w="0" w:type="auto"/>
            <w:tcBorders>
              <w:top w:val="single" w:sz="4" w:space="0" w:color="auto"/>
              <w:left w:val="single" w:sz="4" w:space="0" w:color="auto"/>
              <w:bottom w:val="single" w:sz="4" w:space="0" w:color="auto"/>
              <w:right w:val="single" w:sz="4" w:space="0" w:color="auto"/>
            </w:tcBorders>
            <w:hideMark/>
          </w:tcPr>
          <w:p w14:paraId="4DD807D2" w14:textId="77777777" w:rsidR="00B91A9B" w:rsidRPr="00834149" w:rsidRDefault="00B91A9B" w:rsidP="00834149">
            <w:pPr>
              <w:jc w:val="center"/>
              <w:rPr>
                <w:rFonts w:eastAsia="SimSun" w:cstheme="majorBidi"/>
                <w:lang w:val="en-GB"/>
              </w:rPr>
            </w:pPr>
            <w:r w:rsidRPr="00834149">
              <w:rPr>
                <w:rFonts w:eastAsia="SimSun" w:cstheme="majorBidi"/>
              </w:rPr>
              <w:t>S</w:t>
            </w:r>
          </w:p>
        </w:tc>
        <w:tc>
          <w:tcPr>
            <w:tcW w:w="0" w:type="auto"/>
            <w:tcBorders>
              <w:top w:val="single" w:sz="4" w:space="0" w:color="auto"/>
              <w:left w:val="single" w:sz="4" w:space="0" w:color="auto"/>
              <w:bottom w:val="single" w:sz="4" w:space="0" w:color="auto"/>
              <w:right w:val="single" w:sz="4" w:space="0" w:color="auto"/>
            </w:tcBorders>
            <w:hideMark/>
          </w:tcPr>
          <w:p w14:paraId="73B0E8E4" w14:textId="77777777" w:rsidR="00B91A9B" w:rsidRPr="00834149" w:rsidRDefault="00B91A9B" w:rsidP="00834149">
            <w:pPr>
              <w:rPr>
                <w:rFonts w:eastAsia="SimSun" w:cstheme="majorBidi"/>
                <w:lang w:val="en-GB"/>
              </w:rPr>
            </w:pPr>
            <w:r w:rsidRPr="00834149">
              <w:rPr>
                <w:rFonts w:eastAsia="SimSun" w:cstheme="majorBidi"/>
              </w:rPr>
              <w:t>Institutional capacity for implementation and sustainability</w:t>
            </w:r>
          </w:p>
        </w:tc>
        <w:tc>
          <w:tcPr>
            <w:tcW w:w="0" w:type="auto"/>
            <w:tcBorders>
              <w:top w:val="single" w:sz="4" w:space="0" w:color="auto"/>
              <w:left w:val="single" w:sz="4" w:space="0" w:color="auto"/>
              <w:bottom w:val="single" w:sz="4" w:space="0" w:color="auto"/>
              <w:right w:val="single" w:sz="4" w:space="0" w:color="auto"/>
            </w:tcBorders>
            <w:hideMark/>
          </w:tcPr>
          <w:p w14:paraId="64E3585B" w14:textId="77777777" w:rsidR="00B91A9B" w:rsidRPr="00834149" w:rsidRDefault="00B91A9B" w:rsidP="00834149">
            <w:pPr>
              <w:jc w:val="center"/>
              <w:rPr>
                <w:rFonts w:eastAsia="SimSun" w:cstheme="majorBidi"/>
                <w:lang w:val="en-GB"/>
              </w:rPr>
            </w:pPr>
            <w:r w:rsidRPr="00834149">
              <w:rPr>
                <w:rFonts w:eastAsia="SimSun" w:cstheme="majorBidi"/>
              </w:rPr>
              <w:t>S</w:t>
            </w:r>
          </w:p>
        </w:tc>
      </w:tr>
      <w:tr w:rsidR="00B91A9B" w:rsidRPr="00A50430" w14:paraId="5DFC5C3C" w14:textId="77777777" w:rsidTr="00CD63D9">
        <w:tc>
          <w:tcPr>
            <w:tcW w:w="0" w:type="auto"/>
            <w:tcBorders>
              <w:top w:val="single" w:sz="4" w:space="0" w:color="auto"/>
              <w:left w:val="single" w:sz="4" w:space="0" w:color="auto"/>
              <w:bottom w:val="single" w:sz="4" w:space="0" w:color="auto"/>
              <w:right w:val="single" w:sz="4" w:space="0" w:color="auto"/>
            </w:tcBorders>
            <w:hideMark/>
          </w:tcPr>
          <w:p w14:paraId="196664F4" w14:textId="77777777" w:rsidR="00B91A9B" w:rsidRPr="00834149" w:rsidRDefault="00B91A9B" w:rsidP="00834149">
            <w:pPr>
              <w:jc w:val="center"/>
              <w:rPr>
                <w:rFonts w:eastAsia="SimSun" w:cstheme="majorBidi"/>
                <w:lang w:val="en-GB"/>
              </w:rPr>
            </w:pPr>
            <w:r w:rsidRPr="00834149">
              <w:rPr>
                <w:rFonts w:eastAsia="SimSun" w:cstheme="majorBidi"/>
              </w:rPr>
              <w:t>6</w:t>
            </w:r>
          </w:p>
        </w:tc>
        <w:tc>
          <w:tcPr>
            <w:tcW w:w="0" w:type="auto"/>
            <w:tcBorders>
              <w:top w:val="single" w:sz="4" w:space="0" w:color="auto"/>
              <w:left w:val="single" w:sz="4" w:space="0" w:color="auto"/>
              <w:bottom w:val="single" w:sz="4" w:space="0" w:color="auto"/>
              <w:right w:val="single" w:sz="4" w:space="0" w:color="auto"/>
            </w:tcBorders>
            <w:hideMark/>
          </w:tcPr>
          <w:p w14:paraId="083B9C78" w14:textId="77777777" w:rsidR="00B91A9B" w:rsidRPr="00834149" w:rsidRDefault="00B91A9B" w:rsidP="00834149">
            <w:pPr>
              <w:rPr>
                <w:rFonts w:eastAsia="SimSun" w:cstheme="majorBidi"/>
                <w:lang w:val="en-GB"/>
              </w:rPr>
            </w:pPr>
            <w:r w:rsidRPr="00834149">
              <w:rPr>
                <w:rFonts w:eastAsia="SimSun" w:cstheme="majorBidi"/>
              </w:rPr>
              <w:t>Fiduciary</w:t>
            </w:r>
          </w:p>
        </w:tc>
        <w:tc>
          <w:tcPr>
            <w:tcW w:w="0" w:type="auto"/>
            <w:tcBorders>
              <w:top w:val="single" w:sz="4" w:space="0" w:color="auto"/>
              <w:left w:val="single" w:sz="4" w:space="0" w:color="auto"/>
              <w:bottom w:val="single" w:sz="4" w:space="0" w:color="auto"/>
              <w:right w:val="single" w:sz="4" w:space="0" w:color="auto"/>
            </w:tcBorders>
            <w:hideMark/>
          </w:tcPr>
          <w:p w14:paraId="71EE4C91" w14:textId="77777777" w:rsidR="00B91A9B" w:rsidRPr="00834149" w:rsidRDefault="00B91A9B" w:rsidP="00834149">
            <w:pPr>
              <w:jc w:val="center"/>
              <w:rPr>
                <w:rFonts w:eastAsia="SimSun" w:cstheme="majorBidi"/>
                <w:lang w:val="en-GB"/>
              </w:rPr>
            </w:pPr>
            <w:r w:rsidRPr="00834149">
              <w:rPr>
                <w:rFonts w:eastAsia="SimSun" w:cstheme="majorBidi"/>
              </w:rPr>
              <w:t>S</w:t>
            </w:r>
          </w:p>
        </w:tc>
      </w:tr>
      <w:tr w:rsidR="00B91A9B" w:rsidRPr="00A50430" w14:paraId="5F31C23F" w14:textId="77777777" w:rsidTr="00CD63D9">
        <w:tc>
          <w:tcPr>
            <w:tcW w:w="0" w:type="auto"/>
            <w:tcBorders>
              <w:top w:val="single" w:sz="4" w:space="0" w:color="auto"/>
              <w:left w:val="single" w:sz="4" w:space="0" w:color="auto"/>
              <w:bottom w:val="single" w:sz="4" w:space="0" w:color="auto"/>
              <w:right w:val="single" w:sz="4" w:space="0" w:color="auto"/>
            </w:tcBorders>
            <w:hideMark/>
          </w:tcPr>
          <w:p w14:paraId="356B4E20" w14:textId="77777777" w:rsidR="00B91A9B" w:rsidRPr="00834149" w:rsidRDefault="00B91A9B" w:rsidP="00834149">
            <w:pPr>
              <w:jc w:val="center"/>
              <w:rPr>
                <w:rFonts w:eastAsia="SimSun" w:cstheme="majorBidi"/>
                <w:lang w:val="en-GB"/>
              </w:rPr>
            </w:pPr>
            <w:r w:rsidRPr="00834149">
              <w:rPr>
                <w:rFonts w:eastAsia="SimSun" w:cstheme="majorBidi"/>
              </w:rPr>
              <w:t>7</w:t>
            </w:r>
          </w:p>
        </w:tc>
        <w:tc>
          <w:tcPr>
            <w:tcW w:w="0" w:type="auto"/>
            <w:tcBorders>
              <w:top w:val="single" w:sz="4" w:space="0" w:color="auto"/>
              <w:left w:val="single" w:sz="4" w:space="0" w:color="auto"/>
              <w:bottom w:val="single" w:sz="4" w:space="0" w:color="auto"/>
              <w:right w:val="single" w:sz="4" w:space="0" w:color="auto"/>
            </w:tcBorders>
            <w:hideMark/>
          </w:tcPr>
          <w:p w14:paraId="70A103C7" w14:textId="46CBEEF5" w:rsidR="00B91A9B" w:rsidRPr="00834149" w:rsidRDefault="00B91A9B" w:rsidP="00834149">
            <w:pPr>
              <w:rPr>
                <w:rFonts w:eastAsia="SimSun" w:cstheme="majorBidi"/>
                <w:lang w:val="en-GB"/>
              </w:rPr>
            </w:pPr>
            <w:r w:rsidRPr="00834149">
              <w:rPr>
                <w:rFonts w:eastAsia="SimSun" w:cstheme="majorBidi"/>
              </w:rPr>
              <w:t xml:space="preserve">Environmental </w:t>
            </w:r>
            <w:r w:rsidR="000C50BD" w:rsidRPr="00834149">
              <w:rPr>
                <w:rFonts w:eastAsia="SimSun" w:cstheme="majorBidi"/>
              </w:rPr>
              <w:t>and</w:t>
            </w:r>
            <w:r w:rsidRPr="00834149">
              <w:rPr>
                <w:rFonts w:eastAsia="SimSun" w:cstheme="majorBidi"/>
              </w:rPr>
              <w:t xml:space="preserve"> social</w:t>
            </w:r>
          </w:p>
        </w:tc>
        <w:tc>
          <w:tcPr>
            <w:tcW w:w="0" w:type="auto"/>
            <w:tcBorders>
              <w:top w:val="single" w:sz="4" w:space="0" w:color="auto"/>
              <w:left w:val="single" w:sz="4" w:space="0" w:color="auto"/>
              <w:bottom w:val="single" w:sz="4" w:space="0" w:color="auto"/>
              <w:right w:val="single" w:sz="4" w:space="0" w:color="auto"/>
            </w:tcBorders>
            <w:hideMark/>
          </w:tcPr>
          <w:p w14:paraId="6C1AE78B" w14:textId="77777777" w:rsidR="00B91A9B" w:rsidRPr="00834149" w:rsidRDefault="00B91A9B" w:rsidP="00834149">
            <w:pPr>
              <w:jc w:val="center"/>
              <w:rPr>
                <w:rFonts w:eastAsia="SimSun" w:cstheme="majorBidi"/>
                <w:lang w:val="en-GB"/>
              </w:rPr>
            </w:pPr>
            <w:r w:rsidRPr="00834149">
              <w:rPr>
                <w:rFonts w:eastAsia="SimSun" w:cstheme="majorBidi"/>
              </w:rPr>
              <w:t>M</w:t>
            </w:r>
          </w:p>
        </w:tc>
      </w:tr>
      <w:tr w:rsidR="00B91A9B" w:rsidRPr="00A50430" w14:paraId="589BBFA8" w14:textId="77777777" w:rsidTr="00CD63D9">
        <w:tc>
          <w:tcPr>
            <w:tcW w:w="0" w:type="auto"/>
            <w:tcBorders>
              <w:top w:val="single" w:sz="4" w:space="0" w:color="auto"/>
              <w:left w:val="single" w:sz="4" w:space="0" w:color="auto"/>
              <w:bottom w:val="single" w:sz="4" w:space="0" w:color="auto"/>
              <w:right w:val="single" w:sz="4" w:space="0" w:color="auto"/>
            </w:tcBorders>
            <w:hideMark/>
          </w:tcPr>
          <w:p w14:paraId="12F5C361" w14:textId="77777777" w:rsidR="00B91A9B" w:rsidRPr="00834149" w:rsidRDefault="00B91A9B" w:rsidP="00834149">
            <w:pPr>
              <w:jc w:val="center"/>
              <w:rPr>
                <w:rFonts w:eastAsia="SimSun" w:cstheme="majorBidi"/>
                <w:lang w:val="en-GB"/>
              </w:rPr>
            </w:pPr>
            <w:r w:rsidRPr="00834149">
              <w:rPr>
                <w:rFonts w:eastAsia="SimSun" w:cstheme="majorBidi"/>
              </w:rPr>
              <w:t>8</w:t>
            </w:r>
          </w:p>
        </w:tc>
        <w:tc>
          <w:tcPr>
            <w:tcW w:w="0" w:type="auto"/>
            <w:tcBorders>
              <w:top w:val="single" w:sz="4" w:space="0" w:color="auto"/>
              <w:left w:val="single" w:sz="4" w:space="0" w:color="auto"/>
              <w:bottom w:val="single" w:sz="4" w:space="0" w:color="auto"/>
              <w:right w:val="single" w:sz="4" w:space="0" w:color="auto"/>
            </w:tcBorders>
            <w:hideMark/>
          </w:tcPr>
          <w:p w14:paraId="79552791" w14:textId="77777777" w:rsidR="00B91A9B" w:rsidRPr="00834149" w:rsidRDefault="00B91A9B" w:rsidP="00834149">
            <w:pPr>
              <w:rPr>
                <w:rFonts w:eastAsia="SimSun" w:cstheme="majorBidi"/>
                <w:lang w:val="en-GB"/>
              </w:rPr>
            </w:pPr>
            <w:r w:rsidRPr="00834149">
              <w:rPr>
                <w:rFonts w:eastAsia="SimSun" w:cstheme="majorBidi"/>
              </w:rPr>
              <w:t>Stakeholders</w:t>
            </w:r>
          </w:p>
        </w:tc>
        <w:tc>
          <w:tcPr>
            <w:tcW w:w="0" w:type="auto"/>
            <w:tcBorders>
              <w:top w:val="single" w:sz="4" w:space="0" w:color="auto"/>
              <w:left w:val="single" w:sz="4" w:space="0" w:color="auto"/>
              <w:bottom w:val="single" w:sz="4" w:space="0" w:color="auto"/>
              <w:right w:val="single" w:sz="4" w:space="0" w:color="auto"/>
            </w:tcBorders>
            <w:hideMark/>
          </w:tcPr>
          <w:p w14:paraId="52DBE2E1" w14:textId="77777777" w:rsidR="00B91A9B" w:rsidRPr="00834149" w:rsidRDefault="00B91A9B" w:rsidP="00834149">
            <w:pPr>
              <w:jc w:val="center"/>
              <w:rPr>
                <w:rFonts w:eastAsia="SimSun" w:cstheme="majorBidi"/>
                <w:lang w:val="en-GB"/>
              </w:rPr>
            </w:pPr>
            <w:r w:rsidRPr="00834149">
              <w:rPr>
                <w:rFonts w:eastAsia="SimSun" w:cstheme="majorBidi"/>
              </w:rPr>
              <w:t>M</w:t>
            </w:r>
          </w:p>
        </w:tc>
      </w:tr>
      <w:tr w:rsidR="00B91A9B" w:rsidRPr="00A50430" w14:paraId="2655656B" w14:textId="77777777" w:rsidTr="00CD63D9">
        <w:tc>
          <w:tcPr>
            <w:tcW w:w="0" w:type="auto"/>
            <w:tcBorders>
              <w:top w:val="single" w:sz="4" w:space="0" w:color="auto"/>
              <w:left w:val="single" w:sz="4" w:space="0" w:color="auto"/>
              <w:bottom w:val="single" w:sz="4" w:space="0" w:color="auto"/>
              <w:right w:val="single" w:sz="4" w:space="0" w:color="auto"/>
            </w:tcBorders>
            <w:hideMark/>
          </w:tcPr>
          <w:p w14:paraId="6A147BC7" w14:textId="77777777" w:rsidR="00B91A9B" w:rsidRPr="00834149" w:rsidRDefault="00B91A9B" w:rsidP="00834149">
            <w:pPr>
              <w:jc w:val="center"/>
              <w:rPr>
                <w:rFonts w:eastAsia="SimSun" w:cstheme="majorBidi"/>
                <w:lang w:val="en-GB"/>
              </w:rPr>
            </w:pPr>
            <w:r w:rsidRPr="00834149">
              <w:rPr>
                <w:rFonts w:eastAsia="SimSun" w:cstheme="majorBidi"/>
              </w:rPr>
              <w:t>9</w:t>
            </w:r>
          </w:p>
        </w:tc>
        <w:tc>
          <w:tcPr>
            <w:tcW w:w="0" w:type="auto"/>
            <w:tcBorders>
              <w:top w:val="single" w:sz="4" w:space="0" w:color="auto"/>
              <w:left w:val="single" w:sz="4" w:space="0" w:color="auto"/>
              <w:bottom w:val="single" w:sz="4" w:space="0" w:color="auto"/>
              <w:right w:val="single" w:sz="4" w:space="0" w:color="auto"/>
            </w:tcBorders>
            <w:hideMark/>
          </w:tcPr>
          <w:p w14:paraId="2EDD62C7" w14:textId="77777777" w:rsidR="00B91A9B" w:rsidRPr="00834149" w:rsidRDefault="00B91A9B" w:rsidP="00834149">
            <w:pPr>
              <w:rPr>
                <w:rFonts w:eastAsia="SimSun" w:cstheme="majorBidi"/>
                <w:lang w:val="en-GB"/>
              </w:rPr>
            </w:pPr>
            <w:r w:rsidRPr="00834149">
              <w:rPr>
                <w:rFonts w:eastAsia="SimSun" w:cstheme="majorBidi"/>
              </w:rPr>
              <w:t>Other</w:t>
            </w:r>
          </w:p>
        </w:tc>
        <w:tc>
          <w:tcPr>
            <w:tcW w:w="0" w:type="auto"/>
            <w:tcBorders>
              <w:top w:val="single" w:sz="4" w:space="0" w:color="auto"/>
              <w:left w:val="single" w:sz="4" w:space="0" w:color="auto"/>
              <w:bottom w:val="single" w:sz="4" w:space="0" w:color="auto"/>
              <w:right w:val="single" w:sz="4" w:space="0" w:color="auto"/>
            </w:tcBorders>
            <w:hideMark/>
          </w:tcPr>
          <w:p w14:paraId="7E232BD4" w14:textId="77777777" w:rsidR="00B91A9B" w:rsidRPr="00834149" w:rsidRDefault="00B91A9B" w:rsidP="00834149">
            <w:pPr>
              <w:jc w:val="center"/>
              <w:rPr>
                <w:rFonts w:eastAsia="SimSun" w:cstheme="majorBidi"/>
                <w:lang w:val="en-GB"/>
              </w:rPr>
            </w:pPr>
            <w:r w:rsidRPr="00834149">
              <w:rPr>
                <w:rFonts w:eastAsia="SimSun" w:cstheme="majorBidi"/>
              </w:rPr>
              <w:t>-</w:t>
            </w:r>
          </w:p>
        </w:tc>
      </w:tr>
      <w:tr w:rsidR="00B91A9B" w:rsidRPr="00A50430" w14:paraId="17B76E87" w14:textId="77777777" w:rsidTr="00CD63D9">
        <w:tc>
          <w:tcPr>
            <w:tcW w:w="0" w:type="auto"/>
            <w:tcBorders>
              <w:top w:val="single" w:sz="4" w:space="0" w:color="auto"/>
              <w:left w:val="single" w:sz="4" w:space="0" w:color="auto"/>
              <w:bottom w:val="single" w:sz="4" w:space="0" w:color="auto"/>
              <w:right w:val="single" w:sz="4" w:space="0" w:color="auto"/>
            </w:tcBorders>
          </w:tcPr>
          <w:p w14:paraId="35208806" w14:textId="77777777" w:rsidR="00B91A9B" w:rsidRPr="00834149" w:rsidRDefault="00B91A9B" w:rsidP="00834149">
            <w:pPr>
              <w:jc w:val="center"/>
              <w:rPr>
                <w:rFonts w:eastAsia="SimSun" w:cstheme="majorBidi"/>
                <w:lang w:val="en-GB"/>
              </w:rPr>
            </w:pPr>
          </w:p>
        </w:tc>
        <w:tc>
          <w:tcPr>
            <w:tcW w:w="0" w:type="auto"/>
            <w:tcBorders>
              <w:top w:val="single" w:sz="4" w:space="0" w:color="auto"/>
              <w:left w:val="single" w:sz="4" w:space="0" w:color="auto"/>
              <w:bottom w:val="single" w:sz="4" w:space="0" w:color="auto"/>
              <w:right w:val="single" w:sz="4" w:space="0" w:color="auto"/>
            </w:tcBorders>
            <w:hideMark/>
          </w:tcPr>
          <w:p w14:paraId="3C0F12F7" w14:textId="77777777" w:rsidR="00B91A9B" w:rsidRPr="00834149" w:rsidRDefault="00B91A9B" w:rsidP="00834149">
            <w:pPr>
              <w:rPr>
                <w:rFonts w:eastAsia="SimSun" w:cstheme="majorBidi"/>
                <w:b/>
                <w:lang w:val="en-GB"/>
              </w:rPr>
            </w:pPr>
            <w:r w:rsidRPr="00834149">
              <w:rPr>
                <w:rFonts w:eastAsia="SimSun" w:cstheme="majorBidi"/>
                <w:b/>
              </w:rPr>
              <w:t>Overall</w:t>
            </w:r>
          </w:p>
        </w:tc>
        <w:tc>
          <w:tcPr>
            <w:tcW w:w="0" w:type="auto"/>
            <w:tcBorders>
              <w:top w:val="single" w:sz="4" w:space="0" w:color="auto"/>
              <w:left w:val="single" w:sz="4" w:space="0" w:color="auto"/>
              <w:bottom w:val="single" w:sz="4" w:space="0" w:color="auto"/>
              <w:right w:val="single" w:sz="4" w:space="0" w:color="auto"/>
            </w:tcBorders>
            <w:hideMark/>
          </w:tcPr>
          <w:p w14:paraId="29575DD5" w14:textId="77777777" w:rsidR="00B91A9B" w:rsidRPr="00834149" w:rsidRDefault="00B91A9B" w:rsidP="00834149">
            <w:pPr>
              <w:jc w:val="center"/>
              <w:rPr>
                <w:rFonts w:eastAsia="SimSun" w:cstheme="majorBidi"/>
                <w:b/>
                <w:lang w:val="en-GB"/>
              </w:rPr>
            </w:pPr>
            <w:r w:rsidRPr="00834149">
              <w:rPr>
                <w:rFonts w:eastAsia="SimSun" w:cstheme="majorBidi"/>
                <w:b/>
              </w:rPr>
              <w:t>S</w:t>
            </w:r>
          </w:p>
        </w:tc>
      </w:tr>
    </w:tbl>
    <w:p w14:paraId="6A431377" w14:textId="77777777" w:rsidR="00442937" w:rsidRPr="00A50430" w:rsidRDefault="00442937" w:rsidP="00A50430">
      <w:pPr>
        <w:pStyle w:val="ListParagraph"/>
        <w:autoSpaceDE w:val="0"/>
        <w:autoSpaceDN w:val="0"/>
        <w:adjustRightInd w:val="0"/>
        <w:ind w:left="0"/>
        <w:jc w:val="both"/>
      </w:pPr>
    </w:p>
    <w:p w14:paraId="5DA4488F" w14:textId="1E882E50" w:rsidR="00B55D28" w:rsidRPr="00834149" w:rsidRDefault="00B55D28" w:rsidP="00834149">
      <w:pPr>
        <w:pStyle w:val="ListParagraph"/>
        <w:numPr>
          <w:ilvl w:val="0"/>
          <w:numId w:val="2"/>
        </w:numPr>
        <w:ind w:left="0" w:firstLine="0"/>
        <w:jc w:val="both"/>
      </w:pPr>
      <w:r w:rsidRPr="00834149">
        <w:rPr>
          <w:b/>
          <w:bCs/>
          <w:color w:val="000000"/>
        </w:rPr>
        <w:t xml:space="preserve">The overall risk to the CPF program is rated as Substantial </w:t>
      </w:r>
      <w:r w:rsidRPr="00834149">
        <w:rPr>
          <w:bCs/>
          <w:color w:val="000000"/>
        </w:rPr>
        <w:t>(Table 9)</w:t>
      </w:r>
      <w:r w:rsidR="00F20DBE" w:rsidRPr="00834149">
        <w:rPr>
          <w:bCs/>
          <w:color w:val="000000"/>
        </w:rPr>
        <w:t xml:space="preserve">. This assessment is based on the ratings for </w:t>
      </w:r>
      <w:r w:rsidRPr="00834149">
        <w:rPr>
          <w:bCs/>
          <w:color w:val="000000"/>
        </w:rPr>
        <w:t xml:space="preserve">political and governance, macroeconomic, sector </w:t>
      </w:r>
      <w:r w:rsidR="00F20DBE" w:rsidRPr="00834149">
        <w:rPr>
          <w:bCs/>
          <w:color w:val="000000"/>
        </w:rPr>
        <w:t xml:space="preserve">strategies, institutional capacity and fiduciary, which each present substantial risks to CPF implementation. </w:t>
      </w:r>
    </w:p>
    <w:p w14:paraId="0280849F" w14:textId="77777777" w:rsidR="00B55D28" w:rsidRPr="00834149" w:rsidRDefault="00B55D28" w:rsidP="00834149">
      <w:pPr>
        <w:pStyle w:val="ListParagraph"/>
        <w:ind w:left="360"/>
        <w:jc w:val="both"/>
      </w:pPr>
    </w:p>
    <w:p w14:paraId="60EBF8BC" w14:textId="0E173A44" w:rsidR="00442937" w:rsidRPr="00834149" w:rsidRDefault="00442937" w:rsidP="00A50430">
      <w:pPr>
        <w:pStyle w:val="ListParagraph"/>
        <w:numPr>
          <w:ilvl w:val="0"/>
          <w:numId w:val="2"/>
        </w:numPr>
        <w:autoSpaceDE w:val="0"/>
        <w:autoSpaceDN w:val="0"/>
        <w:adjustRightInd w:val="0"/>
        <w:ind w:left="0" w:firstLine="0"/>
        <w:jc w:val="both"/>
        <w:rPr>
          <w:rFonts w:cs="Times New Roman"/>
        </w:rPr>
      </w:pPr>
      <w:r w:rsidRPr="00834149">
        <w:rPr>
          <w:rFonts w:cs="Times New Roman"/>
          <w:b/>
          <w:iCs/>
        </w:rPr>
        <w:t>Political and governance risks</w:t>
      </w:r>
      <w:r w:rsidR="009017C0" w:rsidRPr="00834149">
        <w:rPr>
          <w:rFonts w:cs="Times New Roman"/>
          <w:iCs/>
        </w:rPr>
        <w:t xml:space="preserve">. </w:t>
      </w:r>
      <w:r w:rsidR="00F20DBE" w:rsidRPr="00834149">
        <w:rPr>
          <w:rFonts w:cs="Times New Roman"/>
          <w:bCs/>
          <w:color w:val="000000"/>
        </w:rPr>
        <w:t>While the political and security situation in Togo is stable, q</w:t>
      </w:r>
      <w:r w:rsidRPr="00834149">
        <w:rPr>
          <w:rFonts w:cs="Times New Roman"/>
          <w:bCs/>
          <w:color w:val="000000"/>
        </w:rPr>
        <w:t>uestions regarding presidential term limits remain unresolved</w:t>
      </w:r>
      <w:r w:rsidR="009017C0" w:rsidRPr="00834149">
        <w:rPr>
          <w:rFonts w:cs="Times New Roman"/>
          <w:bCs/>
          <w:color w:val="000000"/>
        </w:rPr>
        <w:t xml:space="preserve"> and</w:t>
      </w:r>
      <w:r w:rsidRPr="00834149">
        <w:rPr>
          <w:rFonts w:cs="Times New Roman"/>
          <w:bCs/>
          <w:color w:val="000000"/>
        </w:rPr>
        <w:t xml:space="preserve"> potentially contentious</w:t>
      </w:r>
      <w:r w:rsidR="009017C0" w:rsidRPr="00834149">
        <w:rPr>
          <w:rFonts w:cs="Times New Roman"/>
          <w:bCs/>
          <w:color w:val="000000"/>
        </w:rPr>
        <w:t>,</w:t>
      </w:r>
      <w:r w:rsidR="00F20DBE" w:rsidRPr="00834149">
        <w:rPr>
          <w:rFonts w:cs="Times New Roman"/>
          <w:bCs/>
          <w:color w:val="000000"/>
        </w:rPr>
        <w:t xml:space="preserve"> and create some risks for the </w:t>
      </w:r>
      <w:r w:rsidR="000F5595" w:rsidRPr="00834149">
        <w:rPr>
          <w:rFonts w:cs="Times New Roman"/>
          <w:bCs/>
          <w:color w:val="000000"/>
        </w:rPr>
        <w:t>G</w:t>
      </w:r>
      <w:r w:rsidR="00F20DBE" w:rsidRPr="00834149">
        <w:rPr>
          <w:rFonts w:cs="Times New Roman"/>
          <w:bCs/>
          <w:color w:val="000000"/>
        </w:rPr>
        <w:t>overnment</w:t>
      </w:r>
      <w:r w:rsidR="004D0DD9" w:rsidRPr="00834149">
        <w:rPr>
          <w:rFonts w:cs="Times New Roman"/>
          <w:bCs/>
          <w:color w:val="000000"/>
        </w:rPr>
        <w:t>.</w:t>
      </w:r>
      <w:r w:rsidRPr="00834149">
        <w:rPr>
          <w:rFonts w:cs="Times New Roman"/>
          <w:bCs/>
          <w:color w:val="000000"/>
        </w:rPr>
        <w:t xml:space="preserve"> </w:t>
      </w:r>
      <w:r w:rsidR="00AD0AB3" w:rsidRPr="00834149">
        <w:rPr>
          <w:rFonts w:cs="Times New Roman"/>
          <w:bCs/>
          <w:color w:val="000000"/>
        </w:rPr>
        <w:t xml:space="preserve">In particular, as the country is experiencing some fiscal difficulties and </w:t>
      </w:r>
      <w:r w:rsidR="009017C0" w:rsidRPr="00834149">
        <w:rPr>
          <w:rFonts w:cs="Times New Roman"/>
          <w:bCs/>
          <w:color w:val="000000"/>
        </w:rPr>
        <w:t xml:space="preserve">the </w:t>
      </w:r>
      <w:r w:rsidR="000F5595" w:rsidRPr="00834149">
        <w:rPr>
          <w:rFonts w:cs="Times New Roman"/>
          <w:bCs/>
          <w:color w:val="000000"/>
        </w:rPr>
        <w:t>G</w:t>
      </w:r>
      <w:r w:rsidR="00AD0AB3" w:rsidRPr="00834149">
        <w:rPr>
          <w:rFonts w:cs="Times New Roman"/>
          <w:bCs/>
          <w:color w:val="000000"/>
        </w:rPr>
        <w:t xml:space="preserve">overnment has been unable to resolve growing teacher strikes and student protests in recent months, there are concerns that these events would be used to stoke political tensions. </w:t>
      </w:r>
      <w:r w:rsidR="004D0DD9" w:rsidRPr="00834149">
        <w:rPr>
          <w:rFonts w:cs="Times New Roman"/>
          <w:bCs/>
          <w:color w:val="000000"/>
        </w:rPr>
        <w:t>A</w:t>
      </w:r>
      <w:r w:rsidRPr="00834149">
        <w:rPr>
          <w:rFonts w:cs="Times New Roman"/>
          <w:bCs/>
          <w:color w:val="000000"/>
        </w:rPr>
        <w:t xml:space="preserve">s the next </w:t>
      </w:r>
      <w:r w:rsidRPr="00834149">
        <w:rPr>
          <w:rFonts w:cs="Times New Roman"/>
          <w:bCs/>
          <w:color w:val="000000"/>
        </w:rPr>
        <w:lastRenderedPageBreak/>
        <w:t>presidential elections approach in 2020</w:t>
      </w:r>
      <w:r w:rsidR="00AD0AB3" w:rsidRPr="00834149">
        <w:rPr>
          <w:rFonts w:cs="Times New Roman"/>
          <w:bCs/>
          <w:color w:val="000000"/>
        </w:rPr>
        <w:t xml:space="preserve"> and if some political reforms from the 2006 GPAs remain stalled</w:t>
      </w:r>
      <w:r w:rsidRPr="00834149">
        <w:rPr>
          <w:rFonts w:cs="Times New Roman"/>
          <w:bCs/>
          <w:color w:val="000000"/>
        </w:rPr>
        <w:t xml:space="preserve">, </w:t>
      </w:r>
      <w:r w:rsidR="00AD0AB3" w:rsidRPr="00834149">
        <w:rPr>
          <w:rFonts w:cs="Times New Roman"/>
          <w:bCs/>
          <w:color w:val="000000"/>
        </w:rPr>
        <w:t xml:space="preserve">it could be difficult for government to </w:t>
      </w:r>
      <w:r w:rsidRPr="00834149">
        <w:rPr>
          <w:rFonts w:cs="Times New Roman"/>
          <w:bCs/>
          <w:color w:val="000000"/>
        </w:rPr>
        <w:t>maintain</w:t>
      </w:r>
      <w:r w:rsidR="00AD0AB3" w:rsidRPr="00834149">
        <w:rPr>
          <w:rFonts w:cs="Times New Roman"/>
          <w:bCs/>
          <w:color w:val="000000"/>
        </w:rPr>
        <w:t xml:space="preserve"> the</w:t>
      </w:r>
      <w:r w:rsidRPr="00834149">
        <w:rPr>
          <w:rFonts w:cs="Times New Roman"/>
          <w:bCs/>
          <w:color w:val="000000"/>
        </w:rPr>
        <w:t xml:space="preserve"> reform momentum or </w:t>
      </w:r>
      <w:r w:rsidR="00AD0AB3" w:rsidRPr="00834149">
        <w:rPr>
          <w:rFonts w:cs="Times New Roman"/>
          <w:bCs/>
          <w:color w:val="000000"/>
        </w:rPr>
        <w:t xml:space="preserve">take difficult decisions. </w:t>
      </w:r>
      <w:r w:rsidRPr="00834149">
        <w:rPr>
          <w:rFonts w:cs="Times New Roman"/>
          <w:bCs/>
          <w:color w:val="000000"/>
        </w:rPr>
        <w:t xml:space="preserve">In addition, political economy issues and vested interests could seek to delay certain reforms. Improving the </w:t>
      </w:r>
      <w:r w:rsidR="000C50BD" w:rsidRPr="00834149">
        <w:rPr>
          <w:rFonts w:cs="Times New Roman"/>
          <w:bCs/>
          <w:color w:val="000000"/>
        </w:rPr>
        <w:t>WBG’s</w:t>
      </w:r>
      <w:r w:rsidRPr="00834149">
        <w:rPr>
          <w:rFonts w:cs="Times New Roman"/>
          <w:bCs/>
          <w:color w:val="000000"/>
        </w:rPr>
        <w:t xml:space="preserve"> communication on the benefits of reforms for the success of the country’s development priorities, and </w:t>
      </w:r>
      <w:r w:rsidR="00AD0AB3" w:rsidRPr="00834149">
        <w:rPr>
          <w:rFonts w:cs="Times New Roman"/>
          <w:bCs/>
          <w:color w:val="000000"/>
        </w:rPr>
        <w:t xml:space="preserve">helping government improve its communication, could help reduce the potential for tensions and provide space for </w:t>
      </w:r>
      <w:r w:rsidRPr="00834149">
        <w:rPr>
          <w:rFonts w:cs="Times New Roman"/>
          <w:bCs/>
          <w:color w:val="000000"/>
        </w:rPr>
        <w:t xml:space="preserve">the authorities </w:t>
      </w:r>
      <w:r w:rsidR="00AD0AB3" w:rsidRPr="00834149">
        <w:rPr>
          <w:rFonts w:cs="Times New Roman"/>
          <w:bCs/>
          <w:color w:val="000000"/>
        </w:rPr>
        <w:t xml:space="preserve">to </w:t>
      </w:r>
      <w:r w:rsidRPr="00834149">
        <w:rPr>
          <w:rFonts w:cs="Times New Roman"/>
          <w:bCs/>
          <w:color w:val="000000"/>
        </w:rPr>
        <w:t xml:space="preserve">make difficult reforms. Helping the </w:t>
      </w:r>
      <w:r w:rsidR="000F5595" w:rsidRPr="00834149">
        <w:rPr>
          <w:rFonts w:cs="Times New Roman"/>
        </w:rPr>
        <w:t>G</w:t>
      </w:r>
      <w:r w:rsidRPr="00834149">
        <w:rPr>
          <w:rFonts w:cs="Times New Roman"/>
        </w:rPr>
        <w:t>overnment strengthen its responsiveness to public investment priorities in regions, towns, and communities, by strengthening the relationship between the state and citizens, and by supporting initiatives that have strong popular support,</w:t>
      </w:r>
      <w:r w:rsidRPr="00834149">
        <w:rPr>
          <w:rFonts w:cs="Times New Roman"/>
          <w:bCs/>
          <w:color w:val="000000"/>
        </w:rPr>
        <w:t xml:space="preserve"> w</w:t>
      </w:r>
      <w:r w:rsidR="00AD0AB3" w:rsidRPr="00834149">
        <w:rPr>
          <w:rFonts w:cs="Times New Roman"/>
          <w:bCs/>
          <w:color w:val="000000"/>
        </w:rPr>
        <w:t>ill</w:t>
      </w:r>
      <w:r w:rsidRPr="00834149">
        <w:rPr>
          <w:rFonts w:cs="Times New Roman"/>
          <w:bCs/>
          <w:color w:val="000000"/>
        </w:rPr>
        <w:t xml:space="preserve"> help to reduce </w:t>
      </w:r>
      <w:r w:rsidR="00AD0AB3" w:rsidRPr="00834149">
        <w:rPr>
          <w:rFonts w:cs="Times New Roman"/>
          <w:bCs/>
          <w:color w:val="000000"/>
        </w:rPr>
        <w:t>these</w:t>
      </w:r>
      <w:r w:rsidRPr="00834149">
        <w:rPr>
          <w:rFonts w:cs="Times New Roman"/>
          <w:bCs/>
          <w:color w:val="000000"/>
        </w:rPr>
        <w:t xml:space="preserve"> risks. The CPF </w:t>
      </w:r>
      <w:r w:rsidR="00AD0AB3" w:rsidRPr="00834149">
        <w:rPr>
          <w:rFonts w:cs="Times New Roman"/>
          <w:bCs/>
          <w:color w:val="000000"/>
        </w:rPr>
        <w:t xml:space="preserve">also </w:t>
      </w:r>
      <w:r w:rsidRPr="00834149">
        <w:rPr>
          <w:rFonts w:cs="Times New Roman"/>
          <w:bCs/>
          <w:color w:val="000000"/>
        </w:rPr>
        <w:t xml:space="preserve">seeks to mitigate these risks by supporting government efforts to </w:t>
      </w:r>
      <w:r w:rsidR="00AD0AB3" w:rsidRPr="00834149">
        <w:rPr>
          <w:rFonts w:cs="Times New Roman"/>
          <w:bCs/>
          <w:color w:val="000000"/>
        </w:rPr>
        <w:t xml:space="preserve">deliver better services at the local level, strengthen accountability and citizen engagement and </w:t>
      </w:r>
      <w:r w:rsidRPr="00834149">
        <w:rPr>
          <w:rFonts w:cs="Times New Roman"/>
          <w:bCs/>
          <w:color w:val="000000"/>
        </w:rPr>
        <w:t>p</w:t>
      </w:r>
      <w:r w:rsidR="00AD0AB3" w:rsidRPr="00834149">
        <w:rPr>
          <w:rFonts w:cs="Times New Roman"/>
          <w:bCs/>
          <w:color w:val="000000"/>
        </w:rPr>
        <w:t>repare for</w:t>
      </w:r>
      <w:r w:rsidRPr="00834149">
        <w:rPr>
          <w:rFonts w:cs="Times New Roman"/>
          <w:bCs/>
          <w:color w:val="000000"/>
        </w:rPr>
        <w:t xml:space="preserve"> decentralization. </w:t>
      </w:r>
    </w:p>
    <w:p w14:paraId="59E1D483" w14:textId="77777777" w:rsidR="00442937" w:rsidRPr="00834149" w:rsidRDefault="00442937" w:rsidP="00A50430">
      <w:pPr>
        <w:pStyle w:val="ListParagraph"/>
        <w:autoSpaceDE w:val="0"/>
        <w:autoSpaceDN w:val="0"/>
        <w:adjustRightInd w:val="0"/>
        <w:ind w:left="0"/>
        <w:jc w:val="both"/>
        <w:rPr>
          <w:rFonts w:cs="Times New Roman"/>
        </w:rPr>
      </w:pPr>
    </w:p>
    <w:p w14:paraId="414998B3" w14:textId="2C230996" w:rsidR="00442937" w:rsidRPr="00834149" w:rsidRDefault="00477E8E" w:rsidP="00A50430">
      <w:pPr>
        <w:pStyle w:val="ListParagraph"/>
        <w:numPr>
          <w:ilvl w:val="0"/>
          <w:numId w:val="2"/>
        </w:numPr>
        <w:autoSpaceDE w:val="0"/>
        <w:autoSpaceDN w:val="0"/>
        <w:adjustRightInd w:val="0"/>
        <w:ind w:left="0" w:firstLine="0"/>
        <w:jc w:val="both"/>
        <w:rPr>
          <w:rFonts w:cs="Times New Roman"/>
        </w:rPr>
      </w:pPr>
      <w:r w:rsidRPr="00834149">
        <w:rPr>
          <w:rFonts w:cs="Times New Roman"/>
          <w:b/>
          <w:iCs/>
        </w:rPr>
        <w:t>Macroeconomic risks</w:t>
      </w:r>
      <w:r w:rsidRPr="00834149">
        <w:rPr>
          <w:rFonts w:cs="Times New Roman"/>
          <w:iCs/>
        </w:rPr>
        <w:t>.</w:t>
      </w:r>
      <w:r w:rsidRPr="00834149">
        <w:rPr>
          <w:rFonts w:cs="Times New Roman"/>
          <w:bCs/>
        </w:rPr>
        <w:t xml:space="preserve"> The medium-term outlook for Togo is threatened by the</w:t>
      </w:r>
      <w:r w:rsidRPr="00834149">
        <w:rPr>
          <w:rFonts w:eastAsia="Times New Roman" w:cs="Times New Roman"/>
        </w:rPr>
        <w:t xml:space="preserve"> recent spike in public debt and large fiscal deficits. Public debt has risen from 56.4 percent in 2013 to about 80.8 percent of GDP in 2016, and is expected to decrease to about 73.0 percent by 2019, as overall debt grows at a significantly slower rate than GDP. The most recent DSA currently being finalized places Togo at a medium risk of external debt distress with heightened overall risk of debt distress. As a result, the </w:t>
      </w:r>
      <w:r w:rsidR="000F5595" w:rsidRPr="00834149">
        <w:rPr>
          <w:rFonts w:eastAsia="Times New Roman" w:cs="Times New Roman"/>
        </w:rPr>
        <w:t>G</w:t>
      </w:r>
      <w:r w:rsidRPr="00834149">
        <w:rPr>
          <w:rFonts w:eastAsia="Times New Roman" w:cs="Times New Roman"/>
        </w:rPr>
        <w:t xml:space="preserve">overnment has limited ability to borrow and invest </w:t>
      </w:r>
      <w:r w:rsidRPr="00834149">
        <w:rPr>
          <w:rFonts w:cs="Times New Roman"/>
          <w:bCs/>
        </w:rPr>
        <w:t>in critical infrastructure and services.</w:t>
      </w:r>
      <w:r w:rsidRPr="00834149">
        <w:rPr>
          <w:rFonts w:cs="Times New Roman"/>
          <w:b/>
          <w:bCs/>
        </w:rPr>
        <w:t xml:space="preserve"> </w:t>
      </w:r>
      <w:r w:rsidRPr="00834149">
        <w:rPr>
          <w:rFonts w:cs="Times New Roman"/>
        </w:rPr>
        <w:t xml:space="preserve">The </w:t>
      </w:r>
      <w:r w:rsidR="00090FE6" w:rsidRPr="00834149">
        <w:rPr>
          <w:rFonts w:cs="Times New Roman"/>
        </w:rPr>
        <w:t xml:space="preserve">World </w:t>
      </w:r>
      <w:r w:rsidRPr="00834149">
        <w:rPr>
          <w:rFonts w:cs="Times New Roman"/>
        </w:rPr>
        <w:t>Bank seeks to help Togo mitigate the risks posed by its fiscal constraints through macroeconomic monitoring and dialogue, and through reforms to help Togo strengthen the macroeconomic framework, by promoting private sector investments and PPPs, and maximizing access to grants and concessional finance from development partners and IDA</w:t>
      </w:r>
      <w:r w:rsidRPr="00834149">
        <w:rPr>
          <w:rFonts w:eastAsia="Times New Roman" w:cs="Times New Roman"/>
        </w:rPr>
        <w:t>.</w:t>
      </w:r>
    </w:p>
    <w:p w14:paraId="59542A85" w14:textId="77777777" w:rsidR="00442937" w:rsidRPr="00834149" w:rsidRDefault="00442937" w:rsidP="00A50430">
      <w:pPr>
        <w:pStyle w:val="ListParagraph"/>
        <w:rPr>
          <w:rFonts w:cs="Times New Roman"/>
          <w:b/>
          <w:iCs/>
        </w:rPr>
      </w:pPr>
    </w:p>
    <w:p w14:paraId="6C34FC00" w14:textId="573392E3" w:rsidR="00442937" w:rsidRPr="00834149" w:rsidRDefault="0056466B" w:rsidP="00A50430">
      <w:pPr>
        <w:pStyle w:val="ListParagraph"/>
        <w:numPr>
          <w:ilvl w:val="0"/>
          <w:numId w:val="2"/>
        </w:numPr>
        <w:autoSpaceDE w:val="0"/>
        <w:autoSpaceDN w:val="0"/>
        <w:adjustRightInd w:val="0"/>
        <w:ind w:left="0" w:firstLine="0"/>
        <w:jc w:val="both"/>
        <w:rPr>
          <w:rFonts w:cs="Times New Roman"/>
        </w:rPr>
      </w:pPr>
      <w:r w:rsidRPr="00834149">
        <w:rPr>
          <w:rFonts w:cs="Times New Roman"/>
          <w:b/>
          <w:iCs/>
        </w:rPr>
        <w:t>Sector strategies and policies</w:t>
      </w:r>
      <w:r w:rsidR="009017C0" w:rsidRPr="00834149">
        <w:rPr>
          <w:rFonts w:cs="Times New Roman"/>
          <w:iCs/>
        </w:rPr>
        <w:t>.</w:t>
      </w:r>
      <w:r w:rsidRPr="00834149">
        <w:rPr>
          <w:rFonts w:cs="Times New Roman"/>
          <w:i/>
          <w:iCs/>
        </w:rPr>
        <w:t xml:space="preserve"> </w:t>
      </w:r>
      <w:r w:rsidR="00120804" w:rsidRPr="00834149">
        <w:rPr>
          <w:rFonts w:cs="Times New Roman"/>
          <w:bCs/>
        </w:rPr>
        <w:t>Togo</w:t>
      </w:r>
      <w:r w:rsidR="0044427D" w:rsidRPr="00834149">
        <w:rPr>
          <w:rFonts w:cs="Times New Roman"/>
          <w:bCs/>
        </w:rPr>
        <w:t>’s</w:t>
      </w:r>
      <w:r w:rsidR="00B91A9B" w:rsidRPr="00834149">
        <w:rPr>
          <w:rFonts w:cs="Times New Roman"/>
          <w:bCs/>
        </w:rPr>
        <w:t xml:space="preserve"> </w:t>
      </w:r>
      <w:r w:rsidR="00A76BE5" w:rsidRPr="00834149">
        <w:rPr>
          <w:rFonts w:cs="Times New Roman"/>
          <w:bCs/>
        </w:rPr>
        <w:t xml:space="preserve">performance </w:t>
      </w:r>
      <w:r w:rsidR="0044427D" w:rsidRPr="00834149">
        <w:rPr>
          <w:rFonts w:cs="Times New Roman"/>
          <w:bCs/>
        </w:rPr>
        <w:t xml:space="preserve">in </w:t>
      </w:r>
      <w:r w:rsidR="00A76BE5" w:rsidRPr="00834149">
        <w:rPr>
          <w:rFonts w:cs="Times New Roman"/>
          <w:bCs/>
        </w:rPr>
        <w:t>formulating and implementing sector strategies</w:t>
      </w:r>
      <w:r w:rsidR="0044427D" w:rsidRPr="00834149">
        <w:rPr>
          <w:rFonts w:cs="Times New Roman"/>
          <w:bCs/>
        </w:rPr>
        <w:t xml:space="preserve"> is mixed</w:t>
      </w:r>
      <w:r w:rsidR="00A76BE5" w:rsidRPr="00834149">
        <w:rPr>
          <w:rFonts w:cs="Times New Roman"/>
          <w:bCs/>
        </w:rPr>
        <w:t>, and the SCD concludes that weak governance has led to policies and implementation that are not sufficiently pro</w:t>
      </w:r>
      <w:r w:rsidR="00B55D28" w:rsidRPr="00834149">
        <w:rPr>
          <w:rFonts w:cs="Times New Roman"/>
          <w:bCs/>
        </w:rPr>
        <w:t>-</w:t>
      </w:r>
      <w:r w:rsidR="00A76BE5" w:rsidRPr="00834149">
        <w:rPr>
          <w:rFonts w:cs="Times New Roman"/>
          <w:bCs/>
        </w:rPr>
        <w:t>poor.</w:t>
      </w:r>
      <w:r w:rsidR="00120804" w:rsidRPr="00834149">
        <w:rPr>
          <w:rFonts w:cs="Times New Roman"/>
        </w:rPr>
        <w:t xml:space="preserve"> </w:t>
      </w:r>
      <w:r w:rsidR="00F20DBE" w:rsidRPr="00834149">
        <w:rPr>
          <w:rFonts w:cs="Times New Roman"/>
        </w:rPr>
        <w:t>G</w:t>
      </w:r>
      <w:r w:rsidR="00A76BE5" w:rsidRPr="00834149">
        <w:rPr>
          <w:rFonts w:cs="Times New Roman"/>
        </w:rPr>
        <w:t>overnment spending in the past several years has diverged from the priorities of Togo’s second PRSP (SCAPE)</w:t>
      </w:r>
      <w:r w:rsidR="00F20DBE" w:rsidRPr="00834149">
        <w:rPr>
          <w:rFonts w:cs="Times New Roman"/>
        </w:rPr>
        <w:t xml:space="preserve"> and some sector strategies. While certain sectors have relatively good strategies, including in agriculture, education and health, they are not adequately funded and implementation and monitoring is mixed. </w:t>
      </w:r>
      <w:r w:rsidR="00D94607" w:rsidRPr="00834149">
        <w:rPr>
          <w:rFonts w:cs="Times New Roman"/>
        </w:rPr>
        <w:t>Weak institutional capacity compounds these risks.</w:t>
      </w:r>
      <w:r w:rsidR="00C56778" w:rsidRPr="00834149">
        <w:rPr>
          <w:rFonts w:cs="Times New Roman"/>
        </w:rPr>
        <w:t xml:space="preserve"> </w:t>
      </w:r>
      <w:r w:rsidR="00F20DBE" w:rsidRPr="00834149">
        <w:rPr>
          <w:rFonts w:cs="Times New Roman"/>
        </w:rPr>
        <w:t xml:space="preserve">The </w:t>
      </w:r>
      <w:r w:rsidR="000F5595" w:rsidRPr="00834149">
        <w:rPr>
          <w:rFonts w:cs="Times New Roman"/>
        </w:rPr>
        <w:t>G</w:t>
      </w:r>
      <w:r w:rsidR="00F20DBE" w:rsidRPr="00834149">
        <w:rPr>
          <w:rFonts w:cs="Times New Roman"/>
        </w:rPr>
        <w:t xml:space="preserve">overnment has committed to ensuring a better alignment between the budget and sector programs. </w:t>
      </w:r>
      <w:r w:rsidR="00784561" w:rsidRPr="00834149">
        <w:rPr>
          <w:rFonts w:cs="Times New Roman"/>
        </w:rPr>
        <w:t>IDA</w:t>
      </w:r>
      <w:r w:rsidR="00F20DBE" w:rsidRPr="00834149">
        <w:rPr>
          <w:rFonts w:cs="Times New Roman"/>
        </w:rPr>
        <w:t xml:space="preserve"> support for sector strategies</w:t>
      </w:r>
      <w:r w:rsidR="00784561" w:rsidRPr="00834149">
        <w:rPr>
          <w:rFonts w:cs="Times New Roman"/>
        </w:rPr>
        <w:t xml:space="preserve"> (by providing investment operations that help implement them)</w:t>
      </w:r>
      <w:r w:rsidR="00F20DBE" w:rsidRPr="00834149">
        <w:rPr>
          <w:rFonts w:cs="Times New Roman"/>
        </w:rPr>
        <w:t xml:space="preserve"> </w:t>
      </w:r>
      <w:r w:rsidR="00684EE3" w:rsidRPr="00834149">
        <w:rPr>
          <w:rFonts w:cs="Times New Roman"/>
        </w:rPr>
        <w:t xml:space="preserve">and analysis </w:t>
      </w:r>
      <w:r w:rsidR="00784561" w:rsidRPr="00834149">
        <w:rPr>
          <w:rFonts w:cs="Times New Roman"/>
        </w:rPr>
        <w:t xml:space="preserve">provided </w:t>
      </w:r>
      <w:r w:rsidR="00684EE3" w:rsidRPr="00834149">
        <w:rPr>
          <w:rFonts w:cs="Times New Roman"/>
        </w:rPr>
        <w:t xml:space="preserve">under the </w:t>
      </w:r>
      <w:r w:rsidR="00784561" w:rsidRPr="00834149">
        <w:rPr>
          <w:rFonts w:cs="Times New Roman"/>
        </w:rPr>
        <w:t xml:space="preserve">FY17 </w:t>
      </w:r>
      <w:r w:rsidR="00684EE3" w:rsidRPr="00834149">
        <w:rPr>
          <w:rFonts w:cs="Times New Roman"/>
        </w:rPr>
        <w:t>PEMFAR</w:t>
      </w:r>
      <w:r w:rsidR="00F20DBE" w:rsidRPr="00834149">
        <w:rPr>
          <w:rFonts w:cs="Times New Roman"/>
        </w:rPr>
        <w:t xml:space="preserve"> and proposed PER will seek to </w:t>
      </w:r>
      <w:r w:rsidR="00784561" w:rsidRPr="00834149">
        <w:rPr>
          <w:rFonts w:cs="Times New Roman"/>
        </w:rPr>
        <w:t xml:space="preserve">also </w:t>
      </w:r>
      <w:r w:rsidR="00F20DBE" w:rsidRPr="00834149">
        <w:rPr>
          <w:rFonts w:cs="Times New Roman"/>
        </w:rPr>
        <w:t>improve allocation</w:t>
      </w:r>
      <w:r w:rsidR="00784561" w:rsidRPr="00834149">
        <w:rPr>
          <w:rFonts w:cs="Times New Roman"/>
        </w:rPr>
        <w:t xml:space="preserve"> of resources for implementing sector strategies</w:t>
      </w:r>
      <w:r w:rsidR="00F20DBE" w:rsidRPr="00834149">
        <w:rPr>
          <w:rFonts w:cs="Times New Roman"/>
        </w:rPr>
        <w:t xml:space="preserve">. </w:t>
      </w:r>
    </w:p>
    <w:p w14:paraId="71FB1516" w14:textId="77777777" w:rsidR="00442937" w:rsidRPr="00834149" w:rsidRDefault="00442937" w:rsidP="00A50430">
      <w:pPr>
        <w:pStyle w:val="ListParagraph"/>
        <w:autoSpaceDE w:val="0"/>
        <w:autoSpaceDN w:val="0"/>
        <w:adjustRightInd w:val="0"/>
        <w:ind w:left="0"/>
        <w:jc w:val="both"/>
        <w:rPr>
          <w:rFonts w:cs="Times New Roman"/>
        </w:rPr>
      </w:pPr>
    </w:p>
    <w:p w14:paraId="771F80B6" w14:textId="489C0722" w:rsidR="00442937" w:rsidRPr="00834149" w:rsidRDefault="0056466B" w:rsidP="00A50430">
      <w:pPr>
        <w:pStyle w:val="ListParagraph"/>
        <w:numPr>
          <w:ilvl w:val="0"/>
          <w:numId w:val="2"/>
        </w:numPr>
        <w:autoSpaceDE w:val="0"/>
        <w:autoSpaceDN w:val="0"/>
        <w:adjustRightInd w:val="0"/>
        <w:ind w:left="0" w:firstLine="0"/>
        <w:jc w:val="both"/>
        <w:rPr>
          <w:rFonts w:cs="Times New Roman"/>
        </w:rPr>
      </w:pPr>
      <w:r w:rsidRPr="00834149">
        <w:rPr>
          <w:rFonts w:cs="Times New Roman"/>
          <w:b/>
          <w:iCs/>
        </w:rPr>
        <w:t xml:space="preserve">Institutional </w:t>
      </w:r>
      <w:r w:rsidR="0044427D" w:rsidRPr="00834149">
        <w:rPr>
          <w:rFonts w:cs="Times New Roman"/>
          <w:b/>
          <w:iCs/>
        </w:rPr>
        <w:t>r</w:t>
      </w:r>
      <w:r w:rsidRPr="00834149">
        <w:rPr>
          <w:rFonts w:cs="Times New Roman"/>
          <w:b/>
          <w:iCs/>
        </w:rPr>
        <w:t>isks</w:t>
      </w:r>
      <w:r w:rsidR="00B83ED4" w:rsidRPr="00834149">
        <w:rPr>
          <w:rFonts w:cs="Times New Roman"/>
          <w:iCs/>
        </w:rPr>
        <w:t>.</w:t>
      </w:r>
      <w:r w:rsidRPr="00834149">
        <w:rPr>
          <w:rFonts w:cs="Times New Roman"/>
          <w:i/>
          <w:iCs/>
        </w:rPr>
        <w:t xml:space="preserve"> </w:t>
      </w:r>
      <w:r w:rsidR="007D74C7" w:rsidRPr="00834149">
        <w:rPr>
          <w:rFonts w:cs="Times New Roman"/>
          <w:bCs/>
        </w:rPr>
        <w:t xml:space="preserve">As a fragile state </w:t>
      </w:r>
      <w:r w:rsidR="00FF0523" w:rsidRPr="00834149">
        <w:rPr>
          <w:rFonts w:cs="Times New Roman"/>
          <w:bCs/>
        </w:rPr>
        <w:t xml:space="preserve">with a highly centralized governance structure and still </w:t>
      </w:r>
      <w:r w:rsidR="007D74C7" w:rsidRPr="00834149">
        <w:rPr>
          <w:rFonts w:cs="Times New Roman"/>
          <w:bCs/>
        </w:rPr>
        <w:t xml:space="preserve">rebuilding </w:t>
      </w:r>
      <w:r w:rsidR="00FF0523" w:rsidRPr="00834149">
        <w:rPr>
          <w:rFonts w:cs="Times New Roman"/>
          <w:bCs/>
        </w:rPr>
        <w:t xml:space="preserve">institutions and human resources </w:t>
      </w:r>
      <w:r w:rsidR="007D74C7" w:rsidRPr="00834149">
        <w:rPr>
          <w:rFonts w:cs="Times New Roman"/>
          <w:bCs/>
        </w:rPr>
        <w:t>capacity</w:t>
      </w:r>
      <w:r w:rsidR="00FF0523" w:rsidRPr="00834149">
        <w:rPr>
          <w:rFonts w:cs="Times New Roman"/>
          <w:bCs/>
        </w:rPr>
        <w:t xml:space="preserve">, there are institutional risks to successfully </w:t>
      </w:r>
      <w:r w:rsidR="007D74C7" w:rsidRPr="00834149">
        <w:rPr>
          <w:rFonts w:cs="Times New Roman"/>
          <w:bCs/>
        </w:rPr>
        <w:t>implement</w:t>
      </w:r>
      <w:r w:rsidR="00FF0523" w:rsidRPr="00834149">
        <w:rPr>
          <w:rFonts w:cs="Times New Roman"/>
          <w:bCs/>
        </w:rPr>
        <w:t>ing</w:t>
      </w:r>
      <w:r w:rsidR="007D74C7" w:rsidRPr="00834149">
        <w:rPr>
          <w:rFonts w:cs="Times New Roman"/>
          <w:bCs/>
        </w:rPr>
        <w:t xml:space="preserve"> </w:t>
      </w:r>
      <w:r w:rsidR="00090FE6" w:rsidRPr="00834149">
        <w:rPr>
          <w:rFonts w:cs="Times New Roman"/>
          <w:bCs/>
        </w:rPr>
        <w:t xml:space="preserve">World </w:t>
      </w:r>
      <w:r w:rsidR="007D74C7" w:rsidRPr="00834149">
        <w:rPr>
          <w:rFonts w:cs="Times New Roman"/>
          <w:bCs/>
        </w:rPr>
        <w:t xml:space="preserve">Bank-supported programs. </w:t>
      </w:r>
      <w:r w:rsidR="00E3562F" w:rsidRPr="00834149">
        <w:rPr>
          <w:rFonts w:cs="Times New Roman"/>
          <w:bCs/>
        </w:rPr>
        <w:t xml:space="preserve">Togo has maintained a CPIA rating of 3.0 for the past several years, reflecting </w:t>
      </w:r>
      <w:r w:rsidR="00FF0523" w:rsidRPr="00834149">
        <w:rPr>
          <w:rFonts w:cs="Times New Roman"/>
          <w:bCs/>
        </w:rPr>
        <w:t>weak</w:t>
      </w:r>
      <w:r w:rsidR="00E3562F" w:rsidRPr="00834149">
        <w:rPr>
          <w:rFonts w:cs="Times New Roman"/>
          <w:bCs/>
        </w:rPr>
        <w:t xml:space="preserve"> public sector performance due to corruption, weak governance</w:t>
      </w:r>
      <w:r w:rsidR="00FF0523" w:rsidRPr="00834149">
        <w:rPr>
          <w:rFonts w:cs="Times New Roman"/>
          <w:bCs/>
        </w:rPr>
        <w:t xml:space="preserve">, capacity </w:t>
      </w:r>
      <w:r w:rsidR="0044427D" w:rsidRPr="00834149">
        <w:rPr>
          <w:rFonts w:cs="Times New Roman"/>
          <w:bCs/>
        </w:rPr>
        <w:t xml:space="preserve">limitations, </w:t>
      </w:r>
      <w:r w:rsidR="00E3562F" w:rsidRPr="00834149">
        <w:rPr>
          <w:rFonts w:cs="Times New Roman"/>
          <w:bCs/>
        </w:rPr>
        <w:t xml:space="preserve">and </w:t>
      </w:r>
      <w:r w:rsidR="00B91A9B" w:rsidRPr="00834149">
        <w:rPr>
          <w:rFonts w:cs="Times New Roman"/>
        </w:rPr>
        <w:t xml:space="preserve">accountability </w:t>
      </w:r>
      <w:r w:rsidR="00E3562F" w:rsidRPr="00834149">
        <w:rPr>
          <w:rFonts w:cs="Times New Roman"/>
        </w:rPr>
        <w:t>issues</w:t>
      </w:r>
      <w:r w:rsidR="00B91A9B" w:rsidRPr="00834149">
        <w:rPr>
          <w:rFonts w:cs="Times New Roman"/>
        </w:rPr>
        <w:t xml:space="preserve">. </w:t>
      </w:r>
      <w:r w:rsidR="00E3562F" w:rsidRPr="00834149">
        <w:rPr>
          <w:rFonts w:cs="Times New Roman"/>
        </w:rPr>
        <w:t xml:space="preserve">The </w:t>
      </w:r>
      <w:r w:rsidR="00090FE6" w:rsidRPr="00834149">
        <w:rPr>
          <w:rFonts w:cs="Times New Roman"/>
        </w:rPr>
        <w:t xml:space="preserve">World </w:t>
      </w:r>
      <w:r w:rsidR="00E3562F" w:rsidRPr="00834149">
        <w:rPr>
          <w:rFonts w:cs="Times New Roman"/>
        </w:rPr>
        <w:t>Bank has strengthen</w:t>
      </w:r>
      <w:r w:rsidR="00FF0523" w:rsidRPr="00834149">
        <w:rPr>
          <w:rFonts w:cs="Times New Roman"/>
        </w:rPr>
        <w:t>ed</w:t>
      </w:r>
      <w:r w:rsidR="00E3562F" w:rsidRPr="00834149">
        <w:rPr>
          <w:rFonts w:cs="Times New Roman"/>
        </w:rPr>
        <w:t xml:space="preserve"> key institutions that are engaged in implementing </w:t>
      </w:r>
      <w:r w:rsidR="0044427D" w:rsidRPr="00834149">
        <w:rPr>
          <w:rFonts w:cs="Times New Roman"/>
        </w:rPr>
        <w:t>WBG</w:t>
      </w:r>
      <w:r w:rsidR="00E3562F" w:rsidRPr="00834149">
        <w:rPr>
          <w:rFonts w:cs="Times New Roman"/>
        </w:rPr>
        <w:t xml:space="preserve"> programs and has helped establish new public institutions that have filled institutional gaps in service delivery.</w:t>
      </w:r>
      <w:r w:rsidR="00FF0523" w:rsidRPr="00834149">
        <w:rPr>
          <w:rFonts w:cs="Times New Roman"/>
        </w:rPr>
        <w:t xml:space="preserve"> The </w:t>
      </w:r>
      <w:r w:rsidR="00090FE6" w:rsidRPr="00834149">
        <w:rPr>
          <w:rFonts w:cs="Times New Roman"/>
        </w:rPr>
        <w:t xml:space="preserve">World </w:t>
      </w:r>
      <w:r w:rsidR="00FF0523" w:rsidRPr="00834149">
        <w:rPr>
          <w:rFonts w:cs="Times New Roman"/>
        </w:rPr>
        <w:t xml:space="preserve">Bank will seek opportunities to strengthen country systems </w:t>
      </w:r>
      <w:r w:rsidR="00B4573E" w:rsidRPr="00834149">
        <w:rPr>
          <w:rFonts w:cs="Times New Roman"/>
        </w:rPr>
        <w:t>and</w:t>
      </w:r>
      <w:r w:rsidR="00FF0523" w:rsidRPr="00834149">
        <w:rPr>
          <w:rFonts w:cs="Times New Roman"/>
        </w:rPr>
        <w:t xml:space="preserve"> further build institutional capacity to implement CPF programs, in particular where there has been adequate performance in the past. </w:t>
      </w:r>
      <w:r w:rsidR="00B4573E" w:rsidRPr="00834149">
        <w:rPr>
          <w:rFonts w:cs="Times New Roman"/>
        </w:rPr>
        <w:t xml:space="preserve"> </w:t>
      </w:r>
    </w:p>
    <w:p w14:paraId="3B8DF2A5" w14:textId="77777777" w:rsidR="00442937" w:rsidRPr="00834149" w:rsidRDefault="00442937" w:rsidP="00A50430">
      <w:pPr>
        <w:rPr>
          <w:rFonts w:cs="Times New Roman"/>
          <w:b/>
          <w:iCs/>
        </w:rPr>
      </w:pPr>
    </w:p>
    <w:p w14:paraId="5E3D4079" w14:textId="7096EEAC" w:rsidR="00E035EA" w:rsidRPr="00834149" w:rsidRDefault="0056466B" w:rsidP="00A50430">
      <w:pPr>
        <w:pStyle w:val="ListParagraph"/>
        <w:numPr>
          <w:ilvl w:val="0"/>
          <w:numId w:val="2"/>
        </w:numPr>
        <w:autoSpaceDE w:val="0"/>
        <w:autoSpaceDN w:val="0"/>
        <w:adjustRightInd w:val="0"/>
        <w:ind w:left="0" w:firstLine="0"/>
        <w:jc w:val="both"/>
        <w:rPr>
          <w:rFonts w:cs="Times New Roman"/>
        </w:rPr>
      </w:pPr>
      <w:r w:rsidRPr="00834149">
        <w:rPr>
          <w:rFonts w:cs="Times New Roman"/>
          <w:b/>
          <w:iCs/>
        </w:rPr>
        <w:t xml:space="preserve">Fiduciary </w:t>
      </w:r>
      <w:r w:rsidR="00D84D1B" w:rsidRPr="00834149">
        <w:rPr>
          <w:rFonts w:cs="Times New Roman"/>
          <w:b/>
          <w:iCs/>
        </w:rPr>
        <w:t>r</w:t>
      </w:r>
      <w:r w:rsidRPr="00834149">
        <w:rPr>
          <w:rFonts w:cs="Times New Roman"/>
          <w:b/>
          <w:iCs/>
        </w:rPr>
        <w:t>isks</w:t>
      </w:r>
      <w:r w:rsidR="00736B5A" w:rsidRPr="00834149">
        <w:rPr>
          <w:rFonts w:cs="Times New Roman"/>
          <w:iCs/>
        </w:rPr>
        <w:t>.</w:t>
      </w:r>
      <w:r w:rsidRPr="00834149">
        <w:rPr>
          <w:rFonts w:cs="Times New Roman"/>
          <w:b/>
          <w:iCs/>
        </w:rPr>
        <w:t xml:space="preserve"> </w:t>
      </w:r>
      <w:r w:rsidR="008D5D62" w:rsidRPr="00834149">
        <w:rPr>
          <w:rFonts w:cs="Times New Roman"/>
          <w:bCs/>
        </w:rPr>
        <w:t xml:space="preserve">Togo </w:t>
      </w:r>
      <w:r w:rsidR="00B91A9B" w:rsidRPr="00834149">
        <w:rPr>
          <w:rFonts w:cs="Times New Roman"/>
          <w:bCs/>
        </w:rPr>
        <w:t>is a high-risk fiduciary environment.</w:t>
      </w:r>
      <w:r w:rsidR="00B91A9B" w:rsidRPr="00834149">
        <w:rPr>
          <w:rFonts w:cs="Times New Roman"/>
        </w:rPr>
        <w:t xml:space="preserve"> </w:t>
      </w:r>
      <w:r w:rsidR="008D5D62" w:rsidRPr="00834149">
        <w:rPr>
          <w:rFonts w:cs="Times New Roman"/>
        </w:rPr>
        <w:t xml:space="preserve">To mitigate fiduciary risk of the portfolio, the </w:t>
      </w:r>
      <w:r w:rsidR="00090FE6" w:rsidRPr="00834149">
        <w:rPr>
          <w:rFonts w:cs="Times New Roman"/>
        </w:rPr>
        <w:t xml:space="preserve">World </w:t>
      </w:r>
      <w:r w:rsidR="008D5D62" w:rsidRPr="00834149">
        <w:rPr>
          <w:rFonts w:cs="Times New Roman"/>
        </w:rPr>
        <w:t xml:space="preserve">Bank agreed with the </w:t>
      </w:r>
      <w:r w:rsidR="000F5595" w:rsidRPr="00834149">
        <w:rPr>
          <w:rFonts w:cs="Times New Roman"/>
        </w:rPr>
        <w:t>G</w:t>
      </w:r>
      <w:r w:rsidR="008D5D62" w:rsidRPr="00834149">
        <w:rPr>
          <w:rFonts w:cs="Times New Roman"/>
        </w:rPr>
        <w:t>overnment to strengthen, rather than bypass, national institutions for a gradual use of country systems for staffing, budgeting, accounting, financial control</w:t>
      </w:r>
      <w:r w:rsidR="00D84D1B" w:rsidRPr="00834149">
        <w:rPr>
          <w:rFonts w:cs="Times New Roman"/>
        </w:rPr>
        <w:t>,</w:t>
      </w:r>
      <w:r w:rsidR="008D5D62" w:rsidRPr="00834149">
        <w:rPr>
          <w:rFonts w:cs="Times New Roman"/>
        </w:rPr>
        <w:t xml:space="preserve"> and disbursement.  To date, IDA-financed investment operations in Togo are implemented by PIUs using IDA financial </w:t>
      </w:r>
      <w:r w:rsidR="008D5D62" w:rsidRPr="00834149">
        <w:rPr>
          <w:rFonts w:cs="Times New Roman"/>
        </w:rPr>
        <w:lastRenderedPageBreak/>
        <w:t xml:space="preserve">management requirements and procedures. In order to scale up the use of country systems, IGF is currently sharing the function of internal audit with individual </w:t>
      </w:r>
      <w:r w:rsidR="00030D86" w:rsidRPr="00834149">
        <w:rPr>
          <w:rFonts w:cs="Times New Roman"/>
        </w:rPr>
        <w:t>internal</w:t>
      </w:r>
      <w:r w:rsidR="008D5D62" w:rsidRPr="00834149">
        <w:rPr>
          <w:rFonts w:cs="Times New Roman"/>
        </w:rPr>
        <w:t xml:space="preserve"> auditors at some PIUs level. In order to improve this arrangement, IGF staff will be periodically trained to ensure they remain fully operational and carry out ex-post reviews in a bi-yearly basis.</w:t>
      </w:r>
    </w:p>
    <w:p w14:paraId="600B5EA5" w14:textId="77777777" w:rsidR="004D0DD9" w:rsidRPr="004D0DD9" w:rsidRDefault="004D0DD9" w:rsidP="004D0DD9">
      <w:pPr>
        <w:pStyle w:val="ListParagraph"/>
        <w:rPr>
          <w:rFonts w:ascii="Times New Roman" w:hAnsi="Times New Roman" w:cs="Times New Roman"/>
          <w:sz w:val="24"/>
          <w:szCs w:val="24"/>
        </w:rPr>
      </w:pPr>
    </w:p>
    <w:p w14:paraId="3E5C5DD4" w14:textId="64BACB6E" w:rsidR="004B387B" w:rsidRDefault="004B387B" w:rsidP="00E035EA">
      <w:pPr>
        <w:rPr>
          <w:rFonts w:ascii="Times New Roman" w:hAnsi="Times New Roman" w:cs="Times New Roman"/>
          <w:sz w:val="24"/>
          <w:szCs w:val="24"/>
        </w:rPr>
        <w:sectPr w:rsidR="004B387B" w:rsidSect="00AF6F74">
          <w:pgSz w:w="12240" w:h="15840"/>
          <w:pgMar w:top="1440" w:right="1440" w:bottom="1440" w:left="1440" w:header="720" w:footer="720" w:gutter="0"/>
          <w:pgNumType w:start="1"/>
          <w:cols w:space="720"/>
          <w:docGrid w:linePitch="360"/>
        </w:sectPr>
      </w:pPr>
    </w:p>
    <w:p w14:paraId="5C3D9E15" w14:textId="2CDBE242" w:rsidR="00E035EA" w:rsidRDefault="00E035EA" w:rsidP="00E035EA">
      <w:pPr>
        <w:keepNext/>
        <w:rPr>
          <w:rFonts w:ascii="Times New Roman" w:hAnsi="Times New Roman" w:cs="Times New Roman"/>
          <w:sz w:val="24"/>
          <w:szCs w:val="24"/>
        </w:rPr>
      </w:pPr>
      <w:bookmarkStart w:id="42" w:name="_Toc477452441"/>
      <w:r w:rsidRPr="004B387B">
        <w:rPr>
          <w:rFonts w:ascii="Times New Roman" w:hAnsi="Times New Roman" w:cs="Times New Roman"/>
          <w:sz w:val="24"/>
          <w:szCs w:val="24"/>
          <w:lang w:val="fr-FR"/>
        </w:rPr>
        <w:lastRenderedPageBreak/>
        <w:t xml:space="preserve">Annex </w:t>
      </w:r>
      <w:r w:rsidRPr="00E035EA">
        <w:rPr>
          <w:rFonts w:ascii="Times New Roman" w:hAnsi="Times New Roman" w:cs="Times New Roman"/>
          <w:sz w:val="24"/>
          <w:szCs w:val="24"/>
        </w:rPr>
        <w:fldChar w:fldCharType="begin"/>
      </w:r>
      <w:r w:rsidRPr="004B387B">
        <w:rPr>
          <w:rFonts w:ascii="Times New Roman" w:hAnsi="Times New Roman" w:cs="Times New Roman"/>
          <w:sz w:val="24"/>
          <w:szCs w:val="24"/>
          <w:lang w:val="fr-FR"/>
        </w:rPr>
        <w:instrText xml:space="preserve"> SEQ Annex \* ARABIC </w:instrText>
      </w:r>
      <w:r w:rsidRPr="00E035EA">
        <w:rPr>
          <w:rFonts w:ascii="Times New Roman" w:hAnsi="Times New Roman" w:cs="Times New Roman"/>
          <w:sz w:val="24"/>
          <w:szCs w:val="24"/>
        </w:rPr>
        <w:fldChar w:fldCharType="separate"/>
      </w:r>
      <w:r w:rsidR="000D6ABB">
        <w:rPr>
          <w:rFonts w:ascii="Times New Roman" w:hAnsi="Times New Roman" w:cs="Times New Roman"/>
          <w:noProof/>
          <w:sz w:val="24"/>
          <w:szCs w:val="24"/>
          <w:lang w:val="fr-FR"/>
        </w:rPr>
        <w:t>1</w:t>
      </w:r>
      <w:r w:rsidRPr="00E035EA">
        <w:rPr>
          <w:rFonts w:ascii="Times New Roman" w:hAnsi="Times New Roman" w:cs="Times New Roman"/>
          <w:sz w:val="24"/>
          <w:szCs w:val="24"/>
        </w:rPr>
        <w:fldChar w:fldCharType="end"/>
      </w:r>
      <w:r w:rsidR="004B387B">
        <w:rPr>
          <w:rFonts w:ascii="Times New Roman" w:hAnsi="Times New Roman" w:cs="Times New Roman"/>
          <w:sz w:val="24"/>
          <w:szCs w:val="24"/>
        </w:rPr>
        <w:t>. CPF Results Matrix</w:t>
      </w:r>
      <w:r w:rsidR="004B387B">
        <w:rPr>
          <w:rStyle w:val="FootnoteReference"/>
          <w:rFonts w:eastAsia="Arial Unicode MS" w:cs="Times New Roman"/>
        </w:rPr>
        <w:footnoteReference w:id="15"/>
      </w:r>
      <w:bookmarkEnd w:id="42"/>
    </w:p>
    <w:p w14:paraId="7510A942" w14:textId="77777777" w:rsidR="004B387B" w:rsidRPr="004B387B" w:rsidRDefault="004B387B" w:rsidP="00E035EA">
      <w:pPr>
        <w:keepNext/>
        <w:rPr>
          <w:rFonts w:ascii="Times New Roman" w:hAnsi="Times New Roman" w:cs="Times New Roman"/>
          <w:sz w:val="24"/>
          <w:szCs w:val="24"/>
        </w:rPr>
      </w:pPr>
    </w:p>
    <w:tbl>
      <w:tblPr>
        <w:tblStyle w:val="TableGrid4"/>
        <w:tblW w:w="12955" w:type="dxa"/>
        <w:tblLook w:val="04A0" w:firstRow="1" w:lastRow="0" w:firstColumn="1" w:lastColumn="0" w:noHBand="0" w:noVBand="1"/>
      </w:tblPr>
      <w:tblGrid>
        <w:gridCol w:w="2515"/>
        <w:gridCol w:w="3690"/>
        <w:gridCol w:w="4050"/>
        <w:gridCol w:w="2700"/>
      </w:tblGrid>
      <w:tr w:rsidR="004B387B" w14:paraId="10222551" w14:textId="77777777" w:rsidTr="004B387B">
        <w:tc>
          <w:tcPr>
            <w:tcW w:w="12955" w:type="dxa"/>
            <w:gridSpan w:val="4"/>
            <w:tcBorders>
              <w:top w:val="single" w:sz="4" w:space="0" w:color="auto"/>
              <w:left w:val="single" w:sz="4" w:space="0" w:color="auto"/>
              <w:bottom w:val="single" w:sz="4" w:space="0" w:color="auto"/>
              <w:right w:val="single" w:sz="4" w:space="0" w:color="auto"/>
            </w:tcBorders>
            <w:shd w:val="clear" w:color="auto" w:fill="DEC59D" w:themeFill="accent5" w:themeFillTint="99"/>
            <w:hideMark/>
          </w:tcPr>
          <w:p w14:paraId="47909147" w14:textId="77777777" w:rsidR="004B387B" w:rsidRDefault="004B387B">
            <w:pPr>
              <w:rPr>
                <w:rFonts w:asciiTheme="minorHAnsi" w:hAnsiTheme="minorHAnsi"/>
                <w:b/>
              </w:rPr>
            </w:pPr>
            <w:r>
              <w:rPr>
                <w:rFonts w:asciiTheme="minorHAnsi" w:hAnsiTheme="minorHAnsi"/>
                <w:b/>
                <w:color w:val="FFFFFF"/>
              </w:rPr>
              <w:t>Focus Area 1: Private Sector Performance and Job Creation</w:t>
            </w:r>
          </w:p>
        </w:tc>
      </w:tr>
      <w:tr w:rsidR="004B387B" w14:paraId="1D7841D6" w14:textId="77777777" w:rsidTr="004B387B">
        <w:tc>
          <w:tcPr>
            <w:tcW w:w="12955" w:type="dxa"/>
            <w:gridSpan w:val="4"/>
            <w:tcBorders>
              <w:top w:val="single" w:sz="4" w:space="0" w:color="auto"/>
              <w:left w:val="single" w:sz="4" w:space="0" w:color="auto"/>
              <w:bottom w:val="single" w:sz="4" w:space="0" w:color="auto"/>
              <w:right w:val="single" w:sz="4" w:space="0" w:color="auto"/>
            </w:tcBorders>
            <w:hideMark/>
          </w:tcPr>
          <w:p w14:paraId="08FE43B6" w14:textId="77777777" w:rsidR="004B387B" w:rsidRDefault="004B387B">
            <w:pPr>
              <w:jc w:val="both"/>
              <w:rPr>
                <w:rFonts w:asciiTheme="minorHAnsi" w:hAnsiTheme="minorHAnsi"/>
              </w:rPr>
            </w:pPr>
            <w:r>
              <w:rPr>
                <w:rFonts w:asciiTheme="minorHAnsi" w:hAnsiTheme="minorHAnsi"/>
                <w:bCs/>
              </w:rPr>
              <w:t xml:space="preserve">Despite growth rates averaging 5 percent over the past 10 years, Togo has been unable to sustain a pattern of growth that benefits a large part of the country’s labor force. The country’s growth potential has been hampered by inconsistent macroeconomic and fiscal management, which has recently led to a growing fiscal deficit and public debt-to-GDP ratio. </w:t>
            </w:r>
            <w:r>
              <w:rPr>
                <w:rFonts w:asciiTheme="minorHAnsi" w:hAnsiTheme="minorHAnsi"/>
              </w:rPr>
              <w:t>Private investment, productivity growth, firm entry, labor productivity, and wage growth have remained low. Formal firms, which can provide more secure and better-paying jobs, are few, and most Togolese work in low-wage agricultural and farm activities. Agricultural productivity growth has been relatively flat since 1990. For Togo to accelerate and sustain poverty reduction and create more and better jobs, it will need to foster growth of private economic agents in both agricultural and nonagricultural sectors, through more effective government policies, public investments, and public services.</w:t>
            </w:r>
          </w:p>
        </w:tc>
      </w:tr>
      <w:tr w:rsidR="004B387B" w14:paraId="0A048FC3" w14:textId="77777777" w:rsidTr="004B387B">
        <w:tc>
          <w:tcPr>
            <w:tcW w:w="12955" w:type="dxa"/>
            <w:gridSpan w:val="4"/>
            <w:tcBorders>
              <w:top w:val="single" w:sz="4" w:space="0" w:color="auto"/>
              <w:left w:val="single" w:sz="4" w:space="0" w:color="auto"/>
              <w:bottom w:val="single" w:sz="4" w:space="0" w:color="auto"/>
              <w:right w:val="single" w:sz="4" w:space="0" w:color="auto"/>
            </w:tcBorders>
            <w:shd w:val="clear" w:color="auto" w:fill="F4EBDE" w:themeFill="accent5" w:themeFillTint="33"/>
            <w:hideMark/>
          </w:tcPr>
          <w:p w14:paraId="2982625F" w14:textId="1E50277A" w:rsidR="004B387B" w:rsidRDefault="004B387B" w:rsidP="00C97360">
            <w:pPr>
              <w:rPr>
                <w:rFonts w:asciiTheme="minorHAnsi" w:hAnsiTheme="minorHAnsi"/>
                <w:b/>
              </w:rPr>
            </w:pPr>
            <w:r>
              <w:rPr>
                <w:rFonts w:asciiTheme="minorHAnsi" w:hAnsiTheme="minorHAnsi"/>
                <w:b/>
              </w:rPr>
              <w:t xml:space="preserve">Objective 1.1: </w:t>
            </w:r>
            <w:r w:rsidR="00AB08BD">
              <w:rPr>
                <w:rFonts w:asciiTheme="minorHAnsi" w:hAnsiTheme="minorHAnsi"/>
                <w:b/>
              </w:rPr>
              <w:t xml:space="preserve">Strengthen </w:t>
            </w:r>
            <w:r w:rsidR="00DD08C3">
              <w:rPr>
                <w:rFonts w:asciiTheme="minorHAnsi" w:hAnsiTheme="minorHAnsi"/>
                <w:b/>
              </w:rPr>
              <w:t>Fiscal Policy and Debt Management</w:t>
            </w:r>
          </w:p>
        </w:tc>
      </w:tr>
      <w:tr w:rsidR="004B387B" w14:paraId="1D35871A" w14:textId="77777777" w:rsidTr="004B387B">
        <w:tc>
          <w:tcPr>
            <w:tcW w:w="12955" w:type="dxa"/>
            <w:gridSpan w:val="4"/>
            <w:tcBorders>
              <w:top w:val="single" w:sz="4" w:space="0" w:color="auto"/>
              <w:left w:val="single" w:sz="4" w:space="0" w:color="auto"/>
              <w:bottom w:val="single" w:sz="4" w:space="0" w:color="auto"/>
              <w:right w:val="single" w:sz="4" w:space="0" w:color="auto"/>
            </w:tcBorders>
            <w:hideMark/>
          </w:tcPr>
          <w:p w14:paraId="6C0BD69F" w14:textId="19B13D4D" w:rsidR="004B387B" w:rsidRDefault="004B387B" w:rsidP="00C97360">
            <w:pPr>
              <w:jc w:val="both"/>
              <w:rPr>
                <w:rFonts w:asciiTheme="minorHAnsi" w:hAnsiTheme="minorHAnsi"/>
              </w:rPr>
            </w:pPr>
            <w:r>
              <w:rPr>
                <w:rFonts w:asciiTheme="minorHAnsi" w:hAnsiTheme="minorHAnsi"/>
                <w:b/>
              </w:rPr>
              <w:t xml:space="preserve">Intervention Logic: </w:t>
            </w:r>
            <w:r>
              <w:rPr>
                <w:rFonts w:asciiTheme="minorHAnsi" w:hAnsiTheme="minorHAnsi"/>
              </w:rPr>
              <w:t xml:space="preserve">With a view to creating the fiscal space needed for improved public investment, better services, and higher-quality growth, the WBG will </w:t>
            </w:r>
            <w:r>
              <w:rPr>
                <w:rFonts w:asciiTheme="minorHAnsi" w:hAnsiTheme="minorHAnsi"/>
                <w:bCs/>
              </w:rPr>
              <w:t xml:space="preserve">support the authorities in improving fiscal policy and debt management by </w:t>
            </w:r>
            <w:r w:rsidR="00DD08C3">
              <w:rPr>
                <w:rFonts w:asciiTheme="minorHAnsi" w:hAnsiTheme="minorHAnsi"/>
                <w:bCs/>
              </w:rPr>
              <w:t xml:space="preserve">providing TA to establish a fiscal policy unit and </w:t>
            </w:r>
            <w:r>
              <w:rPr>
                <w:rFonts w:asciiTheme="minorHAnsi" w:hAnsiTheme="minorHAnsi"/>
                <w:bCs/>
              </w:rPr>
              <w:t>strengthen debt management</w:t>
            </w:r>
            <w:r w:rsidR="00DD08C3">
              <w:rPr>
                <w:rFonts w:asciiTheme="minorHAnsi" w:hAnsiTheme="minorHAnsi"/>
                <w:bCs/>
              </w:rPr>
              <w:t xml:space="preserve"> at the Ministry of Economy and Finance</w:t>
            </w:r>
            <w:r>
              <w:rPr>
                <w:rFonts w:asciiTheme="minorHAnsi" w:hAnsiTheme="minorHAnsi"/>
                <w:bCs/>
              </w:rPr>
              <w:t>;</w:t>
            </w:r>
            <w:r>
              <w:rPr>
                <w:rFonts w:asciiTheme="minorHAnsi" w:hAnsiTheme="minorHAnsi"/>
                <w:color w:val="000000"/>
              </w:rPr>
              <w:t xml:space="preserve"> analyzing Togo’s tax framework</w:t>
            </w:r>
            <w:r>
              <w:rPr>
                <w:rFonts w:asciiTheme="minorHAnsi" w:hAnsiTheme="minorHAnsi"/>
              </w:rPr>
              <w:t xml:space="preserve"> to better understand its effect on growth, private sector activity, and employment; </w:t>
            </w:r>
            <w:r>
              <w:rPr>
                <w:rFonts w:asciiTheme="minorHAnsi" w:hAnsiTheme="minorHAnsi"/>
                <w:color w:val="000000"/>
              </w:rPr>
              <w:t>and undertaking macroeconomic monitoring activities and dialogue with the authorities.</w:t>
            </w:r>
          </w:p>
        </w:tc>
      </w:tr>
      <w:tr w:rsidR="004B387B" w14:paraId="714429EC" w14:textId="77777777" w:rsidTr="004B387B">
        <w:trPr>
          <w:trHeight w:hRule="exact" w:val="568"/>
        </w:trPr>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298CB54E" w14:textId="77777777" w:rsidR="004B387B" w:rsidRDefault="004B387B">
            <w:pPr>
              <w:jc w:val="center"/>
              <w:rPr>
                <w:rFonts w:asciiTheme="minorHAnsi" w:hAnsiTheme="minorHAnsi"/>
                <w:b/>
              </w:rPr>
            </w:pPr>
            <w:r>
              <w:rPr>
                <w:rFonts w:asciiTheme="minorHAnsi" w:hAnsiTheme="minorHAnsi"/>
                <w:b/>
                <w:color w:val="548DD4"/>
              </w:rPr>
              <w:t>Country Development Goals</w:t>
            </w:r>
          </w:p>
          <w:p w14:paraId="16144868" w14:textId="77777777" w:rsidR="004B387B" w:rsidRDefault="004B387B">
            <w:pPr>
              <w:jc w:val="center"/>
              <w:rPr>
                <w:rFonts w:asciiTheme="minorHAnsi" w:hAnsiTheme="minorHAnsi"/>
                <w:b/>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A73CE" w14:textId="77777777" w:rsidR="004B387B" w:rsidRDefault="004B387B">
            <w:pPr>
              <w:jc w:val="center"/>
              <w:rPr>
                <w:rFonts w:asciiTheme="minorHAnsi" w:hAnsiTheme="minorHAnsi"/>
                <w:b/>
                <w:color w:val="548DD4"/>
              </w:rPr>
            </w:pPr>
            <w:r>
              <w:rPr>
                <w:rFonts w:asciiTheme="minorHAnsi" w:hAnsiTheme="minorHAnsi"/>
                <w:b/>
                <w:color w:val="548DD4"/>
              </w:rPr>
              <w:t>CPF Objective Indicators</w:t>
            </w:r>
          </w:p>
          <w:p w14:paraId="2EA97E41" w14:textId="77777777" w:rsidR="004B387B" w:rsidRDefault="004B387B">
            <w:pPr>
              <w:jc w:val="center"/>
              <w:rPr>
                <w:rFonts w:asciiTheme="minorHAnsi" w:hAnsiTheme="minorHAnsi"/>
                <w:b/>
              </w:rPr>
            </w:pPr>
          </w:p>
          <w:p w14:paraId="375D43FA" w14:textId="77777777" w:rsidR="004B387B" w:rsidRDefault="004B387B">
            <w:pPr>
              <w:jc w:val="center"/>
              <w:rPr>
                <w:rFonts w:asciiTheme="minorHAnsi" w:hAnsiTheme="minorHAnsi"/>
                <w:b/>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05A8C9" w14:textId="77777777" w:rsidR="004B387B" w:rsidRDefault="004B387B">
            <w:pPr>
              <w:jc w:val="center"/>
              <w:rPr>
                <w:rFonts w:asciiTheme="minorHAnsi" w:hAnsiTheme="minorHAnsi"/>
                <w:b/>
                <w:color w:val="548DD4"/>
              </w:rPr>
            </w:pPr>
            <w:r>
              <w:rPr>
                <w:rFonts w:asciiTheme="minorHAnsi" w:hAnsiTheme="minorHAnsi"/>
                <w:b/>
                <w:color w:val="548DD4"/>
              </w:rPr>
              <w:t>Supplementary Progress Indicators</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8EE20" w14:textId="77777777" w:rsidR="004B387B" w:rsidRDefault="004B387B">
            <w:pPr>
              <w:jc w:val="center"/>
              <w:rPr>
                <w:rFonts w:asciiTheme="minorHAnsi" w:hAnsiTheme="minorHAnsi"/>
                <w:b/>
                <w:color w:val="548DD4"/>
              </w:rPr>
            </w:pPr>
            <w:r>
              <w:rPr>
                <w:rFonts w:asciiTheme="minorHAnsi" w:hAnsiTheme="minorHAnsi"/>
                <w:b/>
                <w:color w:val="548DD4"/>
              </w:rPr>
              <w:t>WBG Program</w:t>
            </w:r>
          </w:p>
        </w:tc>
      </w:tr>
      <w:tr w:rsidR="004B387B" w14:paraId="1BC3D2AA" w14:textId="77777777" w:rsidTr="004B387B">
        <w:trPr>
          <w:trHeight w:val="1233"/>
        </w:trPr>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F093CF1" w14:textId="77777777" w:rsidR="004B387B" w:rsidRDefault="004B387B">
            <w:pPr>
              <w:rPr>
                <w:rFonts w:asciiTheme="minorHAnsi" w:hAnsiTheme="minorHAnsi"/>
              </w:rPr>
            </w:pPr>
            <w:r>
              <w:rPr>
                <w:rFonts w:asciiTheme="minorHAnsi" w:hAnsiTheme="minorHAnsi"/>
                <w:b/>
              </w:rPr>
              <w:t>SDG 16</w:t>
            </w:r>
            <w:r>
              <w:rPr>
                <w:rFonts w:asciiTheme="minorHAnsi" w:hAnsiTheme="minorHAnsi"/>
              </w:rPr>
              <w:t xml:space="preserve"> </w:t>
            </w:r>
          </w:p>
          <w:p w14:paraId="0073CD49" w14:textId="77777777" w:rsidR="004B387B" w:rsidRDefault="004B387B">
            <w:pPr>
              <w:rPr>
                <w:rFonts w:asciiTheme="minorHAnsi" w:hAnsiTheme="minorHAnsi"/>
                <w:b/>
              </w:rPr>
            </w:pPr>
            <w:r>
              <w:rPr>
                <w:rFonts w:asciiTheme="minorHAnsi" w:hAnsiTheme="minorHAnsi"/>
              </w:rPr>
              <w:t xml:space="preserve">Peace, Justice, and Strong Institutions </w:t>
            </w:r>
          </w:p>
          <w:p w14:paraId="759713ED" w14:textId="77777777" w:rsidR="004B387B" w:rsidRDefault="004B387B">
            <w:pPr>
              <w:rPr>
                <w:rFonts w:asciiTheme="minorHAnsi" w:hAnsiTheme="minorHAnsi"/>
                <w:b/>
              </w:rPr>
            </w:pPr>
          </w:p>
          <w:p w14:paraId="3FE463F5" w14:textId="77777777" w:rsidR="004B387B" w:rsidRDefault="004B387B">
            <w:pPr>
              <w:rPr>
                <w:rFonts w:asciiTheme="minorHAnsi" w:hAnsiTheme="minorHAnsi"/>
                <w:b/>
              </w:rPr>
            </w:pPr>
            <w:r>
              <w:rPr>
                <w:rFonts w:asciiTheme="minorHAnsi" w:hAnsiTheme="minorHAnsi"/>
                <w:b/>
              </w:rPr>
              <w:t>SCD Pathway 3</w:t>
            </w:r>
          </w:p>
          <w:p w14:paraId="37DB92EF" w14:textId="77777777" w:rsidR="004B387B" w:rsidRDefault="004B387B">
            <w:pPr>
              <w:rPr>
                <w:rFonts w:asciiTheme="minorHAnsi" w:hAnsiTheme="minorHAnsi"/>
              </w:rPr>
            </w:pPr>
            <w:r>
              <w:rPr>
                <w:rFonts w:asciiTheme="minorHAnsi" w:hAnsiTheme="minorHAnsi"/>
              </w:rPr>
              <w:t xml:space="preserve">Reduced fiscal and political risks, and improved value for money in public expenditures </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DA0A7FF" w14:textId="77777777" w:rsidR="004B387B" w:rsidRDefault="004B387B">
            <w:pPr>
              <w:rPr>
                <w:rFonts w:asciiTheme="minorHAnsi" w:hAnsiTheme="minorHAnsi"/>
                <w:i/>
              </w:rPr>
            </w:pPr>
            <w:r>
              <w:rPr>
                <w:rFonts w:asciiTheme="minorHAnsi" w:hAnsiTheme="minorHAnsi"/>
                <w:i/>
              </w:rPr>
              <w:t xml:space="preserve">1.1.1 </w:t>
            </w:r>
            <w:r>
              <w:rPr>
                <w:rFonts w:asciiTheme="minorHAnsi" w:hAnsiTheme="minorHAnsi"/>
                <w:b/>
                <w:i/>
              </w:rPr>
              <w:t>Improved debt-to-GDP ratio</w:t>
            </w:r>
          </w:p>
          <w:p w14:paraId="1759E54A" w14:textId="77777777" w:rsidR="004B387B" w:rsidRDefault="004B387B">
            <w:pPr>
              <w:rPr>
                <w:rFonts w:asciiTheme="minorHAnsi" w:hAnsiTheme="minorHAnsi"/>
              </w:rPr>
            </w:pPr>
            <w:r>
              <w:rPr>
                <w:rFonts w:asciiTheme="minorHAnsi" w:hAnsiTheme="minorHAnsi"/>
              </w:rPr>
              <w:t>Baseline:  77.4% (2016)</w:t>
            </w:r>
          </w:p>
          <w:p w14:paraId="6EBE00E7" w14:textId="77777777" w:rsidR="004B387B" w:rsidRDefault="004B387B">
            <w:pPr>
              <w:rPr>
                <w:rFonts w:asciiTheme="minorHAnsi" w:hAnsiTheme="minorHAnsi"/>
              </w:rPr>
            </w:pPr>
            <w:r>
              <w:rPr>
                <w:rFonts w:asciiTheme="minorHAnsi" w:hAnsiTheme="minorHAnsi"/>
              </w:rPr>
              <w:t>Target:     65.0% (2020)</w:t>
            </w:r>
          </w:p>
          <w:p w14:paraId="0A358087" w14:textId="77777777" w:rsidR="004B387B" w:rsidRDefault="004B387B">
            <w:pPr>
              <w:rPr>
                <w:rFonts w:asciiTheme="minorHAnsi" w:hAnsiTheme="minorHAnsi"/>
                <w:i/>
              </w:rPr>
            </w:pPr>
          </w:p>
          <w:p w14:paraId="41907004" w14:textId="77777777" w:rsidR="004B387B" w:rsidRDefault="004B387B">
            <w:pPr>
              <w:tabs>
                <w:tab w:val="left" w:pos="257"/>
              </w:tabs>
              <w:rPr>
                <w:rFonts w:asciiTheme="minorHAnsi" w:hAnsiTheme="minorHAnsi"/>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263366" w14:textId="77777777" w:rsidR="004B387B" w:rsidRDefault="004B387B" w:rsidP="004B387B">
            <w:pPr>
              <w:pStyle w:val="ListParagraph"/>
              <w:numPr>
                <w:ilvl w:val="0"/>
                <w:numId w:val="15"/>
              </w:numPr>
              <w:tabs>
                <w:tab w:val="left" w:pos="257"/>
              </w:tabs>
              <w:ind w:left="0" w:firstLine="0"/>
              <w:rPr>
                <w:b/>
              </w:rPr>
            </w:pPr>
            <w:r>
              <w:rPr>
                <w:rFonts w:asciiTheme="minorHAnsi" w:hAnsiTheme="minorHAnsi"/>
                <w:b/>
                <w:i/>
              </w:rPr>
              <w:t>Strengthened debt management through World Bank-IMF joint TA to develop a medium-term debt management strategy in the context of the Debt Management Facility (FY17</w:t>
            </w:r>
            <w:r>
              <w:rPr>
                <w:rFonts w:asciiTheme="minorHAnsi" w:hAnsiTheme="minorHAnsi"/>
                <w:i/>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ECA1E" w14:textId="77777777" w:rsidR="004B387B" w:rsidRDefault="004B387B">
            <w:pPr>
              <w:rPr>
                <w:rFonts w:asciiTheme="minorHAnsi" w:hAnsiTheme="minorHAnsi"/>
                <w:b/>
                <w:i/>
              </w:rPr>
            </w:pPr>
            <w:r>
              <w:rPr>
                <w:rFonts w:asciiTheme="minorHAnsi" w:hAnsiTheme="minorHAnsi"/>
                <w:b/>
                <w:i/>
              </w:rPr>
              <w:t xml:space="preserve">Advisory Services and Analytics </w:t>
            </w:r>
          </w:p>
          <w:p w14:paraId="09EC9042" w14:textId="428040B0"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PEMFAR (FY1</w:t>
            </w:r>
            <w:r w:rsidR="000C4C97">
              <w:rPr>
                <w:rFonts w:asciiTheme="minorHAnsi" w:hAnsiTheme="minorHAnsi"/>
              </w:rPr>
              <w:t>7</w:t>
            </w:r>
            <w:r>
              <w:rPr>
                <w:rFonts w:asciiTheme="minorHAnsi" w:hAnsiTheme="minorHAnsi"/>
              </w:rPr>
              <w:t>)</w:t>
            </w:r>
          </w:p>
          <w:p w14:paraId="5366DFA9" w14:textId="77777777"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Long- and medium-term debt management (FY17)</w:t>
            </w:r>
          </w:p>
          <w:p w14:paraId="2C9F2C44" w14:textId="135C7741"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DEMPA</w:t>
            </w:r>
            <w:r w:rsidR="000C4C97">
              <w:rPr>
                <w:rFonts w:asciiTheme="minorHAnsi" w:hAnsiTheme="minorHAnsi"/>
              </w:rPr>
              <w:t xml:space="preserve"> (FY17)</w:t>
            </w:r>
          </w:p>
          <w:p w14:paraId="7171E652" w14:textId="5D57ADD0"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Tax reform study</w:t>
            </w:r>
            <w:r w:rsidR="000C4C97">
              <w:rPr>
                <w:rFonts w:asciiTheme="minorHAnsi" w:hAnsiTheme="minorHAnsi"/>
              </w:rPr>
              <w:t xml:space="preserve"> (FY17)</w:t>
            </w:r>
          </w:p>
          <w:p w14:paraId="399DCBC7" w14:textId="5C49164A"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P</w:t>
            </w:r>
            <w:r w:rsidR="000C4C97">
              <w:rPr>
                <w:rFonts w:asciiTheme="minorHAnsi" w:hAnsiTheme="minorHAnsi"/>
              </w:rPr>
              <w:t>rogrammatic PER</w:t>
            </w:r>
            <w:r>
              <w:rPr>
                <w:rFonts w:asciiTheme="minorHAnsi" w:hAnsiTheme="minorHAnsi"/>
              </w:rPr>
              <w:t xml:space="preserve"> (FY1</w:t>
            </w:r>
            <w:r w:rsidR="000C4C97">
              <w:rPr>
                <w:rFonts w:asciiTheme="minorHAnsi" w:hAnsiTheme="minorHAnsi"/>
              </w:rPr>
              <w:t>8</w:t>
            </w:r>
            <w:r>
              <w:rPr>
                <w:rFonts w:asciiTheme="minorHAnsi" w:hAnsiTheme="minorHAnsi"/>
              </w:rPr>
              <w:t>)</w:t>
            </w:r>
          </w:p>
          <w:p w14:paraId="759F7206" w14:textId="77777777" w:rsidR="004B387B" w:rsidRDefault="004B387B">
            <w:pPr>
              <w:rPr>
                <w:rFonts w:asciiTheme="minorHAnsi" w:hAnsiTheme="minorHAnsi"/>
                <w:b/>
                <w:i/>
              </w:rPr>
            </w:pPr>
            <w:r>
              <w:rPr>
                <w:rFonts w:asciiTheme="minorHAnsi" w:hAnsiTheme="minorHAnsi"/>
                <w:b/>
                <w:i/>
              </w:rPr>
              <w:t>Partners</w:t>
            </w:r>
          </w:p>
          <w:p w14:paraId="00E63D21" w14:textId="77777777" w:rsidR="004B387B" w:rsidRDefault="004B387B">
            <w:pPr>
              <w:rPr>
                <w:rFonts w:asciiTheme="minorHAnsi" w:hAnsiTheme="minorHAnsi"/>
                <w:b/>
                <w:i/>
              </w:rPr>
            </w:pPr>
            <w:r>
              <w:rPr>
                <w:rFonts w:asciiTheme="minorHAnsi" w:hAnsiTheme="minorHAnsi"/>
              </w:rPr>
              <w:t>AfDB, EU, IMF</w:t>
            </w:r>
            <w:r>
              <w:rPr>
                <w:rFonts w:asciiTheme="minorHAnsi" w:hAnsiTheme="minorHAnsi"/>
                <w:b/>
                <w:i/>
              </w:rPr>
              <w:t xml:space="preserve"> </w:t>
            </w:r>
          </w:p>
        </w:tc>
      </w:tr>
    </w:tbl>
    <w:p w14:paraId="427575A9" w14:textId="3725B9AB" w:rsidR="00D76B19" w:rsidRDefault="00D76B19" w:rsidP="004B387B">
      <w:pPr>
        <w:rPr>
          <w:rFonts w:ascii="Times New Roman" w:hAnsi="Times New Roman"/>
          <w:sz w:val="24"/>
          <w:szCs w:val="24"/>
        </w:rPr>
      </w:pPr>
    </w:p>
    <w:p w14:paraId="3D509616" w14:textId="77777777" w:rsidR="00D76B19" w:rsidRDefault="00D76B19">
      <w:pPr>
        <w:rPr>
          <w:rFonts w:ascii="Times New Roman" w:hAnsi="Times New Roman"/>
          <w:sz w:val="24"/>
          <w:szCs w:val="24"/>
        </w:rPr>
      </w:pPr>
      <w:r>
        <w:rPr>
          <w:rFonts w:ascii="Times New Roman" w:hAnsi="Times New Roman"/>
          <w:sz w:val="24"/>
          <w:szCs w:val="24"/>
        </w:rPr>
        <w:br w:type="page"/>
      </w:r>
    </w:p>
    <w:p w14:paraId="30D359B8" w14:textId="77777777" w:rsidR="004B387B" w:rsidRDefault="004B387B" w:rsidP="004B387B">
      <w:pPr>
        <w:rPr>
          <w:rFonts w:ascii="Times New Roman" w:hAnsi="Times New Roman"/>
          <w:sz w:val="24"/>
          <w:szCs w:val="24"/>
        </w:rPr>
      </w:pPr>
    </w:p>
    <w:tbl>
      <w:tblPr>
        <w:tblStyle w:val="TableGrid4"/>
        <w:tblW w:w="12955" w:type="dxa"/>
        <w:tblLook w:val="04A0" w:firstRow="1" w:lastRow="0" w:firstColumn="1" w:lastColumn="0" w:noHBand="0" w:noVBand="1"/>
      </w:tblPr>
      <w:tblGrid>
        <w:gridCol w:w="2515"/>
        <w:gridCol w:w="3690"/>
        <w:gridCol w:w="4050"/>
        <w:gridCol w:w="2700"/>
      </w:tblGrid>
      <w:tr w:rsidR="004B387B" w14:paraId="54CD0377" w14:textId="77777777" w:rsidTr="004B387B">
        <w:tc>
          <w:tcPr>
            <w:tcW w:w="12955" w:type="dxa"/>
            <w:gridSpan w:val="4"/>
            <w:tcBorders>
              <w:top w:val="single" w:sz="4" w:space="0" w:color="auto"/>
              <w:left w:val="single" w:sz="4" w:space="0" w:color="auto"/>
              <w:bottom w:val="single" w:sz="4" w:space="0" w:color="auto"/>
              <w:right w:val="single" w:sz="4" w:space="0" w:color="auto"/>
            </w:tcBorders>
            <w:shd w:val="clear" w:color="auto" w:fill="F4EBDE" w:themeFill="accent5" w:themeFillTint="33"/>
            <w:hideMark/>
          </w:tcPr>
          <w:p w14:paraId="2F2FB8B0" w14:textId="14548527" w:rsidR="004B387B" w:rsidRDefault="004B387B" w:rsidP="00C97360">
            <w:pPr>
              <w:rPr>
                <w:rFonts w:asciiTheme="minorHAnsi" w:hAnsiTheme="minorHAnsi"/>
                <w:b/>
              </w:rPr>
            </w:pPr>
            <w:r>
              <w:rPr>
                <w:rFonts w:asciiTheme="minorHAnsi" w:hAnsiTheme="minorHAnsi"/>
                <w:b/>
              </w:rPr>
              <w:t xml:space="preserve">Objective 1.2: Improve </w:t>
            </w:r>
            <w:r w:rsidR="00DD08C3">
              <w:rPr>
                <w:rFonts w:asciiTheme="minorHAnsi" w:hAnsiTheme="minorHAnsi"/>
                <w:b/>
              </w:rPr>
              <w:t>Business Environment and Employment Opportunities</w:t>
            </w:r>
          </w:p>
        </w:tc>
      </w:tr>
      <w:tr w:rsidR="004B387B" w14:paraId="392735C2" w14:textId="77777777" w:rsidTr="004B387B">
        <w:tc>
          <w:tcPr>
            <w:tcW w:w="12955" w:type="dxa"/>
            <w:gridSpan w:val="4"/>
            <w:tcBorders>
              <w:top w:val="single" w:sz="4" w:space="0" w:color="auto"/>
              <w:left w:val="single" w:sz="4" w:space="0" w:color="auto"/>
              <w:bottom w:val="single" w:sz="4" w:space="0" w:color="auto"/>
              <w:right w:val="single" w:sz="4" w:space="0" w:color="auto"/>
            </w:tcBorders>
            <w:hideMark/>
          </w:tcPr>
          <w:p w14:paraId="580AC9AA" w14:textId="77777777" w:rsidR="004B387B" w:rsidRDefault="004B387B">
            <w:pPr>
              <w:jc w:val="both"/>
              <w:rPr>
                <w:rFonts w:asciiTheme="minorHAnsi" w:hAnsiTheme="minorHAnsi"/>
              </w:rPr>
            </w:pPr>
            <w:r>
              <w:rPr>
                <w:rFonts w:asciiTheme="minorHAnsi" w:hAnsiTheme="minorHAnsi"/>
                <w:b/>
              </w:rPr>
              <w:t xml:space="preserve">Intervention Logic: </w:t>
            </w:r>
            <w:r>
              <w:rPr>
                <w:rFonts w:asciiTheme="minorHAnsi" w:hAnsiTheme="minorHAnsi"/>
              </w:rPr>
              <w:t xml:space="preserve">Togo will need to improve productivity and competitiveness to accelerate the tentative structural transformation that is already underway, and to grow the number of formal businesses that can create more and better jobs and incomes for Togolese. To do so, the country needs to remove the policy and regulatory constraints that hinder domestic and foreign private sector activity and create a more level playing field between the public and private, domestic and foreign private sector. </w:t>
            </w:r>
          </w:p>
          <w:p w14:paraId="30E76C01" w14:textId="35E66726" w:rsidR="004B387B" w:rsidRDefault="004B387B" w:rsidP="00C97360">
            <w:pPr>
              <w:ind w:firstLine="335"/>
              <w:jc w:val="both"/>
              <w:rPr>
                <w:rFonts w:asciiTheme="minorHAnsi" w:hAnsiTheme="minorHAnsi"/>
              </w:rPr>
            </w:pPr>
            <w:r>
              <w:rPr>
                <w:rFonts w:asciiTheme="minorHAnsi" w:hAnsiTheme="minorHAnsi"/>
              </w:rPr>
              <w:t>The CPF will support this agenda by filling key analytical gaps on the land regime, sources of growth and competitiveness, and the tax framework; renewing WBG support for public-private dialogue; and working to address key gaps in skills and employment opportunities.</w:t>
            </w:r>
            <w:r w:rsidR="001169BE">
              <w:rPr>
                <w:rFonts w:asciiTheme="minorHAnsi" w:hAnsiTheme="minorHAnsi"/>
              </w:rPr>
              <w:t xml:space="preserve"> IDA and IFC will continue to provide support on Doing Business reforms</w:t>
            </w:r>
            <w:r w:rsidR="004C4392">
              <w:rPr>
                <w:rFonts w:asciiTheme="minorHAnsi" w:hAnsiTheme="minorHAnsi"/>
              </w:rPr>
              <w:t xml:space="preserve"> to improve private sector opportunities</w:t>
            </w:r>
            <w:r w:rsidR="001169BE">
              <w:rPr>
                <w:rFonts w:asciiTheme="minorHAnsi" w:hAnsiTheme="minorHAnsi"/>
              </w:rPr>
              <w:t>.</w:t>
            </w:r>
            <w:r>
              <w:rPr>
                <w:rFonts w:asciiTheme="minorHAnsi" w:hAnsiTheme="minorHAnsi"/>
              </w:rPr>
              <w:t xml:space="preserve"> The CPF will scale up support for agricultural productivity and innovation, diversification, access to finance, and promotion of private investment in the agriculture sector. </w:t>
            </w:r>
            <w:r w:rsidR="00DD08C3">
              <w:rPr>
                <w:rFonts w:asciiTheme="minorHAnsi" w:hAnsiTheme="minorHAnsi"/>
              </w:rPr>
              <w:t xml:space="preserve">The CPF will support improved incomes in agriculture and employment opportunities </w:t>
            </w:r>
            <w:r w:rsidR="001169BE">
              <w:rPr>
                <w:rFonts w:asciiTheme="minorHAnsi" w:hAnsiTheme="minorHAnsi"/>
              </w:rPr>
              <w:t>through IDA investment operations and improved business environment.</w:t>
            </w:r>
          </w:p>
        </w:tc>
      </w:tr>
      <w:tr w:rsidR="004B387B" w14:paraId="05624EAB" w14:textId="77777777" w:rsidTr="004B387B">
        <w:trPr>
          <w:trHeight w:hRule="exact" w:val="568"/>
        </w:trPr>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304633B0" w14:textId="77777777" w:rsidR="004B387B" w:rsidRDefault="004B387B">
            <w:pPr>
              <w:jc w:val="center"/>
              <w:rPr>
                <w:rFonts w:asciiTheme="minorHAnsi" w:hAnsiTheme="minorHAnsi"/>
                <w:b/>
              </w:rPr>
            </w:pPr>
            <w:r>
              <w:rPr>
                <w:rFonts w:asciiTheme="minorHAnsi" w:hAnsiTheme="minorHAnsi"/>
                <w:b/>
                <w:color w:val="548DD4"/>
              </w:rPr>
              <w:t>Country Development Goals</w:t>
            </w:r>
          </w:p>
          <w:p w14:paraId="1039A31C" w14:textId="77777777" w:rsidR="004B387B" w:rsidRDefault="004B387B">
            <w:pPr>
              <w:jc w:val="center"/>
              <w:rPr>
                <w:rFonts w:asciiTheme="minorHAnsi" w:hAnsiTheme="minorHAnsi"/>
                <w:b/>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3172E" w14:textId="77777777" w:rsidR="004B387B" w:rsidRDefault="004B387B">
            <w:pPr>
              <w:jc w:val="center"/>
              <w:rPr>
                <w:rFonts w:asciiTheme="minorHAnsi" w:hAnsiTheme="minorHAnsi"/>
                <w:b/>
                <w:color w:val="548DD4"/>
              </w:rPr>
            </w:pPr>
            <w:r>
              <w:rPr>
                <w:rFonts w:asciiTheme="minorHAnsi" w:hAnsiTheme="minorHAnsi"/>
                <w:b/>
                <w:color w:val="548DD4"/>
              </w:rPr>
              <w:t>CPF Objective Indicators</w:t>
            </w:r>
          </w:p>
          <w:p w14:paraId="590D076B" w14:textId="77777777" w:rsidR="004B387B" w:rsidRDefault="004B387B">
            <w:pPr>
              <w:jc w:val="center"/>
              <w:rPr>
                <w:rFonts w:asciiTheme="minorHAnsi" w:hAnsiTheme="minorHAnsi"/>
                <w:b/>
              </w:rPr>
            </w:pPr>
          </w:p>
          <w:p w14:paraId="63E26731" w14:textId="77777777" w:rsidR="004B387B" w:rsidRDefault="004B387B">
            <w:pPr>
              <w:jc w:val="center"/>
              <w:rPr>
                <w:rFonts w:asciiTheme="minorHAnsi" w:hAnsiTheme="minorHAnsi"/>
                <w:b/>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D9C09" w14:textId="77777777" w:rsidR="004B387B" w:rsidRDefault="004B387B">
            <w:pPr>
              <w:jc w:val="center"/>
              <w:rPr>
                <w:rFonts w:asciiTheme="minorHAnsi" w:hAnsiTheme="minorHAnsi"/>
                <w:b/>
                <w:color w:val="548DD4"/>
              </w:rPr>
            </w:pPr>
            <w:r>
              <w:rPr>
                <w:rFonts w:asciiTheme="minorHAnsi" w:hAnsiTheme="minorHAnsi"/>
                <w:b/>
                <w:color w:val="548DD4"/>
              </w:rPr>
              <w:t>Supplementary Progress Indicators</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81248" w14:textId="77777777" w:rsidR="004B387B" w:rsidRDefault="004B387B">
            <w:pPr>
              <w:jc w:val="center"/>
              <w:rPr>
                <w:rFonts w:asciiTheme="minorHAnsi" w:hAnsiTheme="minorHAnsi"/>
                <w:b/>
                <w:color w:val="548DD4"/>
              </w:rPr>
            </w:pPr>
            <w:r>
              <w:rPr>
                <w:rFonts w:asciiTheme="minorHAnsi" w:hAnsiTheme="minorHAnsi"/>
                <w:b/>
                <w:color w:val="548DD4"/>
              </w:rPr>
              <w:t>WBG Program</w:t>
            </w:r>
          </w:p>
        </w:tc>
      </w:tr>
      <w:tr w:rsidR="004B387B" w14:paraId="175D693C" w14:textId="77777777" w:rsidTr="004B387B">
        <w:trPr>
          <w:trHeight w:val="1233"/>
        </w:trPr>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2770A8ED" w14:textId="77777777" w:rsidR="004B387B" w:rsidRDefault="004B387B">
            <w:pPr>
              <w:rPr>
                <w:rFonts w:asciiTheme="minorHAnsi" w:hAnsiTheme="minorHAnsi"/>
                <w:b/>
              </w:rPr>
            </w:pPr>
            <w:r>
              <w:rPr>
                <w:rFonts w:asciiTheme="minorHAnsi" w:hAnsiTheme="minorHAnsi"/>
                <w:b/>
              </w:rPr>
              <w:t>PND Pillar 2</w:t>
            </w:r>
          </w:p>
          <w:p w14:paraId="202CF1FD" w14:textId="0984DE5F" w:rsidR="004B387B" w:rsidRDefault="004B387B">
            <w:pPr>
              <w:rPr>
                <w:rFonts w:asciiTheme="minorHAnsi" w:hAnsiTheme="minorHAnsi"/>
                <w:b/>
              </w:rPr>
            </w:pPr>
            <w:r>
              <w:rPr>
                <w:rFonts w:asciiTheme="minorHAnsi" w:hAnsiTheme="minorHAnsi"/>
              </w:rPr>
              <w:t>Boosting the productivity and competitiveness of growth sectors</w:t>
            </w:r>
          </w:p>
          <w:p w14:paraId="774C41C3" w14:textId="77777777" w:rsidR="004B387B" w:rsidRDefault="004B387B">
            <w:pPr>
              <w:rPr>
                <w:rFonts w:asciiTheme="minorHAnsi" w:hAnsiTheme="minorHAnsi"/>
                <w:b/>
              </w:rPr>
            </w:pPr>
          </w:p>
          <w:p w14:paraId="4383C14A" w14:textId="77777777" w:rsidR="004B387B" w:rsidRDefault="004B387B">
            <w:pPr>
              <w:rPr>
                <w:rFonts w:asciiTheme="minorHAnsi" w:hAnsiTheme="minorHAnsi"/>
              </w:rPr>
            </w:pPr>
            <w:r>
              <w:rPr>
                <w:rFonts w:asciiTheme="minorHAnsi" w:hAnsiTheme="minorHAnsi"/>
                <w:b/>
              </w:rPr>
              <w:t>SDG 8</w:t>
            </w:r>
            <w:r>
              <w:rPr>
                <w:rFonts w:asciiTheme="minorHAnsi" w:hAnsiTheme="minorHAnsi"/>
              </w:rPr>
              <w:t xml:space="preserve"> </w:t>
            </w:r>
          </w:p>
          <w:p w14:paraId="309AF9A4" w14:textId="77777777" w:rsidR="004B387B" w:rsidRDefault="004B387B">
            <w:pPr>
              <w:rPr>
                <w:rFonts w:asciiTheme="minorHAnsi" w:hAnsiTheme="minorHAnsi"/>
                <w:b/>
              </w:rPr>
            </w:pPr>
            <w:r>
              <w:rPr>
                <w:rFonts w:asciiTheme="minorHAnsi" w:hAnsiTheme="minorHAnsi"/>
              </w:rPr>
              <w:t>Decent Work and Economic Growth</w:t>
            </w:r>
          </w:p>
          <w:p w14:paraId="4467E68A" w14:textId="77777777" w:rsidR="004B387B" w:rsidRDefault="004B387B">
            <w:pPr>
              <w:rPr>
                <w:rFonts w:asciiTheme="minorHAnsi" w:hAnsiTheme="minorHAnsi"/>
                <w:b/>
              </w:rPr>
            </w:pPr>
          </w:p>
          <w:p w14:paraId="61040D6E" w14:textId="77777777" w:rsidR="004B387B" w:rsidRDefault="004B387B">
            <w:pPr>
              <w:rPr>
                <w:rFonts w:asciiTheme="minorHAnsi" w:hAnsiTheme="minorHAnsi"/>
                <w:b/>
              </w:rPr>
            </w:pPr>
            <w:r>
              <w:rPr>
                <w:rFonts w:asciiTheme="minorHAnsi" w:hAnsiTheme="minorHAnsi"/>
                <w:b/>
              </w:rPr>
              <w:t>SCD Pathway 1</w:t>
            </w:r>
          </w:p>
          <w:p w14:paraId="738411DF" w14:textId="77777777" w:rsidR="004B387B" w:rsidRDefault="004B387B">
            <w:pPr>
              <w:rPr>
                <w:rFonts w:asciiTheme="minorHAnsi" w:hAnsiTheme="minorHAnsi"/>
              </w:rPr>
            </w:pPr>
            <w:r>
              <w:rPr>
                <w:rFonts w:asciiTheme="minorHAnsi" w:hAnsiTheme="minorHAnsi"/>
              </w:rPr>
              <w:t>Growth in increasingly formal and productive off-farm businesses for more remunerative employment</w:t>
            </w:r>
          </w:p>
          <w:p w14:paraId="2CAE7AD8" w14:textId="77777777" w:rsidR="004B387B" w:rsidRDefault="004B387B">
            <w:pPr>
              <w:rPr>
                <w:rFonts w:asciiTheme="minorHAnsi" w:hAnsiTheme="minorHAnsi"/>
              </w:rPr>
            </w:pPr>
          </w:p>
          <w:p w14:paraId="3CAB7A6C" w14:textId="77777777" w:rsidR="004B387B" w:rsidRDefault="004B387B">
            <w:pPr>
              <w:rPr>
                <w:rFonts w:asciiTheme="minorHAnsi" w:hAnsiTheme="minorHAnsi"/>
                <w:b/>
              </w:rPr>
            </w:pPr>
            <w:r>
              <w:rPr>
                <w:rFonts w:asciiTheme="minorHAnsi" w:hAnsiTheme="minorHAnsi"/>
                <w:b/>
              </w:rPr>
              <w:t>SCD Pathway 2</w:t>
            </w:r>
          </w:p>
          <w:p w14:paraId="198465CA" w14:textId="77777777" w:rsidR="004B387B" w:rsidRDefault="004B387B">
            <w:pPr>
              <w:rPr>
                <w:rFonts w:asciiTheme="minorHAnsi" w:hAnsiTheme="minorHAnsi"/>
              </w:rPr>
            </w:pPr>
            <w:r>
              <w:rPr>
                <w:rFonts w:asciiTheme="minorHAnsi" w:hAnsiTheme="minorHAnsi"/>
              </w:rPr>
              <w:t xml:space="preserve">Transformation of agriculture toward more productive, higher-value, </w:t>
            </w:r>
            <w:r>
              <w:rPr>
                <w:rFonts w:asciiTheme="minorHAnsi" w:hAnsiTheme="minorHAnsi"/>
              </w:rPr>
              <w:lastRenderedPageBreak/>
              <w:t>and sustainable smallholder and commercial production</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0741C716" w14:textId="694F1F03" w:rsidR="004B387B" w:rsidRDefault="004B387B">
            <w:pPr>
              <w:rPr>
                <w:rFonts w:asciiTheme="minorHAnsi" w:hAnsiTheme="minorHAnsi"/>
                <w:i/>
              </w:rPr>
            </w:pPr>
            <w:r>
              <w:rPr>
                <w:rFonts w:asciiTheme="minorHAnsi" w:hAnsiTheme="minorHAnsi"/>
                <w:i/>
              </w:rPr>
              <w:lastRenderedPageBreak/>
              <w:t>1.</w:t>
            </w:r>
            <w:r w:rsidR="006850A5">
              <w:rPr>
                <w:rFonts w:asciiTheme="minorHAnsi" w:hAnsiTheme="minorHAnsi"/>
                <w:i/>
              </w:rPr>
              <w:t>2</w:t>
            </w:r>
            <w:r>
              <w:rPr>
                <w:rFonts w:asciiTheme="minorHAnsi" w:hAnsiTheme="minorHAnsi"/>
                <w:i/>
              </w:rPr>
              <w:t>.1 Improved private sector regulatory performance, as measured by Togo’s Doing Business “Distance to Frontier” score</w:t>
            </w:r>
          </w:p>
          <w:p w14:paraId="017F3C29" w14:textId="77777777" w:rsidR="004B387B" w:rsidRDefault="004B387B">
            <w:pPr>
              <w:rPr>
                <w:rFonts w:asciiTheme="minorHAnsi" w:hAnsiTheme="minorHAnsi"/>
              </w:rPr>
            </w:pPr>
            <w:r>
              <w:rPr>
                <w:rFonts w:asciiTheme="minorHAnsi" w:hAnsiTheme="minorHAnsi"/>
              </w:rPr>
              <w:t>Baseline:  48.57 (“DB17”)</w:t>
            </w:r>
          </w:p>
          <w:p w14:paraId="0933A7F8" w14:textId="77777777" w:rsidR="004B387B" w:rsidRDefault="004B387B">
            <w:pPr>
              <w:rPr>
                <w:rFonts w:asciiTheme="minorHAnsi" w:hAnsiTheme="minorHAnsi"/>
              </w:rPr>
            </w:pPr>
            <w:r>
              <w:rPr>
                <w:rFonts w:asciiTheme="minorHAnsi" w:hAnsiTheme="minorHAnsi"/>
              </w:rPr>
              <w:t>Target:     55.00 (“DB21”)</w:t>
            </w:r>
          </w:p>
          <w:p w14:paraId="1DBF9BFB" w14:textId="77777777" w:rsidR="004B387B" w:rsidRDefault="004B387B">
            <w:pPr>
              <w:rPr>
                <w:rFonts w:asciiTheme="minorHAnsi" w:hAnsiTheme="minorHAnsi"/>
                <w:i/>
              </w:rPr>
            </w:pPr>
          </w:p>
          <w:p w14:paraId="5ACFA4B7" w14:textId="1B65B0E6" w:rsidR="004B387B" w:rsidRDefault="004B387B">
            <w:pPr>
              <w:rPr>
                <w:rFonts w:asciiTheme="minorHAnsi" w:hAnsiTheme="minorHAnsi"/>
                <w:i/>
              </w:rPr>
            </w:pPr>
            <w:r>
              <w:rPr>
                <w:rFonts w:asciiTheme="minorHAnsi" w:hAnsiTheme="minorHAnsi"/>
                <w:i/>
                <w:szCs w:val="20"/>
              </w:rPr>
              <w:t>1.</w:t>
            </w:r>
            <w:r w:rsidR="006850A5">
              <w:rPr>
                <w:rFonts w:asciiTheme="minorHAnsi" w:hAnsiTheme="minorHAnsi"/>
                <w:i/>
                <w:szCs w:val="20"/>
              </w:rPr>
              <w:t>2</w:t>
            </w:r>
            <w:r>
              <w:rPr>
                <w:rFonts w:asciiTheme="minorHAnsi" w:hAnsiTheme="minorHAnsi"/>
                <w:i/>
                <w:szCs w:val="20"/>
              </w:rPr>
              <w:t xml:space="preserve">.2 </w:t>
            </w:r>
            <w:r>
              <w:rPr>
                <w:rFonts w:asciiTheme="minorHAnsi" w:hAnsiTheme="minorHAnsi"/>
                <w:i/>
              </w:rPr>
              <w:t>Improved employment options for Togolese youth, as measured by number of youths trained and launching/expanding microenterprises</w:t>
            </w:r>
          </w:p>
          <w:p w14:paraId="6AEEEF56" w14:textId="77777777" w:rsidR="004B387B" w:rsidRDefault="004B387B">
            <w:pPr>
              <w:rPr>
                <w:rFonts w:asciiTheme="minorHAnsi" w:hAnsiTheme="minorHAnsi"/>
              </w:rPr>
            </w:pPr>
            <w:r>
              <w:rPr>
                <w:rFonts w:asciiTheme="minorHAnsi" w:hAnsiTheme="minorHAnsi"/>
              </w:rPr>
              <w:t>Baseline: 0 (2017)</w:t>
            </w:r>
          </w:p>
          <w:p w14:paraId="6B609925" w14:textId="77777777" w:rsidR="004B387B" w:rsidRDefault="004B387B">
            <w:pPr>
              <w:rPr>
                <w:rFonts w:asciiTheme="minorHAnsi" w:hAnsiTheme="minorHAnsi"/>
              </w:rPr>
            </w:pPr>
            <w:r>
              <w:rPr>
                <w:rFonts w:asciiTheme="minorHAnsi" w:hAnsiTheme="minorHAnsi"/>
              </w:rPr>
              <w:t>Target: 10,000 (2020)</w:t>
            </w:r>
          </w:p>
          <w:p w14:paraId="73E017A6" w14:textId="77777777" w:rsidR="004B387B" w:rsidRDefault="004B387B">
            <w:pPr>
              <w:rPr>
                <w:rFonts w:asciiTheme="minorHAnsi" w:hAnsiTheme="minorHAnsi"/>
              </w:rPr>
            </w:pPr>
          </w:p>
          <w:p w14:paraId="76F83B34" w14:textId="77777777" w:rsidR="004B387B" w:rsidRDefault="004B387B">
            <w:pPr>
              <w:rPr>
                <w:rFonts w:asciiTheme="minorHAnsi" w:hAnsiTheme="minorHAnsi"/>
              </w:rPr>
            </w:pPr>
          </w:p>
          <w:p w14:paraId="2C043C7E" w14:textId="77777777" w:rsidR="004B387B" w:rsidRDefault="004B387B">
            <w:pPr>
              <w:rPr>
                <w:rFonts w:asciiTheme="minorHAnsi" w:hAnsiTheme="minorHAnsi"/>
              </w:rPr>
            </w:pPr>
          </w:p>
          <w:p w14:paraId="39917854" w14:textId="2740363B" w:rsidR="004B387B" w:rsidRDefault="004B387B">
            <w:pPr>
              <w:rPr>
                <w:rFonts w:asciiTheme="minorHAnsi" w:hAnsiTheme="minorHAnsi"/>
              </w:rPr>
            </w:pPr>
            <w:r>
              <w:rPr>
                <w:rFonts w:asciiTheme="minorHAnsi" w:hAnsiTheme="minorHAnsi"/>
                <w:i/>
                <w:szCs w:val="20"/>
              </w:rPr>
              <w:t>1.</w:t>
            </w:r>
            <w:r w:rsidR="006850A5">
              <w:rPr>
                <w:rFonts w:asciiTheme="minorHAnsi" w:hAnsiTheme="minorHAnsi"/>
                <w:i/>
                <w:szCs w:val="20"/>
              </w:rPr>
              <w:t>2</w:t>
            </w:r>
            <w:r>
              <w:rPr>
                <w:rFonts w:asciiTheme="minorHAnsi" w:hAnsiTheme="minorHAnsi"/>
                <w:i/>
                <w:szCs w:val="20"/>
              </w:rPr>
              <w:t xml:space="preserve">.3 Improved agricultural incomes, as measured by average </w:t>
            </w:r>
            <w:r>
              <w:rPr>
                <w:rFonts w:asciiTheme="minorHAnsi" w:hAnsiTheme="minorHAnsi"/>
                <w:i/>
              </w:rPr>
              <w:t>increase in income among direct beneficiaries of PASA</w:t>
            </w:r>
          </w:p>
          <w:p w14:paraId="1CC1FE18" w14:textId="77777777" w:rsidR="004B387B" w:rsidRDefault="004B387B">
            <w:pPr>
              <w:rPr>
                <w:rFonts w:asciiTheme="minorHAnsi" w:hAnsiTheme="minorHAnsi"/>
              </w:rPr>
            </w:pPr>
            <w:r>
              <w:rPr>
                <w:rFonts w:asciiTheme="minorHAnsi" w:hAnsiTheme="minorHAnsi"/>
              </w:rPr>
              <w:lastRenderedPageBreak/>
              <w:t>Baseline: 0% (2016)</w:t>
            </w:r>
          </w:p>
          <w:p w14:paraId="593D8E72" w14:textId="77777777" w:rsidR="004B387B" w:rsidRDefault="004B387B">
            <w:pPr>
              <w:rPr>
                <w:rFonts w:asciiTheme="minorHAnsi" w:hAnsiTheme="minorHAnsi"/>
              </w:rPr>
            </w:pPr>
            <w:r>
              <w:rPr>
                <w:rFonts w:asciiTheme="minorHAnsi" w:hAnsiTheme="minorHAnsi"/>
              </w:rPr>
              <w:t>Target: 25% (2020)</w:t>
            </w:r>
          </w:p>
          <w:p w14:paraId="298EA04E" w14:textId="77777777" w:rsidR="004B387B" w:rsidRDefault="004B387B">
            <w:pPr>
              <w:rPr>
                <w:rFonts w:asciiTheme="minorHAnsi" w:hAnsiTheme="minorHAnsi"/>
                <w:i/>
              </w:rPr>
            </w:pPr>
          </w:p>
          <w:p w14:paraId="5FA89199" w14:textId="77777777" w:rsidR="004B387B" w:rsidRDefault="004B387B">
            <w:pPr>
              <w:rPr>
                <w:rFonts w:asciiTheme="minorHAnsi" w:hAnsiTheme="minorHAnsi"/>
                <w:i/>
              </w:rPr>
            </w:pPr>
          </w:p>
          <w:p w14:paraId="60E67C70" w14:textId="77777777" w:rsidR="004B387B" w:rsidRDefault="004B387B">
            <w:pPr>
              <w:rPr>
                <w:rFonts w:asciiTheme="minorHAnsi" w:hAnsiTheme="minorHAnsi"/>
                <w:i/>
              </w:rPr>
            </w:pPr>
          </w:p>
          <w:p w14:paraId="0540B712" w14:textId="77777777" w:rsidR="004B387B" w:rsidRDefault="004B387B">
            <w:pPr>
              <w:rPr>
                <w:rFonts w:asciiTheme="minorHAnsi" w:hAnsiTheme="minorHAnsi"/>
                <w:i/>
              </w:rPr>
            </w:pPr>
          </w:p>
          <w:p w14:paraId="1EBBF3F9" w14:textId="77777777" w:rsidR="004B387B" w:rsidRDefault="004B387B">
            <w:pPr>
              <w:rPr>
                <w:rFonts w:asciiTheme="minorHAnsi" w:hAnsiTheme="minorHAnsi"/>
                <w:i/>
              </w:rPr>
            </w:pPr>
          </w:p>
          <w:p w14:paraId="2B8B6768" w14:textId="77777777" w:rsidR="004B387B" w:rsidRDefault="004B387B">
            <w:pPr>
              <w:rPr>
                <w:rFonts w:asciiTheme="minorHAnsi" w:hAnsiTheme="minorHAnsi"/>
                <w:i/>
              </w:rPr>
            </w:pPr>
          </w:p>
          <w:p w14:paraId="1E0AD35B" w14:textId="77777777" w:rsidR="004B387B" w:rsidRDefault="004B387B">
            <w:pPr>
              <w:rPr>
                <w:rFonts w:asciiTheme="minorHAnsi" w:hAnsiTheme="minorHAnsi"/>
                <w:i/>
              </w:rPr>
            </w:pPr>
          </w:p>
          <w:p w14:paraId="205B03FB" w14:textId="77777777" w:rsidR="004B387B" w:rsidRDefault="004B387B">
            <w:pPr>
              <w:rPr>
                <w:rFonts w:asciiTheme="minorHAnsi" w:hAnsiTheme="minorHAnsi"/>
                <w:i/>
              </w:rPr>
            </w:pPr>
          </w:p>
          <w:p w14:paraId="5EB47751" w14:textId="77777777" w:rsidR="004B387B" w:rsidRDefault="004B387B">
            <w:pPr>
              <w:rPr>
                <w:rFonts w:asciiTheme="minorHAnsi" w:hAnsiTheme="minorHAnsi"/>
                <w:i/>
              </w:rPr>
            </w:pPr>
          </w:p>
          <w:p w14:paraId="4C525509" w14:textId="77777777" w:rsidR="004B387B" w:rsidRDefault="004B387B">
            <w:pPr>
              <w:rPr>
                <w:rFonts w:asciiTheme="minorHAnsi" w:hAnsiTheme="minorHAnsi"/>
                <w:i/>
              </w:rPr>
            </w:pPr>
          </w:p>
          <w:p w14:paraId="0D9528B8" w14:textId="77777777" w:rsidR="004B387B" w:rsidRDefault="004B387B">
            <w:pPr>
              <w:rPr>
                <w:rFonts w:asciiTheme="minorHAnsi" w:hAnsiTheme="minorHAnsi"/>
                <w:i/>
              </w:rPr>
            </w:pPr>
          </w:p>
          <w:p w14:paraId="2E47C448" w14:textId="77777777" w:rsidR="004B387B" w:rsidRDefault="004B387B">
            <w:pPr>
              <w:rPr>
                <w:rFonts w:asciiTheme="minorHAnsi" w:hAnsiTheme="minorHAnsi"/>
                <w:i/>
              </w:rPr>
            </w:pPr>
          </w:p>
          <w:p w14:paraId="1241C2CB" w14:textId="77777777" w:rsidR="004B387B" w:rsidRDefault="004B387B">
            <w:pPr>
              <w:rPr>
                <w:rFonts w:asciiTheme="minorHAnsi" w:hAnsiTheme="minorHAnsi"/>
                <w:i/>
              </w:rPr>
            </w:pPr>
          </w:p>
          <w:p w14:paraId="7FDAA7E7" w14:textId="77777777" w:rsidR="004B387B" w:rsidRDefault="004B387B">
            <w:pPr>
              <w:rPr>
                <w:rFonts w:asciiTheme="minorHAnsi" w:hAnsiTheme="minorHAnsi"/>
                <w:i/>
              </w:rPr>
            </w:pPr>
          </w:p>
          <w:p w14:paraId="02685809" w14:textId="77777777" w:rsidR="004B387B" w:rsidRDefault="004B387B">
            <w:pPr>
              <w:tabs>
                <w:tab w:val="left" w:pos="257"/>
              </w:tabs>
              <w:rPr>
                <w:rFonts w:asciiTheme="minorHAnsi" w:hAnsiTheme="minorHAnsi"/>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060258"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lastRenderedPageBreak/>
              <w:t>Ministerial orders (arêtes) adopted for decree on Construction Permits</w:t>
            </w:r>
          </w:p>
          <w:p w14:paraId="1994E934" w14:textId="77777777" w:rsidR="004B387B" w:rsidRDefault="004B387B">
            <w:pPr>
              <w:rPr>
                <w:rFonts w:asciiTheme="minorHAnsi" w:hAnsiTheme="minorHAnsi"/>
                <w:i/>
                <w:sz w:val="20"/>
              </w:rPr>
            </w:pPr>
          </w:p>
          <w:p w14:paraId="00C3246B" w14:textId="77777777" w:rsidR="004B387B" w:rsidRDefault="004B387B">
            <w:pPr>
              <w:rPr>
                <w:rFonts w:asciiTheme="minorHAnsi" w:hAnsiTheme="minorHAnsi"/>
                <w:i/>
                <w:sz w:val="20"/>
              </w:rPr>
            </w:pPr>
          </w:p>
          <w:p w14:paraId="5958DD02" w14:textId="77777777" w:rsidR="004B387B" w:rsidRDefault="004B387B">
            <w:pPr>
              <w:rPr>
                <w:rFonts w:asciiTheme="minorHAnsi" w:hAnsiTheme="minorHAnsi"/>
                <w:i/>
                <w:sz w:val="20"/>
              </w:rPr>
            </w:pPr>
          </w:p>
          <w:p w14:paraId="41238226" w14:textId="77777777" w:rsidR="004B387B" w:rsidRDefault="004B387B">
            <w:pPr>
              <w:rPr>
                <w:rFonts w:asciiTheme="minorHAnsi" w:hAnsiTheme="minorHAnsi"/>
                <w:i/>
                <w:sz w:val="20"/>
              </w:rPr>
            </w:pPr>
          </w:p>
          <w:p w14:paraId="0A44CABE" w14:textId="77777777" w:rsidR="004B387B" w:rsidRDefault="004B387B">
            <w:pPr>
              <w:rPr>
                <w:rFonts w:asciiTheme="minorHAnsi" w:hAnsiTheme="minorHAnsi"/>
                <w:i/>
                <w:sz w:val="20"/>
              </w:rPr>
            </w:pPr>
          </w:p>
          <w:p w14:paraId="0C2293D3"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Beneficiaries of labor market programs, including women</w:t>
            </w:r>
          </w:p>
          <w:p w14:paraId="258DACFE" w14:textId="77777777" w:rsidR="004B387B" w:rsidRDefault="004B387B">
            <w:pPr>
              <w:rPr>
                <w:rFonts w:asciiTheme="minorHAnsi" w:hAnsiTheme="minorHAnsi"/>
              </w:rPr>
            </w:pPr>
            <w:r>
              <w:rPr>
                <w:rFonts w:asciiTheme="minorHAnsi" w:hAnsiTheme="minorHAnsi"/>
              </w:rPr>
              <w:t>Baseline: 0 (2017)</w:t>
            </w:r>
          </w:p>
          <w:p w14:paraId="47324D9C" w14:textId="77777777" w:rsidR="004B387B" w:rsidRDefault="004B387B">
            <w:pPr>
              <w:rPr>
                <w:rFonts w:asciiTheme="minorHAnsi" w:hAnsiTheme="minorHAnsi"/>
              </w:rPr>
            </w:pPr>
            <w:r>
              <w:rPr>
                <w:rFonts w:asciiTheme="minorHAnsi" w:hAnsiTheme="minorHAnsi"/>
              </w:rPr>
              <w:t>Target: 14,000 (incl. 7,000 women) (2020)</w:t>
            </w:r>
          </w:p>
          <w:p w14:paraId="6FD8427E" w14:textId="77777777" w:rsidR="004B387B" w:rsidRDefault="004B387B" w:rsidP="004B387B">
            <w:pPr>
              <w:pStyle w:val="ListParagraph"/>
              <w:numPr>
                <w:ilvl w:val="0"/>
                <w:numId w:val="15"/>
              </w:numPr>
              <w:tabs>
                <w:tab w:val="left" w:pos="257"/>
              </w:tabs>
              <w:ind w:left="0" w:firstLine="0"/>
              <w:rPr>
                <w:rFonts w:asciiTheme="minorHAnsi" w:hAnsiTheme="minorHAnsi"/>
              </w:rPr>
            </w:pPr>
            <w:r>
              <w:rPr>
                <w:rFonts w:asciiTheme="minorHAnsi" w:hAnsiTheme="minorHAnsi"/>
                <w:i/>
              </w:rPr>
              <w:t>Number</w:t>
            </w:r>
            <w:r>
              <w:rPr>
                <w:rFonts w:asciiTheme="minorHAnsi" w:hAnsiTheme="minorHAnsi"/>
              </w:rPr>
              <w:t xml:space="preserve"> </w:t>
            </w:r>
            <w:r>
              <w:rPr>
                <w:rFonts w:asciiTheme="minorHAnsi" w:hAnsiTheme="minorHAnsi"/>
                <w:i/>
              </w:rPr>
              <w:t>of young people preparing simple business plans</w:t>
            </w:r>
          </w:p>
          <w:p w14:paraId="567BE065" w14:textId="77777777" w:rsidR="004B387B" w:rsidRDefault="004B387B">
            <w:pPr>
              <w:rPr>
                <w:rFonts w:asciiTheme="minorHAnsi" w:hAnsiTheme="minorHAnsi"/>
              </w:rPr>
            </w:pPr>
            <w:r>
              <w:rPr>
                <w:rFonts w:asciiTheme="minorHAnsi" w:hAnsiTheme="minorHAnsi"/>
              </w:rPr>
              <w:t>Baseline: 0 (2017)</w:t>
            </w:r>
          </w:p>
          <w:p w14:paraId="695C7002" w14:textId="77777777" w:rsidR="004B387B" w:rsidRDefault="004B387B">
            <w:pPr>
              <w:rPr>
                <w:rFonts w:asciiTheme="minorHAnsi" w:hAnsiTheme="minorHAnsi"/>
              </w:rPr>
            </w:pPr>
            <w:r>
              <w:rPr>
                <w:rFonts w:asciiTheme="minorHAnsi" w:hAnsiTheme="minorHAnsi"/>
              </w:rPr>
              <w:t>Target: 12,500 (2020)</w:t>
            </w:r>
          </w:p>
          <w:p w14:paraId="1A41FD75" w14:textId="77777777" w:rsidR="004B387B" w:rsidRDefault="004B387B">
            <w:pPr>
              <w:tabs>
                <w:tab w:val="left" w:pos="257"/>
              </w:tabs>
              <w:rPr>
                <w:rFonts w:asciiTheme="minorHAnsi" w:hAnsiTheme="minorHAnsi"/>
                <w:i/>
                <w:sz w:val="20"/>
                <w:szCs w:val="24"/>
              </w:rPr>
            </w:pPr>
          </w:p>
          <w:p w14:paraId="70A5273A" w14:textId="77777777" w:rsidR="004B387B" w:rsidRDefault="004B387B" w:rsidP="004B387B">
            <w:pPr>
              <w:pStyle w:val="ListParagraph"/>
              <w:numPr>
                <w:ilvl w:val="0"/>
                <w:numId w:val="15"/>
              </w:numPr>
              <w:tabs>
                <w:tab w:val="left" w:pos="257"/>
              </w:tabs>
              <w:ind w:left="0" w:firstLine="0"/>
              <w:rPr>
                <w:rFonts w:asciiTheme="minorHAnsi" w:hAnsiTheme="minorHAnsi"/>
                <w:i/>
                <w:sz w:val="20"/>
              </w:rPr>
            </w:pPr>
            <w:r>
              <w:rPr>
                <w:rFonts w:asciiTheme="minorHAnsi" w:hAnsiTheme="minorHAnsi"/>
                <w:b/>
                <w:i/>
              </w:rPr>
              <w:t>Strengthened MoA fiduciary and implementation capacity and engagement of civil society</w:t>
            </w:r>
          </w:p>
          <w:p w14:paraId="0ADEBEFB" w14:textId="77777777" w:rsidR="004B387B" w:rsidRDefault="004B387B" w:rsidP="004B387B">
            <w:pPr>
              <w:pStyle w:val="ListParagraph"/>
              <w:numPr>
                <w:ilvl w:val="0"/>
                <w:numId w:val="15"/>
              </w:numPr>
              <w:tabs>
                <w:tab w:val="left" w:pos="257"/>
              </w:tabs>
              <w:ind w:left="0" w:firstLine="0"/>
              <w:rPr>
                <w:rFonts w:asciiTheme="minorHAnsi" w:hAnsiTheme="minorHAnsi"/>
                <w:b/>
                <w:i/>
              </w:rPr>
            </w:pPr>
            <w:r>
              <w:rPr>
                <w:rFonts w:asciiTheme="minorHAnsi" w:hAnsiTheme="minorHAnsi"/>
                <w:b/>
                <w:i/>
              </w:rPr>
              <w:lastRenderedPageBreak/>
              <w:t>PASA and WAAPP Steering Committee membership includes CSO representatives, who participate in decisions on project implementation and in supervision missions</w:t>
            </w:r>
          </w:p>
          <w:p w14:paraId="1E514DAC" w14:textId="64FB050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Improved agricultural productivity</w:t>
            </w:r>
            <w:r w:rsidR="00736B5A">
              <w:rPr>
                <w:rFonts w:asciiTheme="minorHAnsi" w:hAnsiTheme="minorHAnsi"/>
                <w:i/>
              </w:rPr>
              <w:t xml:space="preserve"> and value added in key commodities</w:t>
            </w:r>
            <w:r>
              <w:rPr>
                <w:rFonts w:asciiTheme="minorHAnsi" w:hAnsiTheme="minorHAnsi"/>
                <w:i/>
              </w:rPr>
              <w:t>, as measured by:</w:t>
            </w:r>
          </w:p>
          <w:p w14:paraId="74C1B9AF" w14:textId="77777777" w:rsidR="004B387B" w:rsidRDefault="004B387B">
            <w:pPr>
              <w:rPr>
                <w:rFonts w:asciiTheme="minorHAnsi" w:hAnsiTheme="minorHAnsi"/>
              </w:rPr>
            </w:pPr>
            <w:r>
              <w:rPr>
                <w:rFonts w:asciiTheme="minorHAnsi" w:hAnsiTheme="minorHAnsi"/>
              </w:rPr>
              <w:t>a. Increase in soybeans processed (tons) from 0 (2017) to 3000 (2020)</w:t>
            </w:r>
          </w:p>
          <w:p w14:paraId="46FD5C92" w14:textId="77777777" w:rsidR="004B387B" w:rsidRDefault="004B387B">
            <w:pPr>
              <w:rPr>
                <w:rFonts w:asciiTheme="minorHAnsi" w:hAnsiTheme="minorHAnsi"/>
              </w:rPr>
            </w:pPr>
            <w:r>
              <w:rPr>
                <w:rFonts w:asciiTheme="minorHAnsi" w:hAnsiTheme="minorHAnsi"/>
              </w:rPr>
              <w:t>b. Increase in coffee output from 17,000 (2017) to 18,000 (2020)</w:t>
            </w:r>
          </w:p>
          <w:p w14:paraId="00D51965" w14:textId="77777777" w:rsidR="004B387B" w:rsidRDefault="004B387B">
            <w:pPr>
              <w:tabs>
                <w:tab w:val="left" w:pos="257"/>
              </w:tabs>
              <w:rPr>
                <w:rFonts w:asciiTheme="minorHAnsi" w:hAnsiTheme="minorHAnsi"/>
                <w:b/>
                <w:i/>
                <w:sz w:val="24"/>
                <w:szCs w:val="24"/>
              </w:rPr>
            </w:pPr>
            <w:r>
              <w:rPr>
                <w:rFonts w:asciiTheme="minorHAnsi" w:hAnsiTheme="minorHAnsi"/>
              </w:rPr>
              <w:t>c. Farm output subject to value addition increases from 18,100 (2017) to 25,000 (2020)</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3BEEB1" w14:textId="77777777" w:rsidR="004B387B" w:rsidRDefault="004B387B">
            <w:pPr>
              <w:rPr>
                <w:rFonts w:asciiTheme="minorHAnsi" w:hAnsiTheme="minorHAnsi"/>
                <w:b/>
                <w:i/>
              </w:rPr>
            </w:pPr>
            <w:r>
              <w:rPr>
                <w:rFonts w:asciiTheme="minorHAnsi" w:hAnsiTheme="minorHAnsi"/>
                <w:b/>
                <w:i/>
              </w:rPr>
              <w:lastRenderedPageBreak/>
              <w:t xml:space="preserve">Operations </w:t>
            </w:r>
          </w:p>
          <w:p w14:paraId="3840BC37" w14:textId="60ED97F1" w:rsidR="004B387B" w:rsidRDefault="004B387B">
            <w:pPr>
              <w:rPr>
                <w:rFonts w:asciiTheme="minorHAnsi" w:hAnsiTheme="minorHAnsi"/>
              </w:rPr>
            </w:pPr>
            <w:r>
              <w:rPr>
                <w:rFonts w:asciiTheme="minorHAnsi" w:hAnsiTheme="minorHAnsi"/>
                <w:b/>
              </w:rPr>
              <w:t xml:space="preserve">IDA: </w:t>
            </w:r>
            <w:r>
              <w:rPr>
                <w:rFonts w:asciiTheme="minorHAnsi" w:hAnsiTheme="minorHAnsi"/>
              </w:rPr>
              <w:t>Competitiveness and Skills (FY19); AF for West Africa Agricultural Productivity Program (WAAPP) Togo (FY17); AF for Agriculture Sector Support Project (PASA, FY17);</w:t>
            </w:r>
          </w:p>
          <w:p w14:paraId="26816D00" w14:textId="77777777" w:rsidR="004B387B" w:rsidRDefault="004B387B">
            <w:pPr>
              <w:rPr>
                <w:rFonts w:asciiTheme="minorHAnsi" w:hAnsiTheme="minorHAnsi"/>
              </w:rPr>
            </w:pPr>
            <w:r>
              <w:rPr>
                <w:rFonts w:asciiTheme="minorHAnsi" w:hAnsiTheme="minorHAnsi"/>
                <w:b/>
              </w:rPr>
              <w:t xml:space="preserve">IFC: </w:t>
            </w:r>
            <w:r>
              <w:rPr>
                <w:rFonts w:asciiTheme="minorHAnsi" w:hAnsiTheme="minorHAnsi"/>
              </w:rPr>
              <w:t>Risk Sharing Facility; Investments and advisory services to agribusiness and a value chain approach to strengthen competitiveness in the sector</w:t>
            </w:r>
          </w:p>
          <w:p w14:paraId="4E3F6115" w14:textId="77777777" w:rsidR="004B387B" w:rsidRDefault="004B387B">
            <w:pPr>
              <w:rPr>
                <w:rFonts w:asciiTheme="minorHAnsi" w:hAnsiTheme="minorHAnsi"/>
              </w:rPr>
            </w:pPr>
          </w:p>
          <w:p w14:paraId="707C326D" w14:textId="77777777" w:rsidR="004B387B" w:rsidRDefault="004B387B">
            <w:pPr>
              <w:rPr>
                <w:rFonts w:asciiTheme="minorHAnsi" w:hAnsiTheme="minorHAnsi"/>
                <w:b/>
                <w:i/>
              </w:rPr>
            </w:pPr>
            <w:r>
              <w:rPr>
                <w:rFonts w:asciiTheme="minorHAnsi" w:hAnsiTheme="minorHAnsi"/>
                <w:b/>
                <w:i/>
              </w:rPr>
              <w:t xml:space="preserve">Advisory Services and Analytics </w:t>
            </w:r>
          </w:p>
          <w:p w14:paraId="67A76A98" w14:textId="681AA7FF"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lastRenderedPageBreak/>
              <w:t>Doing Business (IFC and IDA)</w:t>
            </w:r>
            <w:r w:rsidR="00FB3992">
              <w:rPr>
                <w:rFonts w:asciiTheme="minorHAnsi" w:hAnsiTheme="minorHAnsi"/>
              </w:rPr>
              <w:t xml:space="preserve"> (on-going)</w:t>
            </w:r>
          </w:p>
          <w:p w14:paraId="1CB131BF" w14:textId="50EBEE66" w:rsidR="004B387B" w:rsidRDefault="004B387B" w:rsidP="004B387B">
            <w:pPr>
              <w:pStyle w:val="ListParagraph"/>
              <w:numPr>
                <w:ilvl w:val="0"/>
                <w:numId w:val="16"/>
              </w:numPr>
              <w:ind w:left="260" w:hanging="274"/>
              <w:rPr>
                <w:rFonts w:asciiTheme="minorHAnsi" w:hAnsiTheme="minorHAnsi"/>
                <w:b/>
                <w:color w:val="548DD4"/>
              </w:rPr>
            </w:pPr>
            <w:r>
              <w:rPr>
                <w:rFonts w:asciiTheme="minorHAnsi" w:hAnsiTheme="minorHAnsi"/>
                <w:b/>
              </w:rPr>
              <w:t>Tax reform study</w:t>
            </w:r>
            <w:r w:rsidR="003A50C8">
              <w:rPr>
                <w:rFonts w:asciiTheme="minorHAnsi" w:hAnsiTheme="minorHAnsi"/>
                <w:b/>
              </w:rPr>
              <w:t xml:space="preserve"> (FY17)</w:t>
            </w:r>
          </w:p>
          <w:p w14:paraId="54CE2EC6" w14:textId="15EAD0BF" w:rsidR="004B387B" w:rsidRDefault="004B387B" w:rsidP="004B387B">
            <w:pPr>
              <w:pStyle w:val="ListParagraph"/>
              <w:numPr>
                <w:ilvl w:val="0"/>
                <w:numId w:val="16"/>
              </w:numPr>
              <w:ind w:left="260" w:hanging="274"/>
              <w:rPr>
                <w:rFonts w:asciiTheme="minorHAnsi" w:hAnsiTheme="minorHAnsi"/>
                <w:b/>
                <w:color w:val="548DD4"/>
              </w:rPr>
            </w:pPr>
            <w:r>
              <w:rPr>
                <w:rFonts w:asciiTheme="minorHAnsi" w:hAnsiTheme="minorHAnsi"/>
                <w:b/>
              </w:rPr>
              <w:t>Land policy review (FY18)</w:t>
            </w:r>
          </w:p>
          <w:p w14:paraId="04E5393A" w14:textId="77777777"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Sources of growth and competitiveness</w:t>
            </w:r>
          </w:p>
          <w:p w14:paraId="68D10AA2" w14:textId="26530446" w:rsidR="004B387B" w:rsidRDefault="004B387B" w:rsidP="004B387B">
            <w:pPr>
              <w:pStyle w:val="ListParagraph"/>
              <w:numPr>
                <w:ilvl w:val="0"/>
                <w:numId w:val="16"/>
              </w:numPr>
              <w:ind w:left="260" w:hanging="274"/>
              <w:rPr>
                <w:rFonts w:asciiTheme="minorHAnsi" w:hAnsiTheme="minorHAnsi"/>
                <w:b/>
                <w:color w:val="548DD4"/>
              </w:rPr>
            </w:pPr>
            <w:r>
              <w:rPr>
                <w:rFonts w:asciiTheme="minorHAnsi" w:hAnsiTheme="minorHAnsi"/>
              </w:rPr>
              <w:t>Post-primary and vocational education study</w:t>
            </w:r>
            <w:r w:rsidR="003A50C8">
              <w:rPr>
                <w:rFonts w:asciiTheme="minorHAnsi" w:hAnsiTheme="minorHAnsi"/>
              </w:rPr>
              <w:t xml:space="preserve"> (FY17)</w:t>
            </w:r>
          </w:p>
          <w:p w14:paraId="3691DB45" w14:textId="59D7B46A"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TA support for PPP (PPIAF)</w:t>
            </w:r>
            <w:r w:rsidR="003A50C8">
              <w:rPr>
                <w:rFonts w:asciiTheme="minorHAnsi" w:hAnsiTheme="minorHAnsi"/>
              </w:rPr>
              <w:t xml:space="preserve"> (FY17)</w:t>
            </w:r>
          </w:p>
          <w:p w14:paraId="1495A78F" w14:textId="77777777" w:rsidR="004B387B" w:rsidRDefault="004B387B">
            <w:pPr>
              <w:rPr>
                <w:rFonts w:asciiTheme="minorHAnsi" w:hAnsiTheme="minorHAnsi"/>
                <w:color w:val="548DD4"/>
              </w:rPr>
            </w:pPr>
          </w:p>
          <w:p w14:paraId="4C49C2FC" w14:textId="77777777" w:rsidR="004B387B" w:rsidRDefault="004B387B">
            <w:pPr>
              <w:rPr>
                <w:rFonts w:asciiTheme="minorHAnsi" w:hAnsiTheme="minorHAnsi"/>
                <w:b/>
                <w:i/>
              </w:rPr>
            </w:pPr>
            <w:r>
              <w:rPr>
                <w:rFonts w:asciiTheme="minorHAnsi" w:hAnsiTheme="minorHAnsi"/>
                <w:b/>
                <w:i/>
              </w:rPr>
              <w:t>Partners</w:t>
            </w:r>
          </w:p>
          <w:p w14:paraId="44CA1391" w14:textId="77777777" w:rsidR="004B387B" w:rsidRDefault="004B387B">
            <w:pPr>
              <w:rPr>
                <w:rFonts w:asciiTheme="minorHAnsi" w:hAnsiTheme="minorHAnsi"/>
                <w:b/>
                <w:i/>
              </w:rPr>
            </w:pPr>
            <w:r>
              <w:rPr>
                <w:rFonts w:asciiTheme="minorHAnsi" w:hAnsiTheme="minorHAnsi"/>
              </w:rPr>
              <w:t>AfDB, EU, and JICA</w:t>
            </w:r>
          </w:p>
        </w:tc>
      </w:tr>
    </w:tbl>
    <w:p w14:paraId="759AE82D" w14:textId="77777777" w:rsidR="004B387B" w:rsidRDefault="004B387B" w:rsidP="004B387B">
      <w:pPr>
        <w:rPr>
          <w:rFonts w:ascii="Times New Roman" w:hAnsi="Times New Roman"/>
          <w:sz w:val="24"/>
          <w:szCs w:val="24"/>
        </w:rPr>
      </w:pPr>
    </w:p>
    <w:p w14:paraId="52CA0E31" w14:textId="77777777" w:rsidR="004B387B" w:rsidRDefault="004B387B" w:rsidP="004B387B">
      <w:r>
        <w:br w:type="page"/>
      </w:r>
    </w:p>
    <w:tbl>
      <w:tblPr>
        <w:tblStyle w:val="TableGrid4"/>
        <w:tblW w:w="12955" w:type="dxa"/>
        <w:tblLook w:val="04A0" w:firstRow="1" w:lastRow="0" w:firstColumn="1" w:lastColumn="0" w:noHBand="0" w:noVBand="1"/>
      </w:tblPr>
      <w:tblGrid>
        <w:gridCol w:w="2538"/>
        <w:gridCol w:w="3690"/>
        <w:gridCol w:w="4117"/>
        <w:gridCol w:w="2610"/>
      </w:tblGrid>
      <w:tr w:rsidR="004B387B" w14:paraId="118DDB4D" w14:textId="77777777" w:rsidTr="004B387B">
        <w:tc>
          <w:tcPr>
            <w:tcW w:w="12955" w:type="dxa"/>
            <w:gridSpan w:val="4"/>
            <w:tcBorders>
              <w:top w:val="single" w:sz="4" w:space="0" w:color="auto"/>
              <w:left w:val="single" w:sz="4" w:space="0" w:color="auto"/>
              <w:bottom w:val="single" w:sz="4" w:space="0" w:color="auto"/>
              <w:right w:val="single" w:sz="4" w:space="0" w:color="auto"/>
            </w:tcBorders>
            <w:shd w:val="clear" w:color="auto" w:fill="F4EBDE" w:themeFill="accent5" w:themeFillTint="33"/>
            <w:hideMark/>
          </w:tcPr>
          <w:p w14:paraId="2C8F53C8" w14:textId="3600A77D" w:rsidR="004B387B" w:rsidRDefault="004B387B" w:rsidP="00C97360">
            <w:pPr>
              <w:rPr>
                <w:rFonts w:asciiTheme="minorHAnsi" w:hAnsiTheme="minorHAnsi"/>
              </w:rPr>
            </w:pPr>
            <w:r>
              <w:rPr>
                <w:rFonts w:asciiTheme="minorHAnsi" w:hAnsiTheme="minorHAnsi"/>
                <w:b/>
              </w:rPr>
              <w:lastRenderedPageBreak/>
              <w:t>Objective 1.3: Strengthen</w:t>
            </w:r>
            <w:r w:rsidR="00022743">
              <w:rPr>
                <w:rFonts w:asciiTheme="minorHAnsi" w:hAnsiTheme="minorHAnsi"/>
                <w:b/>
              </w:rPr>
              <w:t xml:space="preserve"> Energy, ICT and Logistics Service </w:t>
            </w:r>
          </w:p>
        </w:tc>
      </w:tr>
      <w:tr w:rsidR="004B387B" w14:paraId="7F69115D" w14:textId="77777777" w:rsidTr="004B387B">
        <w:tc>
          <w:tcPr>
            <w:tcW w:w="12955" w:type="dxa"/>
            <w:gridSpan w:val="4"/>
            <w:tcBorders>
              <w:top w:val="single" w:sz="4" w:space="0" w:color="auto"/>
              <w:left w:val="single" w:sz="4" w:space="0" w:color="auto"/>
              <w:bottom w:val="single" w:sz="4" w:space="0" w:color="auto"/>
              <w:right w:val="single" w:sz="4" w:space="0" w:color="auto"/>
            </w:tcBorders>
            <w:hideMark/>
          </w:tcPr>
          <w:p w14:paraId="0A22E2EE" w14:textId="77777777" w:rsidR="004B387B" w:rsidRDefault="004B387B">
            <w:pPr>
              <w:jc w:val="both"/>
              <w:rPr>
                <w:rFonts w:asciiTheme="minorHAnsi" w:hAnsiTheme="minorHAnsi"/>
              </w:rPr>
            </w:pPr>
            <w:r>
              <w:rPr>
                <w:rFonts w:asciiTheme="minorHAnsi" w:hAnsiTheme="minorHAnsi"/>
                <w:b/>
              </w:rPr>
              <w:t xml:space="preserve">Intervention Logic: </w:t>
            </w:r>
            <w:r>
              <w:rPr>
                <w:rFonts w:asciiTheme="minorHAnsi" w:hAnsiTheme="minorHAnsi"/>
              </w:rPr>
              <w:t xml:space="preserve">Low effectiveness in the allocation of public investments and in governing infrastructure sectors has adversely affected the quality of Togo’s infrastructure services. In particular, the poor quality and high price of electricity and information and communication technology (ICT) services constrain competitiveness and inclusive growth. While national and rural road infrastructure is adequate and Togo’s transport sector is competitive within the region, continual improvement in logistics efficiency will be important to reinforce the country’s competitive advantage as a transport hub for the region. </w:t>
            </w:r>
          </w:p>
          <w:p w14:paraId="776882A6" w14:textId="52FD5C8F" w:rsidR="004B387B" w:rsidRDefault="004B387B">
            <w:pPr>
              <w:ind w:firstLine="335"/>
              <w:jc w:val="both"/>
              <w:rPr>
                <w:rFonts w:asciiTheme="minorHAnsi" w:hAnsiTheme="minorHAnsi"/>
              </w:rPr>
            </w:pPr>
            <w:r>
              <w:rPr>
                <w:rFonts w:asciiTheme="minorHAnsi" w:hAnsiTheme="minorHAnsi"/>
              </w:rPr>
              <w:t xml:space="preserve">The CPF will support the government’s priorities of resolving the governance and financial crisis in Togo’s electricity sector, upgrading the distribution network, and expanding access to electricity through an IDA investment operation. </w:t>
            </w:r>
            <w:r>
              <w:rPr>
                <w:rFonts w:asciiTheme="minorHAnsi" w:hAnsiTheme="minorHAnsi"/>
                <w:color w:val="000000"/>
              </w:rPr>
              <w:t xml:space="preserve">A joint </w:t>
            </w:r>
            <w:r w:rsidR="00090FE6">
              <w:rPr>
                <w:rFonts w:asciiTheme="minorHAnsi" w:hAnsiTheme="minorHAnsi"/>
                <w:color w:val="000000"/>
              </w:rPr>
              <w:t xml:space="preserve">World </w:t>
            </w:r>
            <w:r>
              <w:rPr>
                <w:rFonts w:asciiTheme="minorHAnsi" w:hAnsiTheme="minorHAnsi"/>
              </w:rPr>
              <w:t>Bank-IFC-MIGA operation is also under consideration, which would include TA to prepare the development of new electricity generation facilities. In the ICT sector, the ongoing regional operation would be restructured to complete the construction of a carrier hotel with access to the international underwater cable, accompany the restructuring of state operators, and strengthen the regulator. An IDA operation on transport and logistics facilitation will work to strengthen the quality of trade logistics and trucking services, increasing efficiency and reducing costs.</w:t>
            </w:r>
          </w:p>
        </w:tc>
      </w:tr>
      <w:tr w:rsidR="004B387B" w14:paraId="5463C9D3" w14:textId="77777777" w:rsidTr="004B387B">
        <w:trPr>
          <w:trHeight w:hRule="exact" w:val="550"/>
        </w:trPr>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14:paraId="7CCC0EBF" w14:textId="77777777" w:rsidR="004B387B" w:rsidRDefault="004B387B">
            <w:pPr>
              <w:jc w:val="center"/>
              <w:rPr>
                <w:rFonts w:asciiTheme="minorHAnsi" w:hAnsiTheme="minorHAnsi"/>
                <w:b/>
                <w:color w:val="548DD4"/>
              </w:rPr>
            </w:pPr>
            <w:r>
              <w:rPr>
                <w:rFonts w:asciiTheme="minorHAnsi" w:hAnsiTheme="minorHAnsi"/>
                <w:b/>
                <w:color w:val="548DD4"/>
              </w:rPr>
              <w:t>Country Development Goals</w:t>
            </w:r>
          </w:p>
          <w:p w14:paraId="3B5EC03B" w14:textId="77777777" w:rsidR="004B387B" w:rsidRDefault="004B387B">
            <w:pPr>
              <w:jc w:val="center"/>
              <w:rPr>
                <w:rFonts w:asciiTheme="minorHAnsi" w:hAnsiTheme="minorHAnsi"/>
                <w:b/>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D01613D" w14:textId="77777777" w:rsidR="004B387B" w:rsidRDefault="004B387B">
            <w:pPr>
              <w:jc w:val="center"/>
              <w:rPr>
                <w:rFonts w:asciiTheme="minorHAnsi" w:hAnsiTheme="minorHAnsi"/>
                <w:b/>
                <w:color w:val="548DD4"/>
              </w:rPr>
            </w:pPr>
            <w:r>
              <w:rPr>
                <w:rFonts w:asciiTheme="minorHAnsi" w:hAnsiTheme="minorHAnsi"/>
                <w:b/>
                <w:color w:val="548DD4"/>
              </w:rPr>
              <w:t>CPF Objective Indicators</w:t>
            </w:r>
          </w:p>
          <w:p w14:paraId="78FC37C6" w14:textId="77777777" w:rsidR="004B387B" w:rsidRDefault="004B387B">
            <w:pPr>
              <w:jc w:val="center"/>
              <w:rPr>
                <w:rFonts w:asciiTheme="minorHAnsi" w:hAnsiTheme="minorHAnsi"/>
                <w:b/>
              </w:rPr>
            </w:pPr>
          </w:p>
        </w:tc>
        <w:tc>
          <w:tcPr>
            <w:tcW w:w="41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4A63B" w14:textId="77777777" w:rsidR="004B387B" w:rsidRDefault="004B387B">
            <w:pPr>
              <w:jc w:val="center"/>
              <w:rPr>
                <w:rFonts w:asciiTheme="minorHAnsi" w:hAnsiTheme="minorHAnsi"/>
                <w:b/>
                <w:color w:val="548DD4"/>
              </w:rPr>
            </w:pPr>
            <w:r>
              <w:rPr>
                <w:rFonts w:asciiTheme="minorHAnsi" w:hAnsiTheme="minorHAnsi"/>
                <w:b/>
                <w:color w:val="548DD4"/>
              </w:rPr>
              <w:t>Supplementary Progress Indicators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A16A7" w14:textId="77777777" w:rsidR="004B387B" w:rsidRDefault="004B387B">
            <w:pPr>
              <w:jc w:val="center"/>
              <w:rPr>
                <w:rFonts w:asciiTheme="minorHAnsi" w:hAnsiTheme="minorHAnsi"/>
                <w:b/>
                <w:color w:val="548DD4"/>
              </w:rPr>
            </w:pPr>
            <w:r>
              <w:rPr>
                <w:rFonts w:asciiTheme="minorHAnsi" w:hAnsiTheme="minorHAnsi"/>
                <w:b/>
                <w:color w:val="548DD4"/>
              </w:rPr>
              <w:t>WBG Program</w:t>
            </w:r>
          </w:p>
        </w:tc>
      </w:tr>
      <w:tr w:rsidR="004B387B" w:rsidRPr="000970E2" w14:paraId="4365600E" w14:textId="77777777" w:rsidTr="004B387B">
        <w:trPr>
          <w:trHeight w:val="413"/>
        </w:trPr>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14:paraId="13429698" w14:textId="77777777" w:rsidR="004B387B" w:rsidRDefault="004B387B">
            <w:pPr>
              <w:rPr>
                <w:rFonts w:asciiTheme="minorHAnsi" w:hAnsiTheme="minorHAnsi"/>
                <w:b/>
              </w:rPr>
            </w:pPr>
            <w:r>
              <w:rPr>
                <w:rFonts w:asciiTheme="minorHAnsi" w:hAnsiTheme="minorHAnsi"/>
                <w:b/>
              </w:rPr>
              <w:t>PND Pillar 3</w:t>
            </w:r>
          </w:p>
          <w:p w14:paraId="7C98111E" w14:textId="77777777" w:rsidR="004B387B" w:rsidRDefault="004B387B">
            <w:pPr>
              <w:rPr>
                <w:rFonts w:asciiTheme="minorHAnsi" w:hAnsiTheme="minorHAnsi"/>
                <w:sz w:val="20"/>
              </w:rPr>
            </w:pPr>
            <w:r>
              <w:rPr>
                <w:rFonts w:asciiTheme="minorHAnsi" w:hAnsiTheme="minorHAnsi"/>
              </w:rPr>
              <w:t>Strengthening infrastructure to support growth</w:t>
            </w:r>
          </w:p>
          <w:p w14:paraId="70D5AC2C" w14:textId="77777777" w:rsidR="004B387B" w:rsidRDefault="004B387B">
            <w:pPr>
              <w:rPr>
                <w:rFonts w:asciiTheme="minorHAnsi" w:hAnsiTheme="minorHAnsi"/>
              </w:rPr>
            </w:pPr>
          </w:p>
          <w:p w14:paraId="503B12FD" w14:textId="77777777" w:rsidR="004B387B" w:rsidRDefault="004B387B">
            <w:pPr>
              <w:rPr>
                <w:rFonts w:asciiTheme="minorHAnsi" w:hAnsiTheme="minorHAnsi"/>
              </w:rPr>
            </w:pPr>
            <w:r>
              <w:rPr>
                <w:rFonts w:asciiTheme="minorHAnsi" w:hAnsiTheme="minorHAnsi"/>
                <w:b/>
              </w:rPr>
              <w:t>SDG 7</w:t>
            </w:r>
            <w:r>
              <w:rPr>
                <w:rFonts w:asciiTheme="minorHAnsi" w:hAnsiTheme="minorHAnsi"/>
              </w:rPr>
              <w:t xml:space="preserve"> </w:t>
            </w:r>
          </w:p>
          <w:p w14:paraId="05544942" w14:textId="77777777" w:rsidR="004B387B" w:rsidRDefault="004B387B">
            <w:pPr>
              <w:rPr>
                <w:rFonts w:asciiTheme="minorHAnsi" w:hAnsiTheme="minorHAnsi"/>
              </w:rPr>
            </w:pPr>
            <w:r>
              <w:rPr>
                <w:rFonts w:asciiTheme="minorHAnsi" w:hAnsiTheme="minorHAnsi"/>
              </w:rPr>
              <w:t>Renewable Energy</w:t>
            </w:r>
          </w:p>
          <w:p w14:paraId="0D8B182F" w14:textId="77777777" w:rsidR="004B387B" w:rsidRDefault="004B387B">
            <w:pPr>
              <w:rPr>
                <w:rFonts w:asciiTheme="minorHAnsi" w:hAnsiTheme="minorHAnsi"/>
              </w:rPr>
            </w:pPr>
          </w:p>
          <w:p w14:paraId="2C2B8730" w14:textId="77777777" w:rsidR="004B387B" w:rsidRDefault="004B387B">
            <w:pPr>
              <w:rPr>
                <w:rFonts w:asciiTheme="minorHAnsi" w:hAnsiTheme="minorHAnsi"/>
                <w:b/>
              </w:rPr>
            </w:pPr>
            <w:r>
              <w:rPr>
                <w:rFonts w:asciiTheme="minorHAnsi" w:hAnsiTheme="minorHAnsi"/>
                <w:b/>
              </w:rPr>
              <w:t>SDG 9</w:t>
            </w:r>
          </w:p>
          <w:p w14:paraId="1CEDF430" w14:textId="77777777" w:rsidR="004B387B" w:rsidRDefault="004B387B">
            <w:pPr>
              <w:rPr>
                <w:rFonts w:asciiTheme="minorHAnsi" w:hAnsiTheme="minorHAnsi"/>
              </w:rPr>
            </w:pPr>
            <w:r>
              <w:rPr>
                <w:rFonts w:asciiTheme="minorHAnsi" w:hAnsiTheme="minorHAnsi"/>
              </w:rPr>
              <w:t>Industry, Innovation, and Infrastructure</w:t>
            </w:r>
          </w:p>
          <w:p w14:paraId="6FBD8E4E" w14:textId="77777777" w:rsidR="004B387B" w:rsidRDefault="004B387B">
            <w:pPr>
              <w:rPr>
                <w:rFonts w:asciiTheme="minorHAnsi" w:hAnsiTheme="minorHAnsi"/>
              </w:rPr>
            </w:pPr>
          </w:p>
          <w:p w14:paraId="5609415E" w14:textId="77777777" w:rsidR="004B387B" w:rsidRDefault="004B387B">
            <w:pPr>
              <w:rPr>
                <w:rFonts w:asciiTheme="minorHAnsi" w:hAnsiTheme="minorHAnsi"/>
                <w:b/>
              </w:rPr>
            </w:pPr>
            <w:r>
              <w:rPr>
                <w:rFonts w:asciiTheme="minorHAnsi" w:hAnsiTheme="minorHAnsi"/>
              </w:rPr>
              <w:t xml:space="preserve">Complementary steps to </w:t>
            </w:r>
            <w:r>
              <w:rPr>
                <w:rFonts w:asciiTheme="minorHAnsi" w:hAnsiTheme="minorHAnsi"/>
                <w:b/>
              </w:rPr>
              <w:t>SCD Pathway 1</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C1D96E1" w14:textId="656D44A1" w:rsidR="004B387B" w:rsidRDefault="004B387B">
            <w:pPr>
              <w:rPr>
                <w:rFonts w:asciiTheme="minorHAnsi" w:hAnsiTheme="minorHAnsi"/>
                <w:i/>
              </w:rPr>
            </w:pPr>
            <w:r>
              <w:rPr>
                <w:rFonts w:asciiTheme="minorHAnsi" w:hAnsiTheme="minorHAnsi"/>
                <w:i/>
              </w:rPr>
              <w:t>1.</w:t>
            </w:r>
            <w:r w:rsidR="006850A5">
              <w:rPr>
                <w:rFonts w:asciiTheme="minorHAnsi" w:hAnsiTheme="minorHAnsi"/>
                <w:i/>
              </w:rPr>
              <w:t>3</w:t>
            </w:r>
            <w:r>
              <w:rPr>
                <w:rFonts w:asciiTheme="minorHAnsi" w:hAnsiTheme="minorHAnsi"/>
                <w:i/>
              </w:rPr>
              <w:t>.1 Expanded and improved electricity services</w:t>
            </w:r>
            <w:r w:rsidR="008D727F">
              <w:rPr>
                <w:rFonts w:asciiTheme="minorHAnsi" w:hAnsiTheme="minorHAnsi"/>
                <w:i/>
              </w:rPr>
              <w:t xml:space="preserve"> in Lomé</w:t>
            </w:r>
            <w:r>
              <w:rPr>
                <w:rFonts w:asciiTheme="minorHAnsi" w:hAnsiTheme="minorHAnsi"/>
                <w:i/>
              </w:rPr>
              <w:t>, as measured by:</w:t>
            </w:r>
          </w:p>
          <w:p w14:paraId="56320683" w14:textId="768F243E" w:rsidR="004B387B" w:rsidRDefault="004B387B">
            <w:pPr>
              <w:rPr>
                <w:rFonts w:asciiTheme="minorHAnsi" w:hAnsiTheme="minorHAnsi"/>
                <w:i/>
              </w:rPr>
            </w:pPr>
            <w:r>
              <w:rPr>
                <w:rFonts w:asciiTheme="minorHAnsi" w:hAnsiTheme="minorHAnsi"/>
              </w:rPr>
              <w:t>a. Increased number of people provided with new</w:t>
            </w:r>
            <w:r>
              <w:rPr>
                <w:rFonts w:asciiTheme="minorHAnsi" w:hAnsiTheme="minorHAnsi"/>
                <w:i/>
              </w:rPr>
              <w:t xml:space="preserve"> or improved electricity service</w:t>
            </w:r>
            <w:r w:rsidR="008D727F">
              <w:rPr>
                <w:rFonts w:asciiTheme="minorHAnsi" w:hAnsiTheme="minorHAnsi"/>
                <w:i/>
              </w:rPr>
              <w:t>s</w:t>
            </w:r>
          </w:p>
          <w:p w14:paraId="5830A216" w14:textId="52262DE4" w:rsidR="004B387B" w:rsidRDefault="004B387B">
            <w:pPr>
              <w:rPr>
                <w:rFonts w:asciiTheme="minorHAnsi" w:hAnsiTheme="minorHAnsi"/>
              </w:rPr>
            </w:pPr>
            <w:r>
              <w:rPr>
                <w:rFonts w:asciiTheme="minorHAnsi" w:hAnsiTheme="minorHAnsi"/>
              </w:rPr>
              <w:t xml:space="preserve">Baseline: </w:t>
            </w:r>
            <w:r w:rsidR="008D727F">
              <w:rPr>
                <w:rFonts w:asciiTheme="minorHAnsi" w:hAnsiTheme="minorHAnsi"/>
              </w:rPr>
              <w:t>392,000 (22% of Lomé)</w:t>
            </w:r>
            <w:r>
              <w:rPr>
                <w:rFonts w:asciiTheme="minorHAnsi" w:hAnsiTheme="minorHAnsi"/>
              </w:rPr>
              <w:t xml:space="preserve"> (2018)</w:t>
            </w:r>
          </w:p>
          <w:p w14:paraId="5CC6FF4E" w14:textId="1FD5BB2D" w:rsidR="004B387B" w:rsidRDefault="004B387B">
            <w:pPr>
              <w:rPr>
                <w:rFonts w:asciiTheme="minorHAnsi" w:hAnsiTheme="minorHAnsi"/>
              </w:rPr>
            </w:pPr>
            <w:r>
              <w:rPr>
                <w:rFonts w:asciiTheme="minorHAnsi" w:hAnsiTheme="minorHAnsi"/>
              </w:rPr>
              <w:t xml:space="preserve">Target: </w:t>
            </w:r>
            <w:r w:rsidR="008D727F">
              <w:rPr>
                <w:rFonts w:asciiTheme="minorHAnsi" w:hAnsiTheme="minorHAnsi"/>
              </w:rPr>
              <w:t>432,000 (25%</w:t>
            </w:r>
            <w:r>
              <w:rPr>
                <w:rFonts w:asciiTheme="minorHAnsi" w:hAnsiTheme="minorHAnsi"/>
              </w:rPr>
              <w:t xml:space="preserve"> </w:t>
            </w:r>
            <w:r w:rsidR="008D727F">
              <w:rPr>
                <w:rFonts w:asciiTheme="minorHAnsi" w:hAnsiTheme="minorHAnsi"/>
              </w:rPr>
              <w:t xml:space="preserve">of Lomé) </w:t>
            </w:r>
            <w:r>
              <w:rPr>
                <w:rFonts w:asciiTheme="minorHAnsi" w:hAnsiTheme="minorHAnsi"/>
              </w:rPr>
              <w:t>(2020)</w:t>
            </w:r>
          </w:p>
          <w:p w14:paraId="593D40F4" w14:textId="77777777" w:rsidR="004B387B" w:rsidRDefault="004B387B">
            <w:pPr>
              <w:rPr>
                <w:rFonts w:ascii="Times New Roman" w:hAnsi="Times New Roman"/>
                <w:sz w:val="24"/>
                <w:szCs w:val="24"/>
              </w:rPr>
            </w:pPr>
            <w:r>
              <w:rPr>
                <w:rFonts w:asciiTheme="minorHAnsi" w:hAnsiTheme="minorHAnsi"/>
              </w:rPr>
              <w:t xml:space="preserve">b. </w:t>
            </w:r>
            <w:r>
              <w:t>A</w:t>
            </w:r>
            <w:r>
              <w:rPr>
                <w:iCs/>
              </w:rPr>
              <w:t>dditional power produced as a direct result of IFC support, measured by the additional energy capacity expected to be produced (MWh/year)</w:t>
            </w:r>
          </w:p>
          <w:p w14:paraId="1DF1C6E1" w14:textId="0B4EDEE4" w:rsidR="004B387B" w:rsidRDefault="004B387B">
            <w:r>
              <w:t xml:space="preserve">Baseline: </w:t>
            </w:r>
            <w:r w:rsidR="00477E8E">
              <w:t>2</w:t>
            </w:r>
            <w:r>
              <w:t>0</w:t>
            </w:r>
            <w:r w:rsidR="00477E8E">
              <w:t>5</w:t>
            </w:r>
            <w:r>
              <w:t xml:space="preserve"> (2016)</w:t>
            </w:r>
          </w:p>
          <w:p w14:paraId="5F677157" w14:textId="657A658B" w:rsidR="004B387B" w:rsidRDefault="004B387B">
            <w:r>
              <w:t xml:space="preserve">Target: </w:t>
            </w:r>
            <w:r w:rsidR="00477E8E">
              <w:t>2</w:t>
            </w:r>
            <w:r>
              <w:t>5</w:t>
            </w:r>
            <w:r w:rsidR="00477E8E">
              <w:t>5</w:t>
            </w:r>
            <w:r>
              <w:t xml:space="preserve"> (2021)</w:t>
            </w:r>
          </w:p>
          <w:p w14:paraId="1E73FB03" w14:textId="77777777" w:rsidR="004B387B" w:rsidRDefault="004B387B">
            <w:pPr>
              <w:rPr>
                <w:rFonts w:asciiTheme="minorHAnsi" w:hAnsiTheme="minorHAnsi"/>
              </w:rPr>
            </w:pPr>
          </w:p>
          <w:p w14:paraId="627164D9" w14:textId="77777777" w:rsidR="004B387B" w:rsidRDefault="004B387B">
            <w:pPr>
              <w:rPr>
                <w:rFonts w:asciiTheme="minorHAnsi" w:hAnsiTheme="minorHAnsi"/>
              </w:rPr>
            </w:pPr>
          </w:p>
          <w:p w14:paraId="3336D2F7" w14:textId="77777777" w:rsidR="004B387B" w:rsidRDefault="004B387B">
            <w:pPr>
              <w:rPr>
                <w:rFonts w:asciiTheme="minorHAnsi" w:hAnsiTheme="minorHAnsi"/>
              </w:rPr>
            </w:pPr>
          </w:p>
          <w:p w14:paraId="59482A6A" w14:textId="77777777" w:rsidR="004B387B" w:rsidRDefault="004B387B">
            <w:pPr>
              <w:rPr>
                <w:rFonts w:asciiTheme="minorHAnsi" w:hAnsiTheme="minorHAnsi"/>
              </w:rPr>
            </w:pPr>
          </w:p>
          <w:p w14:paraId="7EB99397" w14:textId="77777777" w:rsidR="00736B5A" w:rsidRDefault="00736B5A">
            <w:pPr>
              <w:rPr>
                <w:rFonts w:asciiTheme="minorHAnsi" w:hAnsiTheme="minorHAnsi"/>
              </w:rPr>
            </w:pPr>
          </w:p>
          <w:p w14:paraId="409018CC" w14:textId="2BEED478" w:rsidR="004B387B" w:rsidRDefault="004B387B">
            <w:pPr>
              <w:rPr>
                <w:rFonts w:asciiTheme="minorHAnsi" w:hAnsiTheme="minorHAnsi"/>
              </w:rPr>
            </w:pPr>
            <w:r>
              <w:rPr>
                <w:rFonts w:asciiTheme="minorHAnsi" w:hAnsiTheme="minorHAnsi"/>
                <w:i/>
              </w:rPr>
              <w:lastRenderedPageBreak/>
              <w:t>1.</w:t>
            </w:r>
            <w:r w:rsidR="006850A5">
              <w:rPr>
                <w:rFonts w:asciiTheme="minorHAnsi" w:hAnsiTheme="minorHAnsi"/>
                <w:i/>
              </w:rPr>
              <w:t>3</w:t>
            </w:r>
            <w:r>
              <w:rPr>
                <w:rFonts w:asciiTheme="minorHAnsi" w:hAnsiTheme="minorHAnsi"/>
                <w:i/>
              </w:rPr>
              <w:t>.2 Reduced telecommunications services costs, as measured by</w:t>
            </w:r>
            <w:r w:rsidR="00D44575">
              <w:rPr>
                <w:rFonts w:asciiTheme="minorHAnsi" w:hAnsiTheme="minorHAnsi"/>
                <w:i/>
              </w:rPr>
              <w:t>:</w:t>
            </w:r>
            <w:r>
              <w:rPr>
                <w:rFonts w:asciiTheme="minorHAnsi" w:hAnsiTheme="minorHAnsi"/>
                <w:i/>
              </w:rPr>
              <w:t xml:space="preserve"> the International </w:t>
            </w:r>
            <w:r w:rsidR="00D44575">
              <w:rPr>
                <w:rFonts w:asciiTheme="minorHAnsi" w:hAnsiTheme="minorHAnsi"/>
                <w:i/>
              </w:rPr>
              <w:t>wholesale c</w:t>
            </w:r>
            <w:r>
              <w:rPr>
                <w:rFonts w:asciiTheme="minorHAnsi" w:hAnsiTheme="minorHAnsi"/>
                <w:i/>
              </w:rPr>
              <w:t xml:space="preserve">apacity </w:t>
            </w:r>
            <w:r w:rsidR="00D44575">
              <w:rPr>
                <w:rFonts w:asciiTheme="minorHAnsi" w:hAnsiTheme="minorHAnsi"/>
                <w:i/>
              </w:rPr>
              <w:t>b</w:t>
            </w:r>
            <w:r>
              <w:rPr>
                <w:rFonts w:asciiTheme="minorHAnsi" w:hAnsiTheme="minorHAnsi"/>
                <w:i/>
              </w:rPr>
              <w:t xml:space="preserve">andwidth </w:t>
            </w:r>
            <w:r w:rsidR="00D44575">
              <w:rPr>
                <w:rFonts w:asciiTheme="minorHAnsi" w:hAnsiTheme="minorHAnsi"/>
                <w:i/>
              </w:rPr>
              <w:t>p</w:t>
            </w:r>
            <w:r>
              <w:rPr>
                <w:rFonts w:asciiTheme="minorHAnsi" w:hAnsiTheme="minorHAnsi"/>
                <w:i/>
              </w:rPr>
              <w:t xml:space="preserve">rice </w:t>
            </w:r>
            <w:r w:rsidR="00D44575">
              <w:rPr>
                <w:rFonts w:asciiTheme="minorHAnsi" w:hAnsiTheme="minorHAnsi"/>
                <w:i/>
              </w:rPr>
              <w:t xml:space="preserve">in </w:t>
            </w:r>
            <w:r>
              <w:rPr>
                <w:rFonts w:asciiTheme="minorHAnsi" w:hAnsiTheme="minorHAnsi"/>
                <w:i/>
              </w:rPr>
              <w:t>euro/Mbps/month</w:t>
            </w:r>
          </w:p>
          <w:p w14:paraId="73142059" w14:textId="213EB901" w:rsidR="004B387B" w:rsidRDefault="004B387B">
            <w:pPr>
              <w:rPr>
                <w:rFonts w:asciiTheme="minorHAnsi" w:hAnsiTheme="minorHAnsi"/>
              </w:rPr>
            </w:pPr>
            <w:r>
              <w:rPr>
                <w:rFonts w:asciiTheme="minorHAnsi" w:hAnsiTheme="minorHAnsi"/>
              </w:rPr>
              <w:t>Baseline: 1</w:t>
            </w:r>
            <w:r w:rsidR="00D44575">
              <w:rPr>
                <w:rFonts w:asciiTheme="minorHAnsi" w:hAnsiTheme="minorHAnsi"/>
              </w:rPr>
              <w:t>13</w:t>
            </w:r>
            <w:r>
              <w:rPr>
                <w:rFonts w:asciiTheme="minorHAnsi" w:hAnsiTheme="minorHAnsi"/>
              </w:rPr>
              <w:t xml:space="preserve"> (2016)</w:t>
            </w:r>
          </w:p>
          <w:p w14:paraId="6629F928" w14:textId="7E4C2371" w:rsidR="004B387B" w:rsidRDefault="004B387B">
            <w:pPr>
              <w:rPr>
                <w:rFonts w:asciiTheme="minorHAnsi" w:hAnsiTheme="minorHAnsi"/>
              </w:rPr>
            </w:pPr>
            <w:r>
              <w:rPr>
                <w:rFonts w:asciiTheme="minorHAnsi" w:hAnsiTheme="minorHAnsi"/>
              </w:rPr>
              <w:t xml:space="preserve">Target: </w:t>
            </w:r>
            <w:r w:rsidR="00D44575">
              <w:rPr>
                <w:rFonts w:asciiTheme="minorHAnsi" w:hAnsiTheme="minorHAnsi"/>
              </w:rPr>
              <w:t>5</w:t>
            </w:r>
            <w:r>
              <w:rPr>
                <w:rFonts w:asciiTheme="minorHAnsi" w:hAnsiTheme="minorHAnsi"/>
              </w:rPr>
              <w:t>0 (2020)</w:t>
            </w:r>
          </w:p>
          <w:p w14:paraId="73485310" w14:textId="77777777" w:rsidR="004B387B" w:rsidRDefault="004B387B">
            <w:pPr>
              <w:rPr>
                <w:rFonts w:asciiTheme="minorHAnsi" w:hAnsiTheme="minorHAnsi"/>
              </w:rPr>
            </w:pPr>
          </w:p>
          <w:p w14:paraId="192BF099" w14:textId="0459BC5D" w:rsidR="006B0487" w:rsidRDefault="004B387B">
            <w:pPr>
              <w:rPr>
                <w:rFonts w:asciiTheme="minorHAnsi" w:hAnsiTheme="minorHAnsi"/>
                <w:i/>
              </w:rPr>
            </w:pPr>
            <w:r>
              <w:rPr>
                <w:rFonts w:asciiTheme="minorHAnsi" w:hAnsiTheme="minorHAnsi"/>
                <w:i/>
              </w:rPr>
              <w:t>1.</w:t>
            </w:r>
            <w:r w:rsidR="006850A5">
              <w:rPr>
                <w:rFonts w:asciiTheme="minorHAnsi" w:hAnsiTheme="minorHAnsi"/>
                <w:i/>
              </w:rPr>
              <w:t>3</w:t>
            </w:r>
            <w:r>
              <w:rPr>
                <w:rFonts w:asciiTheme="minorHAnsi" w:hAnsiTheme="minorHAnsi"/>
                <w:i/>
              </w:rPr>
              <w:t xml:space="preserve">.3 Improved transport efficiency, as measured </w:t>
            </w:r>
            <w:r w:rsidR="006B0487">
              <w:rPr>
                <w:rFonts w:asciiTheme="minorHAnsi" w:hAnsiTheme="minorHAnsi"/>
                <w:i/>
              </w:rPr>
              <w:t>by</w:t>
            </w:r>
            <w:r w:rsidR="00D44575">
              <w:rPr>
                <w:rFonts w:asciiTheme="minorHAnsi" w:hAnsiTheme="minorHAnsi"/>
                <w:i/>
              </w:rPr>
              <w:t>:</w:t>
            </w:r>
          </w:p>
          <w:p w14:paraId="38A77D5B" w14:textId="742D1FE6" w:rsidR="004B387B" w:rsidRDefault="006B0487">
            <w:pPr>
              <w:rPr>
                <w:rFonts w:asciiTheme="minorHAnsi" w:hAnsiTheme="minorHAnsi"/>
                <w:i/>
              </w:rPr>
            </w:pPr>
            <w:r>
              <w:rPr>
                <w:rFonts w:asciiTheme="minorHAnsi" w:hAnsiTheme="minorHAnsi"/>
                <w:i/>
              </w:rPr>
              <w:t>a. M</w:t>
            </w:r>
            <w:r w:rsidR="004B387B">
              <w:rPr>
                <w:rFonts w:asciiTheme="minorHAnsi" w:hAnsiTheme="minorHAnsi"/>
                <w:i/>
              </w:rPr>
              <w:t>edian transit time from Port of Lomé to Cinkansé border with Burkina Faso</w:t>
            </w:r>
          </w:p>
          <w:p w14:paraId="0C80DF4F" w14:textId="77777777" w:rsidR="004B387B" w:rsidRDefault="004B387B">
            <w:pPr>
              <w:rPr>
                <w:rFonts w:asciiTheme="minorHAnsi" w:hAnsiTheme="minorHAnsi"/>
              </w:rPr>
            </w:pPr>
            <w:r>
              <w:rPr>
                <w:rFonts w:asciiTheme="minorHAnsi" w:hAnsiTheme="minorHAnsi"/>
              </w:rPr>
              <w:t>Baseline: 8 days (2016)</w:t>
            </w:r>
          </w:p>
          <w:p w14:paraId="680D27FC" w14:textId="77777777" w:rsidR="00387BBB" w:rsidRDefault="004B387B" w:rsidP="00C12BDE">
            <w:pPr>
              <w:rPr>
                <w:rFonts w:asciiTheme="minorHAnsi" w:hAnsiTheme="minorHAnsi"/>
              </w:rPr>
            </w:pPr>
            <w:r>
              <w:rPr>
                <w:rFonts w:asciiTheme="minorHAnsi" w:hAnsiTheme="minorHAnsi"/>
              </w:rPr>
              <w:t>Target: 6 days (2020)</w:t>
            </w:r>
          </w:p>
          <w:p w14:paraId="5BC3CF6E" w14:textId="12DA46FF" w:rsidR="006B0487" w:rsidRDefault="006B0487" w:rsidP="006B0487">
            <w:r>
              <w:t>b.</w:t>
            </w:r>
            <w:r>
              <w:rPr>
                <w:i/>
                <w:iCs/>
              </w:rPr>
              <w:t xml:space="preserve"> Number of c</w:t>
            </w:r>
            <w:r w:rsidRPr="006B0487">
              <w:rPr>
                <w:i/>
              </w:rPr>
              <w:t>ontainers handled</w:t>
            </w:r>
            <w:r>
              <w:t xml:space="preserve"> </w:t>
            </w:r>
            <w:r w:rsidRPr="006B0487">
              <w:rPr>
                <w:i/>
              </w:rPr>
              <w:t xml:space="preserve">(M TEU </w:t>
            </w:r>
            <w:r>
              <w:rPr>
                <w:i/>
              </w:rPr>
              <w:t>c</w:t>
            </w:r>
            <w:r w:rsidRPr="006B0487">
              <w:rPr>
                <w:i/>
              </w:rPr>
              <w:t>ontainers)</w:t>
            </w:r>
          </w:p>
          <w:p w14:paraId="01F9837C" w14:textId="77777777" w:rsidR="006B0487" w:rsidRDefault="006B0487" w:rsidP="006B0487">
            <w:r>
              <w:t>Baseline: 0.5 (2016)</w:t>
            </w:r>
          </w:p>
          <w:p w14:paraId="5C35DB53" w14:textId="2D1629E9" w:rsidR="006B0487" w:rsidRDefault="00C04C4C" w:rsidP="006B0487">
            <w:r>
              <w:t>Target: 1 (2020</w:t>
            </w:r>
            <w:r w:rsidR="006B0487">
              <w:t>)</w:t>
            </w:r>
          </w:p>
          <w:p w14:paraId="4703859B" w14:textId="5E830C66" w:rsidR="006B0487" w:rsidRDefault="006B0487" w:rsidP="00C12BDE">
            <w:pPr>
              <w:rPr>
                <w:rFonts w:asciiTheme="minorHAnsi" w:hAnsiTheme="minorHAnsi"/>
              </w:rPr>
            </w:pPr>
          </w:p>
        </w:tc>
        <w:tc>
          <w:tcPr>
            <w:tcW w:w="41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297614" w14:textId="77777777" w:rsidR="004B387B" w:rsidRDefault="004B387B" w:rsidP="004B387B">
            <w:pPr>
              <w:pStyle w:val="ListParagraph"/>
              <w:numPr>
                <w:ilvl w:val="0"/>
                <w:numId w:val="15"/>
              </w:numPr>
              <w:tabs>
                <w:tab w:val="left" w:pos="257"/>
              </w:tabs>
              <w:ind w:left="0" w:firstLine="0"/>
              <w:rPr>
                <w:rFonts w:asciiTheme="minorHAnsi" w:hAnsiTheme="minorHAnsi"/>
                <w:b/>
                <w:i/>
              </w:rPr>
            </w:pPr>
            <w:r>
              <w:rPr>
                <w:b/>
                <w:i/>
              </w:rPr>
              <w:lastRenderedPageBreak/>
              <w:t>Master plan prepared for the generation, transmission, and distribution and the strengthening of the planning capacities of the Ministry of Energy and CEET</w:t>
            </w:r>
          </w:p>
          <w:p w14:paraId="6AA3D73F" w14:textId="77777777" w:rsidR="004B387B" w:rsidRDefault="004B387B" w:rsidP="004B387B">
            <w:pPr>
              <w:pStyle w:val="ListParagraph"/>
              <w:numPr>
                <w:ilvl w:val="0"/>
                <w:numId w:val="15"/>
              </w:numPr>
              <w:tabs>
                <w:tab w:val="left" w:pos="257"/>
              </w:tabs>
              <w:ind w:left="0" w:firstLine="0"/>
              <w:rPr>
                <w:rFonts w:asciiTheme="minorHAnsi" w:hAnsiTheme="minorHAnsi"/>
                <w:i/>
              </w:rPr>
            </w:pPr>
            <w:r>
              <w:rPr>
                <w:b/>
                <w:i/>
              </w:rPr>
              <w:t xml:space="preserve">Tariff study conducted </w:t>
            </w:r>
            <w:r>
              <w:rPr>
                <w:b/>
                <w:i/>
                <w:color w:val="000000"/>
              </w:rPr>
              <w:t>to establish appropriate tariff and subsidy to achieve financial equilibrium in energy sector</w:t>
            </w:r>
            <w:r>
              <w:rPr>
                <w:i/>
                <w:color w:val="000000"/>
              </w:rPr>
              <w:t>.</w:t>
            </w:r>
          </w:p>
          <w:p w14:paraId="2A858100" w14:textId="77777777" w:rsidR="004B387B" w:rsidRDefault="004B387B" w:rsidP="004B387B">
            <w:pPr>
              <w:pStyle w:val="ListParagraph"/>
              <w:numPr>
                <w:ilvl w:val="0"/>
                <w:numId w:val="15"/>
              </w:numPr>
              <w:tabs>
                <w:tab w:val="left" w:pos="257"/>
              </w:tabs>
              <w:ind w:left="0" w:firstLine="0"/>
              <w:rPr>
                <w:rFonts w:asciiTheme="minorHAnsi" w:hAnsiTheme="minorHAnsi"/>
                <w:b/>
                <w:i/>
              </w:rPr>
            </w:pPr>
            <w:r>
              <w:rPr>
                <w:rFonts w:asciiTheme="minorHAnsi" w:hAnsiTheme="minorHAnsi"/>
                <w:b/>
                <w:i/>
              </w:rPr>
              <w:t>CEET performance contract reviewed and management improvement plan implemented</w:t>
            </w:r>
            <w:r>
              <w:rPr>
                <w:rFonts w:asciiTheme="minorHAnsi" w:hAnsiTheme="minorHAnsi"/>
                <w:i/>
              </w:rPr>
              <w:t>.</w:t>
            </w:r>
            <w:r>
              <w:rPr>
                <w:rFonts w:asciiTheme="minorHAnsi" w:hAnsiTheme="minorHAnsi"/>
              </w:rPr>
              <w:t xml:space="preserve"> </w:t>
            </w:r>
          </w:p>
          <w:p w14:paraId="5EB2B32A"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Distribution lines constructed or rehabilitated under the Energy Sector Support project</w:t>
            </w:r>
          </w:p>
          <w:p w14:paraId="08904E1E" w14:textId="77777777" w:rsidR="004B387B" w:rsidRDefault="004B387B">
            <w:pPr>
              <w:rPr>
                <w:rFonts w:asciiTheme="minorHAnsi" w:hAnsiTheme="minorHAnsi"/>
              </w:rPr>
            </w:pPr>
            <w:r>
              <w:rPr>
                <w:rFonts w:asciiTheme="minorHAnsi" w:hAnsiTheme="minorHAnsi"/>
              </w:rPr>
              <w:t>Baseline: 8,260 (2018)</w:t>
            </w:r>
          </w:p>
          <w:p w14:paraId="2311920B" w14:textId="5C2768A7" w:rsidR="004B387B" w:rsidRDefault="004B387B">
            <w:pPr>
              <w:rPr>
                <w:rFonts w:asciiTheme="minorHAnsi" w:hAnsiTheme="minorHAnsi"/>
              </w:rPr>
            </w:pPr>
            <w:r>
              <w:rPr>
                <w:rFonts w:asciiTheme="minorHAnsi" w:hAnsiTheme="minorHAnsi"/>
              </w:rPr>
              <w:t xml:space="preserve">Target: </w:t>
            </w:r>
            <w:r w:rsidR="008D727F">
              <w:rPr>
                <w:rFonts w:asciiTheme="minorHAnsi" w:hAnsiTheme="minorHAnsi"/>
              </w:rPr>
              <w:t>8</w:t>
            </w:r>
            <w:r>
              <w:rPr>
                <w:rFonts w:asciiTheme="minorHAnsi" w:hAnsiTheme="minorHAnsi"/>
              </w:rPr>
              <w:t>,</w:t>
            </w:r>
            <w:r w:rsidR="008D727F">
              <w:rPr>
                <w:rFonts w:asciiTheme="minorHAnsi" w:hAnsiTheme="minorHAnsi"/>
              </w:rPr>
              <w:t>9</w:t>
            </w:r>
            <w:r>
              <w:rPr>
                <w:rFonts w:asciiTheme="minorHAnsi" w:hAnsiTheme="minorHAnsi"/>
              </w:rPr>
              <w:t>00 (2020)</w:t>
            </w:r>
          </w:p>
          <w:p w14:paraId="741C6BDC" w14:textId="77777777" w:rsidR="004B387B" w:rsidRDefault="004B387B">
            <w:pPr>
              <w:rPr>
                <w:rFonts w:asciiTheme="minorHAnsi" w:hAnsiTheme="minorHAnsi"/>
                <w:i/>
              </w:rPr>
            </w:pPr>
          </w:p>
          <w:p w14:paraId="0162DC26" w14:textId="77777777" w:rsidR="004B387B" w:rsidRDefault="004B387B" w:rsidP="004B387B">
            <w:pPr>
              <w:pStyle w:val="ListParagraph"/>
              <w:numPr>
                <w:ilvl w:val="0"/>
                <w:numId w:val="15"/>
              </w:numPr>
              <w:tabs>
                <w:tab w:val="left" w:pos="257"/>
              </w:tabs>
              <w:ind w:left="0" w:firstLine="0"/>
              <w:rPr>
                <w:rFonts w:asciiTheme="minorHAnsi" w:hAnsiTheme="minorHAnsi"/>
                <w:b/>
                <w:i/>
              </w:rPr>
            </w:pPr>
            <w:r>
              <w:rPr>
                <w:rFonts w:asciiTheme="minorHAnsi" w:hAnsiTheme="minorHAnsi"/>
                <w:b/>
                <w:i/>
              </w:rPr>
              <w:t xml:space="preserve">Telecommunications sector restructured </w:t>
            </w:r>
          </w:p>
          <w:p w14:paraId="48A44FC8"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Carrier hotel completed / operational</w:t>
            </w:r>
          </w:p>
          <w:p w14:paraId="62958B6A" w14:textId="77777777" w:rsidR="004B387B" w:rsidRDefault="004B387B">
            <w:pPr>
              <w:rPr>
                <w:rFonts w:asciiTheme="minorHAnsi" w:hAnsiTheme="minorHAnsi"/>
              </w:rPr>
            </w:pPr>
          </w:p>
          <w:p w14:paraId="1E124C0F" w14:textId="77777777" w:rsidR="004B387B" w:rsidRDefault="004B387B">
            <w:pPr>
              <w:rPr>
                <w:rFonts w:asciiTheme="minorHAnsi" w:hAnsiTheme="minorHAnsi"/>
              </w:rPr>
            </w:pPr>
          </w:p>
          <w:p w14:paraId="3EFC9A2A" w14:textId="77777777" w:rsidR="004B387B" w:rsidRDefault="004B387B">
            <w:pPr>
              <w:rPr>
                <w:rFonts w:asciiTheme="minorHAnsi" w:hAnsiTheme="minorHAnsi"/>
              </w:rPr>
            </w:pPr>
          </w:p>
          <w:p w14:paraId="7BB3185E" w14:textId="77777777" w:rsidR="004B387B" w:rsidRDefault="004B387B">
            <w:pPr>
              <w:rPr>
                <w:rFonts w:asciiTheme="minorHAnsi" w:hAnsiTheme="minorHAnsi"/>
              </w:rPr>
            </w:pPr>
          </w:p>
          <w:p w14:paraId="305FFE8B" w14:textId="77777777" w:rsidR="00736B5A" w:rsidRDefault="00736B5A">
            <w:pPr>
              <w:rPr>
                <w:rFonts w:asciiTheme="minorHAnsi" w:hAnsiTheme="minorHAnsi"/>
              </w:rPr>
            </w:pPr>
          </w:p>
          <w:p w14:paraId="20BAC98F"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Average port dwell time</w:t>
            </w:r>
          </w:p>
          <w:p w14:paraId="38D32CB8" w14:textId="77777777" w:rsidR="004B387B" w:rsidRDefault="004B387B">
            <w:pPr>
              <w:rPr>
                <w:rFonts w:asciiTheme="minorHAnsi" w:hAnsiTheme="minorHAnsi"/>
              </w:rPr>
            </w:pPr>
            <w:r>
              <w:rPr>
                <w:rFonts w:asciiTheme="minorHAnsi" w:hAnsiTheme="minorHAnsi"/>
              </w:rPr>
              <w:t>Baseline: 8.9 days (2016)</w:t>
            </w:r>
          </w:p>
          <w:p w14:paraId="18676A69" w14:textId="77777777" w:rsidR="004B387B" w:rsidRDefault="004B387B">
            <w:pPr>
              <w:tabs>
                <w:tab w:val="left" w:pos="257"/>
              </w:tabs>
              <w:rPr>
                <w:rFonts w:asciiTheme="minorHAnsi" w:hAnsiTheme="minorHAnsi"/>
                <w:i/>
                <w:sz w:val="24"/>
                <w:szCs w:val="24"/>
              </w:rPr>
            </w:pPr>
            <w:r>
              <w:rPr>
                <w:rFonts w:asciiTheme="minorHAnsi" w:hAnsiTheme="minorHAnsi"/>
              </w:rPr>
              <w:t>Target: 7 days (2020)</w:t>
            </w:r>
          </w:p>
          <w:p w14:paraId="5269F045" w14:textId="77777777" w:rsidR="004B387B" w:rsidRDefault="004B387B" w:rsidP="004B387B">
            <w:pPr>
              <w:pStyle w:val="ListParagraph"/>
              <w:numPr>
                <w:ilvl w:val="0"/>
                <w:numId w:val="15"/>
              </w:numPr>
              <w:tabs>
                <w:tab w:val="left" w:pos="257"/>
              </w:tabs>
              <w:ind w:left="0" w:firstLine="0"/>
              <w:rPr>
                <w:rFonts w:asciiTheme="minorHAnsi" w:hAnsiTheme="minorHAnsi"/>
                <w:b/>
                <w:i/>
              </w:rPr>
            </w:pPr>
            <w:r>
              <w:rPr>
                <w:rFonts w:asciiTheme="minorHAnsi" w:hAnsiTheme="minorHAnsi"/>
                <w:b/>
                <w:i/>
              </w:rPr>
              <w:t>Number of logistics businesses compliant with reformed legal and regulatory environment</w:t>
            </w:r>
          </w:p>
          <w:p w14:paraId="453374C3" w14:textId="77777777" w:rsidR="004B387B" w:rsidRDefault="004B387B">
            <w:pPr>
              <w:rPr>
                <w:rFonts w:asciiTheme="minorHAnsi" w:hAnsiTheme="minorHAnsi"/>
              </w:rPr>
            </w:pPr>
            <w:r>
              <w:rPr>
                <w:rFonts w:asciiTheme="minorHAnsi" w:hAnsiTheme="minorHAnsi"/>
              </w:rPr>
              <w:t>Baseline: 0 (2016)</w:t>
            </w:r>
          </w:p>
          <w:p w14:paraId="621333AE" w14:textId="77777777" w:rsidR="004B387B" w:rsidRDefault="004B387B">
            <w:pPr>
              <w:pStyle w:val="ListParagraph"/>
              <w:tabs>
                <w:tab w:val="left" w:pos="257"/>
              </w:tabs>
              <w:ind w:left="0"/>
              <w:rPr>
                <w:rFonts w:asciiTheme="minorHAnsi" w:hAnsiTheme="minorHAnsi"/>
                <w:i/>
              </w:rPr>
            </w:pPr>
            <w:r>
              <w:rPr>
                <w:rFonts w:asciiTheme="minorHAnsi" w:hAnsiTheme="minorHAnsi"/>
              </w:rPr>
              <w:t>Target: 10 (2020)</w:t>
            </w:r>
          </w:p>
          <w:p w14:paraId="15B2880F"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Number of companies officially registered as part of “trusted traders program”</w:t>
            </w:r>
          </w:p>
          <w:p w14:paraId="7D1A65DC" w14:textId="77777777" w:rsidR="004B387B" w:rsidRDefault="004B387B">
            <w:pPr>
              <w:rPr>
                <w:rFonts w:asciiTheme="minorHAnsi" w:hAnsiTheme="minorHAnsi"/>
              </w:rPr>
            </w:pPr>
            <w:r>
              <w:rPr>
                <w:rFonts w:asciiTheme="minorHAnsi" w:hAnsiTheme="minorHAnsi"/>
              </w:rPr>
              <w:t>Baseline: 0 (2016)</w:t>
            </w:r>
          </w:p>
          <w:p w14:paraId="78C2B4E3" w14:textId="77777777" w:rsidR="004B387B" w:rsidRDefault="004B387B">
            <w:pPr>
              <w:rPr>
                <w:rFonts w:asciiTheme="minorHAnsi" w:hAnsiTheme="minorHAnsi"/>
                <w:color w:val="548DD4"/>
              </w:rPr>
            </w:pPr>
            <w:r>
              <w:rPr>
                <w:rFonts w:asciiTheme="minorHAnsi" w:hAnsiTheme="minorHAnsi"/>
              </w:rPr>
              <w:t>Target: 10 (2020)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0A24DFE" w14:textId="77777777" w:rsidR="004B387B" w:rsidRDefault="004B387B">
            <w:pPr>
              <w:rPr>
                <w:rFonts w:asciiTheme="minorHAnsi" w:hAnsiTheme="minorHAnsi"/>
                <w:b/>
                <w:i/>
              </w:rPr>
            </w:pPr>
            <w:r>
              <w:rPr>
                <w:rFonts w:asciiTheme="minorHAnsi" w:hAnsiTheme="minorHAnsi"/>
                <w:b/>
                <w:i/>
              </w:rPr>
              <w:lastRenderedPageBreak/>
              <w:t xml:space="preserve">Operations </w:t>
            </w:r>
          </w:p>
          <w:p w14:paraId="4D96E7E8" w14:textId="019BFB2E" w:rsidR="004B387B" w:rsidRDefault="004B387B">
            <w:pPr>
              <w:rPr>
                <w:rFonts w:asciiTheme="minorHAnsi" w:hAnsiTheme="minorHAnsi"/>
              </w:rPr>
            </w:pPr>
            <w:r>
              <w:rPr>
                <w:rFonts w:asciiTheme="minorHAnsi" w:hAnsiTheme="minorHAnsi"/>
                <w:b/>
              </w:rPr>
              <w:t xml:space="preserve">IDA: </w:t>
            </w:r>
            <w:r>
              <w:rPr>
                <w:rFonts w:asciiTheme="minorHAnsi" w:hAnsiTheme="minorHAnsi"/>
              </w:rPr>
              <w:t xml:space="preserve">Energy Sector </w:t>
            </w:r>
            <w:r w:rsidR="006850A5">
              <w:rPr>
                <w:rFonts w:asciiTheme="minorHAnsi" w:hAnsiTheme="minorHAnsi"/>
              </w:rPr>
              <w:t xml:space="preserve">Governance and Access </w:t>
            </w:r>
            <w:r>
              <w:rPr>
                <w:rFonts w:asciiTheme="minorHAnsi" w:hAnsiTheme="minorHAnsi"/>
              </w:rPr>
              <w:t xml:space="preserve">Project (FY18); West Africa Regional Communications and Information Project (FY13); Transport and Logistics Facilitation (proposed FY17); </w:t>
            </w:r>
          </w:p>
          <w:p w14:paraId="314B98EE" w14:textId="77777777" w:rsidR="004B387B" w:rsidRDefault="004B387B">
            <w:pPr>
              <w:rPr>
                <w:rFonts w:asciiTheme="minorHAnsi" w:hAnsiTheme="minorHAnsi"/>
                <w:b/>
              </w:rPr>
            </w:pPr>
          </w:p>
          <w:p w14:paraId="3C36C0A5" w14:textId="77777777" w:rsidR="004B387B" w:rsidRDefault="004B387B">
            <w:pPr>
              <w:rPr>
                <w:rFonts w:asciiTheme="minorHAnsi" w:hAnsiTheme="minorHAnsi"/>
              </w:rPr>
            </w:pPr>
            <w:r>
              <w:rPr>
                <w:rFonts w:asciiTheme="minorHAnsi" w:hAnsiTheme="minorHAnsi"/>
                <w:b/>
              </w:rPr>
              <w:t>IFC:</w:t>
            </w:r>
            <w:r>
              <w:rPr>
                <w:rFonts w:asciiTheme="minorHAnsi" w:hAnsiTheme="minorHAnsi"/>
              </w:rPr>
              <w:t xml:space="preserve"> Contour Global thermal generation plant (100 MW); potential expansion of Contour Global plant; Global Trade Finance Program (GTFP); Lomé Container Terminal I (FY11) and II (FY15) </w:t>
            </w:r>
          </w:p>
          <w:p w14:paraId="1B896025" w14:textId="77777777" w:rsidR="004B387B" w:rsidRDefault="004B387B">
            <w:pPr>
              <w:rPr>
                <w:rFonts w:asciiTheme="minorHAnsi" w:hAnsiTheme="minorHAnsi"/>
              </w:rPr>
            </w:pPr>
          </w:p>
          <w:p w14:paraId="003A3BFE" w14:textId="77777777" w:rsidR="004B387B" w:rsidRDefault="004B387B">
            <w:pPr>
              <w:rPr>
                <w:rFonts w:asciiTheme="minorHAnsi" w:hAnsiTheme="minorHAnsi"/>
                <w:b/>
                <w:i/>
              </w:rPr>
            </w:pPr>
            <w:r>
              <w:rPr>
                <w:rFonts w:asciiTheme="minorHAnsi" w:hAnsiTheme="minorHAnsi"/>
                <w:b/>
                <w:i/>
              </w:rPr>
              <w:lastRenderedPageBreak/>
              <w:t xml:space="preserve">Advisory Services and Analytics </w:t>
            </w:r>
          </w:p>
          <w:p w14:paraId="551C3CDD" w14:textId="7B8BB210"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Poverty and social impact assessment of energy policy</w:t>
            </w:r>
            <w:r w:rsidR="003A50C8">
              <w:rPr>
                <w:rFonts w:asciiTheme="minorHAnsi" w:hAnsiTheme="minorHAnsi"/>
              </w:rPr>
              <w:t xml:space="preserve"> (FY18)</w:t>
            </w:r>
          </w:p>
          <w:p w14:paraId="3757CFF7" w14:textId="393AF843"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IFC Trade Facilitation</w:t>
            </w:r>
            <w:r w:rsidR="003A50C8">
              <w:rPr>
                <w:rFonts w:asciiTheme="minorHAnsi" w:hAnsiTheme="minorHAnsi"/>
              </w:rPr>
              <w:t xml:space="preserve"> (on-going)</w:t>
            </w:r>
          </w:p>
          <w:p w14:paraId="3ED20B40" w14:textId="77777777" w:rsidR="004B387B" w:rsidRDefault="004B387B">
            <w:pPr>
              <w:rPr>
                <w:rFonts w:asciiTheme="minorHAnsi" w:hAnsiTheme="minorHAnsi"/>
                <w:color w:val="548DD4"/>
              </w:rPr>
            </w:pPr>
          </w:p>
          <w:p w14:paraId="1B066BE5" w14:textId="77777777" w:rsidR="004B387B" w:rsidRDefault="004B387B">
            <w:pPr>
              <w:rPr>
                <w:rFonts w:asciiTheme="minorHAnsi" w:hAnsiTheme="minorHAnsi"/>
                <w:b/>
                <w:i/>
              </w:rPr>
            </w:pPr>
            <w:r>
              <w:rPr>
                <w:rFonts w:asciiTheme="minorHAnsi" w:hAnsiTheme="minorHAnsi"/>
                <w:b/>
                <w:i/>
              </w:rPr>
              <w:t>Partners</w:t>
            </w:r>
          </w:p>
          <w:p w14:paraId="6065FB45" w14:textId="650DEE7D" w:rsidR="004B387B" w:rsidRDefault="004B387B">
            <w:pPr>
              <w:rPr>
                <w:rFonts w:asciiTheme="minorHAnsi" w:hAnsiTheme="minorHAnsi"/>
                <w:b/>
                <w:i/>
                <w:lang w:val="fr-FR"/>
              </w:rPr>
            </w:pPr>
            <w:r>
              <w:rPr>
                <w:rFonts w:asciiTheme="minorHAnsi" w:hAnsiTheme="minorHAnsi"/>
                <w:lang w:val="fr-FR"/>
              </w:rPr>
              <w:t xml:space="preserve">AFD, AfDB, EU, FIDA, KFW, GIZ, </w:t>
            </w:r>
            <w:r w:rsidR="0043021B">
              <w:rPr>
                <w:rFonts w:asciiTheme="minorHAnsi" w:hAnsiTheme="minorHAnsi"/>
                <w:lang w:val="fr-FR"/>
              </w:rPr>
              <w:t xml:space="preserve">JICA, </w:t>
            </w:r>
            <w:r>
              <w:rPr>
                <w:rFonts w:asciiTheme="minorHAnsi" w:hAnsiTheme="minorHAnsi"/>
                <w:lang w:val="fr-FR"/>
              </w:rPr>
              <w:t>MCC</w:t>
            </w:r>
          </w:p>
        </w:tc>
      </w:tr>
    </w:tbl>
    <w:p w14:paraId="2322D8B2" w14:textId="45B9E836" w:rsidR="004B387B" w:rsidRDefault="004B387B" w:rsidP="004B387B">
      <w:pPr>
        <w:rPr>
          <w:rFonts w:ascii="Times New Roman" w:hAnsi="Times New Roman"/>
          <w:sz w:val="24"/>
          <w:szCs w:val="24"/>
          <w:lang w:val="fr-FR"/>
        </w:rPr>
      </w:pPr>
      <w:r>
        <w:rPr>
          <w:lang w:val="fr-FR"/>
        </w:rPr>
        <w:lastRenderedPageBreak/>
        <w:br w:type="page"/>
      </w:r>
    </w:p>
    <w:tbl>
      <w:tblPr>
        <w:tblStyle w:val="TableGrid4"/>
        <w:tblW w:w="12955" w:type="dxa"/>
        <w:tblLook w:val="04A0" w:firstRow="1" w:lastRow="0" w:firstColumn="1" w:lastColumn="0" w:noHBand="0" w:noVBand="1"/>
      </w:tblPr>
      <w:tblGrid>
        <w:gridCol w:w="2538"/>
        <w:gridCol w:w="3690"/>
        <w:gridCol w:w="4117"/>
        <w:gridCol w:w="2610"/>
      </w:tblGrid>
      <w:tr w:rsidR="004B387B" w14:paraId="4CE5FB89" w14:textId="77777777" w:rsidTr="004B387B">
        <w:tc>
          <w:tcPr>
            <w:tcW w:w="12955" w:type="dxa"/>
            <w:gridSpan w:val="4"/>
            <w:tcBorders>
              <w:top w:val="single" w:sz="4" w:space="0" w:color="auto"/>
              <w:left w:val="single" w:sz="4" w:space="0" w:color="auto"/>
              <w:bottom w:val="single" w:sz="4" w:space="0" w:color="auto"/>
              <w:right w:val="single" w:sz="4" w:space="0" w:color="auto"/>
            </w:tcBorders>
            <w:shd w:val="clear" w:color="auto" w:fill="DEC59D" w:themeFill="accent5" w:themeFillTint="99"/>
            <w:hideMark/>
          </w:tcPr>
          <w:p w14:paraId="0ADFF5D1" w14:textId="77777777" w:rsidR="004B387B" w:rsidRDefault="004B387B">
            <w:pPr>
              <w:rPr>
                <w:rFonts w:asciiTheme="minorHAnsi" w:hAnsiTheme="minorHAnsi"/>
                <w:b/>
              </w:rPr>
            </w:pPr>
            <w:r>
              <w:rPr>
                <w:rFonts w:asciiTheme="minorHAnsi" w:hAnsiTheme="minorHAnsi"/>
                <w:b/>
                <w:color w:val="FFFFFF"/>
              </w:rPr>
              <w:lastRenderedPageBreak/>
              <w:t>Focus Area 2: Inclusive Public Service Delivery</w:t>
            </w:r>
          </w:p>
        </w:tc>
      </w:tr>
      <w:tr w:rsidR="004B387B" w14:paraId="5D20A499" w14:textId="77777777" w:rsidTr="004B387B">
        <w:tc>
          <w:tcPr>
            <w:tcW w:w="12955" w:type="dxa"/>
            <w:gridSpan w:val="4"/>
            <w:tcBorders>
              <w:top w:val="single" w:sz="4" w:space="0" w:color="auto"/>
              <w:left w:val="single" w:sz="4" w:space="0" w:color="auto"/>
              <w:bottom w:val="single" w:sz="4" w:space="0" w:color="auto"/>
              <w:right w:val="single" w:sz="4" w:space="0" w:color="auto"/>
            </w:tcBorders>
            <w:hideMark/>
          </w:tcPr>
          <w:p w14:paraId="2DEFA1D8" w14:textId="57FFBA73" w:rsidR="004B387B" w:rsidRDefault="004B387B" w:rsidP="00C97360">
            <w:pPr>
              <w:jc w:val="both"/>
              <w:rPr>
                <w:rFonts w:asciiTheme="minorHAnsi" w:hAnsiTheme="minorHAnsi"/>
              </w:rPr>
            </w:pPr>
            <w:r>
              <w:rPr>
                <w:rFonts w:asciiTheme="minorHAnsi" w:hAnsiTheme="minorHAnsi"/>
                <w:bCs/>
              </w:rPr>
              <w:t xml:space="preserve">Poor people in Togo are more likely to be living in rural areas, to work primarily in agriculture, and to live in relative isolation from markets and services. The regions with the greatest poverty headcount also have lower access to services. In 2015, the </w:t>
            </w:r>
            <w:r w:rsidR="000F5595">
              <w:rPr>
                <w:rFonts w:asciiTheme="minorHAnsi" w:hAnsiTheme="minorHAnsi"/>
                <w:bCs/>
              </w:rPr>
              <w:t>G</w:t>
            </w:r>
            <w:r>
              <w:rPr>
                <w:rFonts w:asciiTheme="minorHAnsi" w:hAnsiTheme="minorHAnsi"/>
                <w:bCs/>
              </w:rPr>
              <w:t>overnment made social inclusion a top priority and has budgeted significant resources in 2016 and 2017 to promote social infrastructure and services in poor communities. Improved pro-poor spending in social sectors, stronger social services, well-designed safety nets, and support for regional and local institutions are critical to ensuring that all Togolese have an opportunity to participate in their country’s development</w:t>
            </w:r>
            <w:r>
              <w:rPr>
                <w:rFonts w:asciiTheme="minorHAnsi" w:hAnsiTheme="minorHAnsi"/>
              </w:rPr>
              <w:t>.</w:t>
            </w:r>
            <w:r w:rsidR="00A619F1" w:rsidRPr="00C97360">
              <w:rPr>
                <w:rFonts w:asciiTheme="minorHAnsi" w:hAnsiTheme="minorHAnsi"/>
                <w:b/>
                <w:i/>
              </w:rPr>
              <w:t xml:space="preserve"> </w:t>
            </w:r>
            <w:r w:rsidR="00A619F1" w:rsidRPr="00C97360">
              <w:rPr>
                <w:rFonts w:asciiTheme="minorHAnsi" w:hAnsiTheme="minorHAnsi"/>
                <w:szCs w:val="24"/>
              </w:rPr>
              <w:t>This focus area emphasizes decentralized service delivery, citizen engagement and capacity building for: (i) local authorities in secondary cities to upgrade, expand, or build critical basic infrastructure services; and (ii) community organizations to select and deliver small-scale basic services.</w:t>
            </w:r>
          </w:p>
        </w:tc>
      </w:tr>
      <w:tr w:rsidR="004B387B" w14:paraId="5BF8FD48" w14:textId="77777777" w:rsidTr="004B387B">
        <w:tc>
          <w:tcPr>
            <w:tcW w:w="12955" w:type="dxa"/>
            <w:gridSpan w:val="4"/>
            <w:tcBorders>
              <w:top w:val="single" w:sz="4" w:space="0" w:color="auto"/>
              <w:left w:val="single" w:sz="4" w:space="0" w:color="auto"/>
              <w:bottom w:val="single" w:sz="4" w:space="0" w:color="auto"/>
              <w:right w:val="single" w:sz="4" w:space="0" w:color="auto"/>
            </w:tcBorders>
            <w:shd w:val="clear" w:color="auto" w:fill="F4EBDE" w:themeFill="accent5" w:themeFillTint="33"/>
            <w:hideMark/>
          </w:tcPr>
          <w:p w14:paraId="48576636" w14:textId="7AC39DA6" w:rsidR="004B387B" w:rsidRDefault="004B387B" w:rsidP="00C97360">
            <w:pPr>
              <w:rPr>
                <w:rFonts w:asciiTheme="minorHAnsi" w:hAnsiTheme="minorHAnsi"/>
                <w:color w:val="000000"/>
              </w:rPr>
            </w:pPr>
            <w:r>
              <w:rPr>
                <w:rFonts w:asciiTheme="minorHAnsi" w:hAnsiTheme="minorHAnsi"/>
                <w:b/>
              </w:rPr>
              <w:t xml:space="preserve">Objective 2.1: </w:t>
            </w:r>
            <w:r w:rsidR="00906CCE">
              <w:rPr>
                <w:rFonts w:asciiTheme="minorHAnsi" w:hAnsiTheme="minorHAnsi"/>
                <w:b/>
              </w:rPr>
              <w:t xml:space="preserve">Strengthen </w:t>
            </w:r>
            <w:r w:rsidR="00AB08BD">
              <w:rPr>
                <w:rFonts w:asciiTheme="minorHAnsi" w:hAnsiTheme="minorHAnsi"/>
                <w:b/>
              </w:rPr>
              <w:t xml:space="preserve">Health </w:t>
            </w:r>
            <w:r>
              <w:rPr>
                <w:rFonts w:asciiTheme="minorHAnsi" w:hAnsiTheme="minorHAnsi"/>
                <w:b/>
              </w:rPr>
              <w:t>Services</w:t>
            </w:r>
          </w:p>
        </w:tc>
      </w:tr>
      <w:tr w:rsidR="004B387B" w14:paraId="53678B01" w14:textId="77777777" w:rsidTr="004B387B">
        <w:tc>
          <w:tcPr>
            <w:tcW w:w="12955" w:type="dxa"/>
            <w:gridSpan w:val="4"/>
            <w:tcBorders>
              <w:top w:val="single" w:sz="4" w:space="0" w:color="auto"/>
              <w:left w:val="single" w:sz="4" w:space="0" w:color="auto"/>
              <w:bottom w:val="single" w:sz="4" w:space="0" w:color="auto"/>
              <w:right w:val="single" w:sz="4" w:space="0" w:color="auto"/>
            </w:tcBorders>
            <w:hideMark/>
          </w:tcPr>
          <w:p w14:paraId="443F81E8" w14:textId="4EB38E25" w:rsidR="004B387B" w:rsidRDefault="004B387B" w:rsidP="00C97360">
            <w:pPr>
              <w:jc w:val="both"/>
              <w:rPr>
                <w:rFonts w:asciiTheme="minorHAnsi" w:hAnsiTheme="minorHAnsi"/>
                <w:b/>
              </w:rPr>
            </w:pPr>
            <w:r>
              <w:rPr>
                <w:rFonts w:asciiTheme="minorHAnsi" w:hAnsiTheme="minorHAnsi"/>
                <w:b/>
              </w:rPr>
              <w:t xml:space="preserve">Intervention Logic: </w:t>
            </w:r>
            <w:r>
              <w:rPr>
                <w:rFonts w:asciiTheme="minorHAnsi" w:hAnsiTheme="minorHAnsi"/>
              </w:rPr>
              <w:t xml:space="preserve">The economic burden of poor social services—including weak disease prevention, poor health care, limited access to potable water, and the need for greater access to good-quality education—is high and disproportionately affects poor children and women, especially in rural areas. The CPF will continue the WBG’s support to Togo’s health sector through a maternal and infant health operation and a regional operation on disease surveillance, and a proposed IDA operation on health sector support would build on a performance-based financing pilot to strengthen health services, particularly for women and children. </w:t>
            </w:r>
          </w:p>
        </w:tc>
      </w:tr>
      <w:tr w:rsidR="004B387B" w14:paraId="148928B4" w14:textId="77777777" w:rsidTr="004B387B">
        <w:trPr>
          <w:trHeight w:hRule="exact" w:val="559"/>
        </w:trPr>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14:paraId="464C8A84" w14:textId="77777777" w:rsidR="004B387B" w:rsidRDefault="004B387B">
            <w:pPr>
              <w:jc w:val="center"/>
              <w:rPr>
                <w:rFonts w:asciiTheme="minorHAnsi" w:hAnsiTheme="minorHAnsi"/>
                <w:b/>
                <w:color w:val="548DD4"/>
              </w:rPr>
            </w:pPr>
            <w:r>
              <w:rPr>
                <w:rFonts w:asciiTheme="minorHAnsi" w:hAnsiTheme="minorHAnsi"/>
                <w:b/>
                <w:color w:val="548DD4"/>
              </w:rPr>
              <w:t>Country Development Goals</w:t>
            </w:r>
          </w:p>
          <w:p w14:paraId="016ACC0A" w14:textId="77777777" w:rsidR="004B387B" w:rsidRDefault="004B387B">
            <w:pPr>
              <w:jc w:val="center"/>
              <w:rPr>
                <w:rFonts w:asciiTheme="minorHAnsi" w:hAnsiTheme="minorHAnsi"/>
                <w:b/>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224630" w14:textId="77777777" w:rsidR="004B387B" w:rsidRDefault="004B387B">
            <w:pPr>
              <w:jc w:val="center"/>
              <w:rPr>
                <w:rFonts w:asciiTheme="minorHAnsi" w:hAnsiTheme="minorHAnsi"/>
                <w:b/>
                <w:color w:val="548DD4"/>
              </w:rPr>
            </w:pPr>
            <w:r>
              <w:rPr>
                <w:rFonts w:asciiTheme="minorHAnsi" w:hAnsiTheme="minorHAnsi"/>
                <w:b/>
                <w:color w:val="548DD4"/>
              </w:rPr>
              <w:t>CPF Objective Indicators</w:t>
            </w:r>
          </w:p>
          <w:p w14:paraId="32EBA63C" w14:textId="77777777" w:rsidR="004B387B" w:rsidRDefault="004B387B">
            <w:pPr>
              <w:jc w:val="center"/>
              <w:rPr>
                <w:rFonts w:asciiTheme="minorHAnsi" w:hAnsiTheme="minorHAnsi"/>
                <w:b/>
              </w:rPr>
            </w:pPr>
          </w:p>
        </w:tc>
        <w:tc>
          <w:tcPr>
            <w:tcW w:w="41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5287C" w14:textId="77777777" w:rsidR="004B387B" w:rsidRDefault="004B387B">
            <w:pPr>
              <w:jc w:val="center"/>
              <w:rPr>
                <w:rFonts w:asciiTheme="minorHAnsi" w:hAnsiTheme="minorHAnsi"/>
                <w:b/>
                <w:color w:val="548DD4"/>
              </w:rPr>
            </w:pPr>
            <w:r>
              <w:rPr>
                <w:rFonts w:asciiTheme="minorHAnsi" w:hAnsiTheme="minorHAnsi"/>
                <w:b/>
                <w:color w:val="548DD4"/>
              </w:rPr>
              <w:t>Supplementary Progress Indicators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EEAF8" w14:textId="77777777" w:rsidR="004B387B" w:rsidRDefault="004B387B">
            <w:pPr>
              <w:jc w:val="center"/>
              <w:rPr>
                <w:rFonts w:asciiTheme="minorHAnsi" w:hAnsiTheme="minorHAnsi"/>
                <w:b/>
                <w:color w:val="548DD4"/>
              </w:rPr>
            </w:pPr>
            <w:r>
              <w:rPr>
                <w:rFonts w:asciiTheme="minorHAnsi" w:hAnsiTheme="minorHAnsi"/>
                <w:b/>
                <w:color w:val="548DD4"/>
              </w:rPr>
              <w:t>WBG Program</w:t>
            </w:r>
          </w:p>
        </w:tc>
      </w:tr>
      <w:tr w:rsidR="004B387B" w14:paraId="72F30163" w14:textId="77777777" w:rsidTr="004B387B">
        <w:trPr>
          <w:trHeight w:val="1233"/>
        </w:trPr>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14:paraId="6CEB3790" w14:textId="77777777" w:rsidR="004B387B" w:rsidRDefault="004B387B">
            <w:pPr>
              <w:rPr>
                <w:rFonts w:asciiTheme="minorHAnsi" w:hAnsiTheme="minorHAnsi"/>
                <w:b/>
              </w:rPr>
            </w:pPr>
            <w:r>
              <w:rPr>
                <w:rFonts w:asciiTheme="minorHAnsi" w:hAnsiTheme="minorHAnsi"/>
                <w:b/>
              </w:rPr>
              <w:t>PND Pillar 1</w:t>
            </w:r>
          </w:p>
          <w:p w14:paraId="16BF75AB" w14:textId="77777777" w:rsidR="004B387B" w:rsidRDefault="004B387B">
            <w:pPr>
              <w:rPr>
                <w:rFonts w:asciiTheme="minorHAnsi" w:hAnsiTheme="minorHAnsi"/>
              </w:rPr>
            </w:pPr>
            <w:r>
              <w:rPr>
                <w:rFonts w:asciiTheme="minorHAnsi" w:hAnsiTheme="minorHAnsi"/>
              </w:rPr>
              <w:t>Improving the well-being and development of the population</w:t>
            </w:r>
          </w:p>
          <w:p w14:paraId="6FCCF790" w14:textId="77777777" w:rsidR="004B387B" w:rsidRDefault="004B387B">
            <w:pPr>
              <w:rPr>
                <w:rFonts w:asciiTheme="minorHAnsi" w:hAnsiTheme="minorHAnsi"/>
                <w:b/>
              </w:rPr>
            </w:pPr>
          </w:p>
          <w:p w14:paraId="6DB37A13" w14:textId="77777777" w:rsidR="004B387B" w:rsidRDefault="004B387B">
            <w:pPr>
              <w:rPr>
                <w:rFonts w:asciiTheme="minorHAnsi" w:hAnsiTheme="minorHAnsi"/>
                <w:b/>
              </w:rPr>
            </w:pPr>
            <w:r>
              <w:rPr>
                <w:rFonts w:asciiTheme="minorHAnsi" w:hAnsiTheme="minorHAnsi"/>
                <w:b/>
              </w:rPr>
              <w:t>SDG 3</w:t>
            </w:r>
          </w:p>
          <w:p w14:paraId="195F13A8" w14:textId="77777777" w:rsidR="004B387B" w:rsidRDefault="004B387B">
            <w:pPr>
              <w:rPr>
                <w:rFonts w:asciiTheme="minorHAnsi" w:hAnsiTheme="minorHAnsi"/>
              </w:rPr>
            </w:pPr>
            <w:r>
              <w:rPr>
                <w:rFonts w:asciiTheme="minorHAnsi" w:hAnsiTheme="minorHAnsi"/>
              </w:rPr>
              <w:t>Good Health</w:t>
            </w:r>
          </w:p>
          <w:p w14:paraId="6F81C51B" w14:textId="77777777" w:rsidR="004B387B" w:rsidRDefault="004B387B">
            <w:pPr>
              <w:rPr>
                <w:rFonts w:asciiTheme="minorHAnsi" w:hAnsiTheme="minorHAnsi"/>
              </w:rPr>
            </w:pPr>
          </w:p>
          <w:p w14:paraId="60739C09" w14:textId="77777777" w:rsidR="004B387B" w:rsidRDefault="004B387B">
            <w:pPr>
              <w:rPr>
                <w:rFonts w:asciiTheme="minorHAnsi" w:hAnsiTheme="minorHAnsi"/>
                <w:b/>
              </w:rPr>
            </w:pPr>
            <w:r>
              <w:rPr>
                <w:rFonts w:asciiTheme="minorHAnsi" w:hAnsiTheme="minorHAnsi"/>
                <w:b/>
              </w:rPr>
              <w:t>SDG 5</w:t>
            </w:r>
          </w:p>
          <w:p w14:paraId="4E35EF98" w14:textId="77777777" w:rsidR="004B387B" w:rsidRDefault="004B387B">
            <w:pPr>
              <w:rPr>
                <w:rFonts w:asciiTheme="minorHAnsi" w:hAnsiTheme="minorHAnsi"/>
              </w:rPr>
            </w:pPr>
            <w:r>
              <w:rPr>
                <w:rFonts w:asciiTheme="minorHAnsi" w:hAnsiTheme="minorHAnsi"/>
              </w:rPr>
              <w:t>Gender Equality</w:t>
            </w:r>
          </w:p>
          <w:p w14:paraId="06356A65" w14:textId="77777777" w:rsidR="004B387B" w:rsidRDefault="004B387B">
            <w:pPr>
              <w:rPr>
                <w:rFonts w:asciiTheme="minorHAnsi" w:hAnsiTheme="minorHAnsi"/>
              </w:rPr>
            </w:pPr>
          </w:p>
          <w:p w14:paraId="6ACCCDBC" w14:textId="77777777" w:rsidR="004B387B" w:rsidRDefault="004B387B">
            <w:pPr>
              <w:rPr>
                <w:rFonts w:asciiTheme="minorHAnsi" w:hAnsiTheme="minorHAnsi"/>
              </w:rPr>
            </w:pPr>
          </w:p>
          <w:p w14:paraId="4DFD916B" w14:textId="77777777" w:rsidR="004B387B" w:rsidRDefault="004B387B">
            <w:pPr>
              <w:rPr>
                <w:rFonts w:asciiTheme="minorHAnsi" w:hAnsiTheme="minorHAnsi"/>
                <w:b/>
              </w:rPr>
            </w:pPr>
            <w:r>
              <w:rPr>
                <w:rFonts w:asciiTheme="minorHAnsi" w:hAnsiTheme="minorHAnsi"/>
                <w:b/>
              </w:rPr>
              <w:t>SCD Pathway 4</w:t>
            </w:r>
          </w:p>
          <w:p w14:paraId="13C093E9" w14:textId="77777777" w:rsidR="004B387B" w:rsidRDefault="004B387B">
            <w:pPr>
              <w:rPr>
                <w:rFonts w:asciiTheme="minorHAnsi" w:hAnsiTheme="minorHAnsi"/>
              </w:rPr>
            </w:pPr>
            <w:r>
              <w:rPr>
                <w:rFonts w:asciiTheme="minorHAnsi" w:hAnsiTheme="minorHAnsi"/>
              </w:rPr>
              <w:t>Improved health status of the population, especially poor and vulnerable people</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DF7038C" w14:textId="77777777" w:rsidR="004B387B" w:rsidRDefault="004B387B">
            <w:pPr>
              <w:rPr>
                <w:rFonts w:asciiTheme="minorHAnsi" w:hAnsiTheme="minorHAnsi"/>
                <w:i/>
              </w:rPr>
            </w:pPr>
            <w:r>
              <w:rPr>
                <w:rFonts w:asciiTheme="minorHAnsi" w:hAnsiTheme="minorHAnsi"/>
                <w:i/>
              </w:rPr>
              <w:t>2.1.1 Improved maternal health care, as measured by the number of births assisted by a midwife or qualified nurse as a share of total number of expected births</w:t>
            </w:r>
          </w:p>
          <w:p w14:paraId="684FEAA6" w14:textId="77777777" w:rsidR="004B387B" w:rsidRDefault="004B387B">
            <w:pPr>
              <w:rPr>
                <w:rFonts w:asciiTheme="minorHAnsi" w:hAnsiTheme="minorHAnsi"/>
              </w:rPr>
            </w:pPr>
            <w:r>
              <w:rPr>
                <w:rFonts w:asciiTheme="minorHAnsi" w:hAnsiTheme="minorHAnsi"/>
              </w:rPr>
              <w:t>Baseline: 63.5% (2017)</w:t>
            </w:r>
          </w:p>
          <w:p w14:paraId="5CE9C582" w14:textId="77777777" w:rsidR="004B387B" w:rsidRDefault="004B387B">
            <w:pPr>
              <w:rPr>
                <w:rFonts w:asciiTheme="minorHAnsi" w:hAnsiTheme="minorHAnsi"/>
              </w:rPr>
            </w:pPr>
            <w:r>
              <w:rPr>
                <w:rFonts w:asciiTheme="minorHAnsi" w:hAnsiTheme="minorHAnsi"/>
              </w:rPr>
              <w:t>Target: 70% (2020)</w:t>
            </w:r>
          </w:p>
          <w:p w14:paraId="0F4AF8F3" w14:textId="77777777" w:rsidR="004B387B" w:rsidRDefault="004B387B">
            <w:pPr>
              <w:rPr>
                <w:rFonts w:asciiTheme="minorHAnsi" w:hAnsiTheme="minorHAnsi"/>
              </w:rPr>
            </w:pPr>
          </w:p>
          <w:p w14:paraId="4A3D4B42" w14:textId="77777777" w:rsidR="004B387B" w:rsidRDefault="004B387B">
            <w:pPr>
              <w:rPr>
                <w:rFonts w:asciiTheme="minorHAnsi" w:hAnsiTheme="minorHAnsi"/>
              </w:rPr>
            </w:pPr>
          </w:p>
          <w:p w14:paraId="2C7CF9AC" w14:textId="77777777" w:rsidR="004B387B" w:rsidRDefault="004B387B">
            <w:pPr>
              <w:rPr>
                <w:rFonts w:asciiTheme="minorHAnsi" w:hAnsiTheme="minorHAnsi"/>
              </w:rPr>
            </w:pPr>
          </w:p>
          <w:p w14:paraId="5182F507" w14:textId="77777777" w:rsidR="004B387B" w:rsidRDefault="004B387B">
            <w:pPr>
              <w:rPr>
                <w:rFonts w:asciiTheme="minorHAnsi" w:hAnsiTheme="minorHAnsi"/>
              </w:rPr>
            </w:pPr>
          </w:p>
          <w:p w14:paraId="27FEFA91" w14:textId="77777777" w:rsidR="004B387B" w:rsidRDefault="004B387B">
            <w:pPr>
              <w:rPr>
                <w:rFonts w:asciiTheme="minorHAnsi" w:hAnsiTheme="minorHAnsi"/>
              </w:rPr>
            </w:pPr>
          </w:p>
          <w:p w14:paraId="7BDF4B2A" w14:textId="77777777" w:rsidR="004B387B" w:rsidRDefault="004B387B">
            <w:pPr>
              <w:rPr>
                <w:rFonts w:asciiTheme="minorHAnsi" w:hAnsiTheme="minorHAnsi"/>
              </w:rPr>
            </w:pPr>
          </w:p>
          <w:p w14:paraId="1CF30836" w14:textId="77777777" w:rsidR="004B387B" w:rsidRDefault="004B387B">
            <w:pPr>
              <w:rPr>
                <w:b/>
              </w:rPr>
            </w:pPr>
          </w:p>
          <w:p w14:paraId="328EB963" w14:textId="77777777" w:rsidR="004B387B" w:rsidRDefault="004B387B">
            <w:pPr>
              <w:rPr>
                <w:rFonts w:asciiTheme="minorHAnsi" w:hAnsiTheme="minorHAnsi"/>
              </w:rPr>
            </w:pPr>
          </w:p>
          <w:p w14:paraId="1AC05D6D" w14:textId="77777777" w:rsidR="004B387B" w:rsidRDefault="004B387B" w:rsidP="00C97360">
            <w:pPr>
              <w:rPr>
                <w:rFonts w:asciiTheme="minorHAnsi" w:hAnsiTheme="minorHAnsi"/>
              </w:rPr>
            </w:pPr>
          </w:p>
        </w:tc>
        <w:tc>
          <w:tcPr>
            <w:tcW w:w="41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CCCC4D"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 xml:space="preserve">Pregnant women receiving antenatal care during a visit to a health care provider </w:t>
            </w:r>
          </w:p>
          <w:p w14:paraId="2BC69E89" w14:textId="77777777" w:rsidR="004B387B" w:rsidRDefault="004B387B">
            <w:pPr>
              <w:rPr>
                <w:rFonts w:asciiTheme="minorHAnsi" w:hAnsiTheme="minorHAnsi"/>
              </w:rPr>
            </w:pPr>
            <w:r>
              <w:rPr>
                <w:rFonts w:asciiTheme="minorHAnsi" w:hAnsiTheme="minorHAnsi"/>
              </w:rPr>
              <w:t>Baseline: 143,460 (September 2016)</w:t>
            </w:r>
          </w:p>
          <w:p w14:paraId="7DBCAB35" w14:textId="77777777" w:rsidR="004B387B" w:rsidRDefault="004B387B">
            <w:pPr>
              <w:rPr>
                <w:rFonts w:asciiTheme="minorHAnsi" w:hAnsiTheme="minorHAnsi"/>
              </w:rPr>
            </w:pPr>
            <w:r>
              <w:rPr>
                <w:rFonts w:asciiTheme="minorHAnsi" w:hAnsiTheme="minorHAnsi"/>
              </w:rPr>
              <w:t>Target: 230,000 (2018)</w:t>
            </w:r>
          </w:p>
          <w:p w14:paraId="4A010E5C" w14:textId="544F2DA6" w:rsidR="004B387B" w:rsidRDefault="00512EF8"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 xml:space="preserve">% </w:t>
            </w:r>
            <w:r w:rsidR="004B387B">
              <w:rPr>
                <w:rFonts w:asciiTheme="minorHAnsi" w:hAnsiTheme="minorHAnsi"/>
                <w:i/>
              </w:rPr>
              <w:t xml:space="preserve">of infants 5 months and younger who are exclusively breastfed in Plateaux and Centrale regions </w:t>
            </w:r>
          </w:p>
          <w:p w14:paraId="2590ADE0" w14:textId="77777777" w:rsidR="004B387B" w:rsidRDefault="004B387B">
            <w:pPr>
              <w:rPr>
                <w:rFonts w:asciiTheme="minorHAnsi" w:hAnsiTheme="minorHAnsi"/>
              </w:rPr>
            </w:pPr>
            <w:r>
              <w:rPr>
                <w:rFonts w:asciiTheme="minorHAnsi" w:hAnsiTheme="minorHAnsi"/>
              </w:rPr>
              <w:t>Baseline: 58% (2016)</w:t>
            </w:r>
          </w:p>
          <w:p w14:paraId="3A6B24AB" w14:textId="77777777" w:rsidR="004B387B" w:rsidRDefault="004B387B">
            <w:pPr>
              <w:rPr>
                <w:rFonts w:asciiTheme="minorHAnsi" w:hAnsiTheme="minorHAnsi"/>
              </w:rPr>
            </w:pPr>
            <w:r>
              <w:rPr>
                <w:rFonts w:asciiTheme="minorHAnsi" w:hAnsiTheme="minorHAnsi"/>
              </w:rPr>
              <w:t>Target: 65% (2018)</w:t>
            </w:r>
          </w:p>
          <w:p w14:paraId="3B6A9A19" w14:textId="7C971A8F" w:rsidR="004B387B" w:rsidRDefault="00512EF8"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 xml:space="preserve">% </w:t>
            </w:r>
            <w:r w:rsidR="004B387B">
              <w:rPr>
                <w:rFonts w:asciiTheme="minorHAnsi" w:hAnsiTheme="minorHAnsi"/>
                <w:i/>
              </w:rPr>
              <w:t xml:space="preserve">of households with children under age 2 that have been visited by CHW to support feeding practices in Plateaux and Centrale </w:t>
            </w:r>
          </w:p>
          <w:p w14:paraId="03A69318" w14:textId="77777777" w:rsidR="004B387B" w:rsidRDefault="004B387B">
            <w:pPr>
              <w:rPr>
                <w:rFonts w:asciiTheme="minorHAnsi" w:hAnsiTheme="minorHAnsi"/>
              </w:rPr>
            </w:pPr>
            <w:r>
              <w:rPr>
                <w:rFonts w:asciiTheme="minorHAnsi" w:hAnsiTheme="minorHAnsi"/>
              </w:rPr>
              <w:t>Baseline:  35% (2016)</w:t>
            </w:r>
          </w:p>
          <w:p w14:paraId="2865A350" w14:textId="77777777" w:rsidR="004B387B" w:rsidRDefault="004B387B">
            <w:pPr>
              <w:rPr>
                <w:rFonts w:asciiTheme="minorHAnsi" w:hAnsiTheme="minorHAnsi"/>
              </w:rPr>
            </w:pPr>
            <w:r>
              <w:rPr>
                <w:rFonts w:asciiTheme="minorHAnsi" w:hAnsiTheme="minorHAnsi"/>
              </w:rPr>
              <w:t>Target:      60% (2018)</w:t>
            </w:r>
          </w:p>
          <w:p w14:paraId="5E36F240" w14:textId="4BE2D74F" w:rsidR="004B387B" w:rsidRDefault="004B387B" w:rsidP="004B387B">
            <w:pPr>
              <w:pStyle w:val="ListParagraph"/>
              <w:numPr>
                <w:ilvl w:val="0"/>
                <w:numId w:val="15"/>
              </w:numPr>
              <w:tabs>
                <w:tab w:val="left" w:pos="257"/>
              </w:tabs>
              <w:ind w:left="0" w:firstLine="0"/>
              <w:rPr>
                <w:rFonts w:asciiTheme="minorHAnsi" w:hAnsiTheme="minorHAnsi"/>
                <w:b/>
                <w:i/>
              </w:rPr>
            </w:pPr>
            <w:r>
              <w:rPr>
                <w:rFonts w:asciiTheme="minorHAnsi" w:hAnsiTheme="minorHAnsi"/>
                <w:b/>
                <w:i/>
              </w:rPr>
              <w:t>Capacity</w:t>
            </w:r>
            <w:r>
              <w:rPr>
                <w:rFonts w:asciiTheme="minorHAnsi" w:hAnsiTheme="minorHAnsi"/>
                <w:b/>
              </w:rPr>
              <w:t xml:space="preserve"> </w:t>
            </w:r>
            <w:r>
              <w:rPr>
                <w:rFonts w:asciiTheme="minorHAnsi" w:hAnsiTheme="minorHAnsi"/>
                <w:b/>
                <w:i/>
              </w:rPr>
              <w:t xml:space="preserve">building </w:t>
            </w:r>
            <w:r w:rsidR="00903297">
              <w:rPr>
                <w:rFonts w:asciiTheme="minorHAnsi" w:hAnsiTheme="minorHAnsi"/>
                <w:b/>
                <w:i/>
              </w:rPr>
              <w:t>for</w:t>
            </w:r>
            <w:r>
              <w:rPr>
                <w:rFonts w:asciiTheme="minorHAnsi" w:hAnsiTheme="minorHAnsi"/>
                <w:b/>
                <w:i/>
              </w:rPr>
              <w:t xml:space="preserve"> the CAMEG (pharmaceuticals purchasing center)</w:t>
            </w:r>
          </w:p>
          <w:p w14:paraId="7CF8784F" w14:textId="77777777" w:rsidR="004B387B" w:rsidRDefault="004B387B">
            <w:pPr>
              <w:rPr>
                <w:rFonts w:asciiTheme="minorHAnsi" w:hAnsiTheme="minorHAnsi"/>
              </w:rPr>
            </w:pPr>
            <w:r>
              <w:rPr>
                <w:rFonts w:asciiTheme="minorHAnsi" w:hAnsiTheme="minorHAnsi"/>
              </w:rPr>
              <w:t>Baseline: No (2016)</w:t>
            </w:r>
          </w:p>
          <w:p w14:paraId="0FE404AC" w14:textId="4352408E" w:rsidR="004B387B" w:rsidRDefault="004B387B" w:rsidP="00C97360">
            <w:pPr>
              <w:rPr>
                <w:rFonts w:asciiTheme="minorHAnsi" w:hAnsiTheme="minorHAnsi"/>
              </w:rPr>
            </w:pPr>
            <w:r>
              <w:rPr>
                <w:rFonts w:asciiTheme="minorHAnsi" w:hAnsiTheme="minorHAnsi"/>
              </w:rPr>
              <w:t>Target: Yes (2018)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99404AA" w14:textId="77777777" w:rsidR="004B387B" w:rsidRDefault="004B387B">
            <w:pPr>
              <w:rPr>
                <w:rFonts w:asciiTheme="minorHAnsi" w:hAnsiTheme="minorHAnsi"/>
                <w:b/>
                <w:i/>
              </w:rPr>
            </w:pPr>
            <w:r>
              <w:rPr>
                <w:rFonts w:asciiTheme="minorHAnsi" w:hAnsiTheme="minorHAnsi"/>
                <w:b/>
                <w:i/>
              </w:rPr>
              <w:t xml:space="preserve">Operations </w:t>
            </w:r>
          </w:p>
          <w:p w14:paraId="7E83C0DA" w14:textId="15C41B9E" w:rsidR="004B387B" w:rsidRDefault="004B387B">
            <w:pPr>
              <w:rPr>
                <w:rFonts w:asciiTheme="minorHAnsi" w:hAnsiTheme="minorHAnsi"/>
              </w:rPr>
            </w:pPr>
            <w:r>
              <w:rPr>
                <w:rFonts w:asciiTheme="minorHAnsi" w:hAnsiTheme="minorHAnsi"/>
                <w:b/>
              </w:rPr>
              <w:t>IDA:</w:t>
            </w:r>
            <w:r>
              <w:rPr>
                <w:rFonts w:asciiTheme="minorHAnsi" w:hAnsiTheme="minorHAnsi"/>
              </w:rPr>
              <w:t xml:space="preserve"> Maternal and </w:t>
            </w:r>
            <w:r w:rsidR="006850A5">
              <w:rPr>
                <w:rFonts w:asciiTheme="minorHAnsi" w:hAnsiTheme="minorHAnsi"/>
              </w:rPr>
              <w:t xml:space="preserve">Infant </w:t>
            </w:r>
            <w:r>
              <w:rPr>
                <w:rFonts w:asciiTheme="minorHAnsi" w:hAnsiTheme="minorHAnsi"/>
              </w:rPr>
              <w:t>Health and Nutrition Services (FY14); Regional Disease Surveillance</w:t>
            </w:r>
            <w:r w:rsidR="006850A5">
              <w:rPr>
                <w:rFonts w:asciiTheme="minorHAnsi" w:hAnsiTheme="minorHAnsi"/>
              </w:rPr>
              <w:t xml:space="preserve"> Systems Enhancement</w:t>
            </w:r>
            <w:r>
              <w:rPr>
                <w:rFonts w:asciiTheme="minorHAnsi" w:hAnsiTheme="minorHAnsi"/>
              </w:rPr>
              <w:t xml:space="preserve"> (FY17); </w:t>
            </w:r>
          </w:p>
          <w:p w14:paraId="1F8A55E5" w14:textId="77777777" w:rsidR="004B387B" w:rsidRDefault="004B387B">
            <w:pPr>
              <w:rPr>
                <w:rFonts w:asciiTheme="minorHAnsi" w:hAnsiTheme="minorHAnsi"/>
              </w:rPr>
            </w:pPr>
            <w:r>
              <w:rPr>
                <w:rFonts w:asciiTheme="minorHAnsi" w:hAnsiTheme="minorHAnsi"/>
                <w:b/>
              </w:rPr>
              <w:t xml:space="preserve">IFC: </w:t>
            </w:r>
            <w:r>
              <w:rPr>
                <w:rFonts w:asciiTheme="minorHAnsi" w:hAnsiTheme="minorHAnsi"/>
              </w:rPr>
              <w:t>Clinique Biasa</w:t>
            </w:r>
          </w:p>
          <w:p w14:paraId="190DFED9" w14:textId="77777777" w:rsidR="004B387B" w:rsidRDefault="004B387B">
            <w:pPr>
              <w:rPr>
                <w:rFonts w:asciiTheme="minorHAnsi" w:hAnsiTheme="minorHAnsi"/>
              </w:rPr>
            </w:pPr>
          </w:p>
          <w:p w14:paraId="48F67757" w14:textId="77777777" w:rsidR="004B387B" w:rsidRDefault="004B387B">
            <w:pPr>
              <w:rPr>
                <w:rFonts w:asciiTheme="minorHAnsi" w:hAnsiTheme="minorHAnsi"/>
                <w:b/>
                <w:i/>
              </w:rPr>
            </w:pPr>
            <w:r>
              <w:rPr>
                <w:rFonts w:asciiTheme="minorHAnsi" w:hAnsiTheme="minorHAnsi"/>
                <w:b/>
                <w:i/>
              </w:rPr>
              <w:t xml:space="preserve">Advisory Services and Analytics </w:t>
            </w:r>
          </w:p>
          <w:p w14:paraId="4F54F8E0" w14:textId="0D03B6F7" w:rsidR="004B387B" w:rsidRPr="00C97360" w:rsidRDefault="00903297">
            <w:pPr>
              <w:rPr>
                <w:rFonts w:asciiTheme="minorHAnsi" w:hAnsiTheme="minorHAnsi"/>
              </w:rPr>
            </w:pPr>
            <w:r w:rsidRPr="00C97360">
              <w:rPr>
                <w:rFonts w:asciiTheme="minorHAnsi" w:hAnsiTheme="minorHAnsi"/>
              </w:rPr>
              <w:t>Identification and Targeting for Social Services</w:t>
            </w:r>
            <w:r>
              <w:rPr>
                <w:rFonts w:asciiTheme="minorHAnsi" w:hAnsiTheme="minorHAnsi"/>
              </w:rPr>
              <w:t xml:space="preserve"> (FY18)</w:t>
            </w:r>
          </w:p>
          <w:p w14:paraId="09DC99FF" w14:textId="77777777" w:rsidR="004B387B" w:rsidRDefault="004B387B">
            <w:pPr>
              <w:rPr>
                <w:rFonts w:asciiTheme="minorHAnsi" w:hAnsiTheme="minorHAnsi"/>
              </w:rPr>
            </w:pPr>
          </w:p>
          <w:p w14:paraId="6F0C7F56" w14:textId="77777777" w:rsidR="004B387B" w:rsidRDefault="004B387B">
            <w:pPr>
              <w:rPr>
                <w:rFonts w:asciiTheme="minorHAnsi" w:hAnsiTheme="minorHAnsi"/>
                <w:b/>
                <w:i/>
              </w:rPr>
            </w:pPr>
            <w:r>
              <w:rPr>
                <w:rFonts w:asciiTheme="minorHAnsi" w:hAnsiTheme="minorHAnsi"/>
                <w:b/>
                <w:i/>
              </w:rPr>
              <w:t>Partners</w:t>
            </w:r>
          </w:p>
          <w:p w14:paraId="4D7DECD2" w14:textId="0EF75DD3" w:rsidR="004B387B" w:rsidRDefault="004B387B" w:rsidP="00C97360">
            <w:pPr>
              <w:rPr>
                <w:rFonts w:asciiTheme="minorHAnsi" w:hAnsiTheme="minorHAnsi"/>
                <w:b/>
                <w:i/>
              </w:rPr>
            </w:pPr>
            <w:r>
              <w:rPr>
                <w:rFonts w:asciiTheme="minorHAnsi" w:hAnsiTheme="minorHAnsi"/>
              </w:rPr>
              <w:t xml:space="preserve">UNICEF, WHO, </w:t>
            </w:r>
            <w:r w:rsidR="00903297">
              <w:rPr>
                <w:rFonts w:asciiTheme="minorHAnsi" w:hAnsiTheme="minorHAnsi"/>
              </w:rPr>
              <w:t>GAVI, Global Fund, USAID</w:t>
            </w:r>
          </w:p>
        </w:tc>
      </w:tr>
      <w:tr w:rsidR="00906CCE" w14:paraId="6670C905" w14:textId="77777777" w:rsidTr="00F93038">
        <w:tc>
          <w:tcPr>
            <w:tcW w:w="12955" w:type="dxa"/>
            <w:gridSpan w:val="4"/>
            <w:tcBorders>
              <w:top w:val="single" w:sz="4" w:space="0" w:color="auto"/>
              <w:left w:val="single" w:sz="4" w:space="0" w:color="auto"/>
              <w:bottom w:val="single" w:sz="4" w:space="0" w:color="auto"/>
              <w:right w:val="single" w:sz="4" w:space="0" w:color="auto"/>
            </w:tcBorders>
            <w:shd w:val="clear" w:color="auto" w:fill="F4EBDE" w:themeFill="accent5" w:themeFillTint="33"/>
            <w:hideMark/>
          </w:tcPr>
          <w:p w14:paraId="4E171440" w14:textId="13A69F5F" w:rsidR="00906CCE" w:rsidRDefault="00906CCE" w:rsidP="00C97360">
            <w:pPr>
              <w:rPr>
                <w:rFonts w:asciiTheme="minorHAnsi" w:hAnsiTheme="minorHAnsi"/>
                <w:color w:val="000000"/>
              </w:rPr>
            </w:pPr>
            <w:r>
              <w:rPr>
                <w:rFonts w:asciiTheme="minorHAnsi" w:hAnsiTheme="minorHAnsi"/>
                <w:b/>
              </w:rPr>
              <w:lastRenderedPageBreak/>
              <w:t>Objective 2.</w:t>
            </w:r>
            <w:r w:rsidR="00903297">
              <w:rPr>
                <w:rFonts w:asciiTheme="minorHAnsi" w:hAnsiTheme="minorHAnsi"/>
                <w:b/>
              </w:rPr>
              <w:t>2</w:t>
            </w:r>
            <w:r>
              <w:rPr>
                <w:rFonts w:asciiTheme="minorHAnsi" w:hAnsiTheme="minorHAnsi"/>
                <w:b/>
              </w:rPr>
              <w:t xml:space="preserve">: Strengthen </w:t>
            </w:r>
            <w:r w:rsidR="00903297">
              <w:rPr>
                <w:rFonts w:asciiTheme="minorHAnsi" w:hAnsiTheme="minorHAnsi"/>
                <w:b/>
              </w:rPr>
              <w:t xml:space="preserve">Basic Services at </w:t>
            </w:r>
            <w:r w:rsidR="00E85DF4">
              <w:rPr>
                <w:rFonts w:asciiTheme="minorHAnsi" w:hAnsiTheme="minorHAnsi"/>
                <w:b/>
              </w:rPr>
              <w:t xml:space="preserve">the </w:t>
            </w:r>
            <w:r w:rsidR="00903297">
              <w:rPr>
                <w:rFonts w:asciiTheme="minorHAnsi" w:hAnsiTheme="minorHAnsi"/>
                <w:b/>
              </w:rPr>
              <w:t>Local Level</w:t>
            </w:r>
          </w:p>
        </w:tc>
      </w:tr>
      <w:tr w:rsidR="00906CCE" w14:paraId="271B12FD" w14:textId="77777777" w:rsidTr="00F93038">
        <w:tc>
          <w:tcPr>
            <w:tcW w:w="12955" w:type="dxa"/>
            <w:gridSpan w:val="4"/>
            <w:tcBorders>
              <w:top w:val="single" w:sz="4" w:space="0" w:color="auto"/>
              <w:left w:val="single" w:sz="4" w:space="0" w:color="auto"/>
              <w:bottom w:val="single" w:sz="4" w:space="0" w:color="auto"/>
              <w:right w:val="single" w:sz="4" w:space="0" w:color="auto"/>
            </w:tcBorders>
            <w:hideMark/>
          </w:tcPr>
          <w:p w14:paraId="0FDCA2A1" w14:textId="1C4E397C" w:rsidR="00906CCE" w:rsidRPr="00C97360" w:rsidRDefault="00906CCE" w:rsidP="00F93038">
            <w:pPr>
              <w:jc w:val="both"/>
              <w:rPr>
                <w:rFonts w:asciiTheme="minorHAnsi" w:hAnsiTheme="minorHAnsi"/>
                <w:sz w:val="18"/>
              </w:rPr>
            </w:pPr>
            <w:r>
              <w:rPr>
                <w:rFonts w:asciiTheme="minorHAnsi" w:hAnsiTheme="minorHAnsi"/>
                <w:b/>
              </w:rPr>
              <w:t xml:space="preserve">Intervention Logic: </w:t>
            </w:r>
            <w:r w:rsidR="00512EF8" w:rsidRPr="00C97360">
              <w:rPr>
                <w:rFonts w:asciiTheme="minorHAnsi" w:hAnsiTheme="minorHAnsi"/>
                <w:szCs w:val="24"/>
              </w:rPr>
              <w:t>Both urban and rural areas face challenges in delivering basic services. Rural infrastructure is particularly scarce and poorly maintained, thus constraining growth and poverty reduction. Urban infrastructure services are under pressure as urban centers grow beyond their means to deliver adequate services.</w:t>
            </w:r>
            <w:r w:rsidR="00DD1079">
              <w:rPr>
                <w:rFonts w:asciiTheme="minorHAnsi" w:hAnsiTheme="minorHAnsi"/>
                <w:szCs w:val="24"/>
              </w:rPr>
              <w:t xml:space="preserve"> Urban areas such as Lomé have seen an increase in poverty rates.</w:t>
            </w:r>
          </w:p>
          <w:p w14:paraId="1E57BDDA" w14:textId="6131EC98" w:rsidR="00906CCE" w:rsidRDefault="0009588E" w:rsidP="00F93038">
            <w:pPr>
              <w:ind w:firstLine="335"/>
              <w:jc w:val="both"/>
              <w:rPr>
                <w:rFonts w:asciiTheme="minorHAnsi" w:hAnsiTheme="minorHAnsi"/>
                <w:b/>
              </w:rPr>
            </w:pPr>
            <w:r w:rsidRPr="00C97360">
              <w:rPr>
                <w:rFonts w:asciiTheme="minorHAnsi" w:hAnsiTheme="minorHAnsi"/>
                <w:szCs w:val="24"/>
              </w:rPr>
              <w:t>IDA will support a national program to deliver rural community-level health, education, and basic infrastructure services—including small water works and rural roads, using CDD approaches. IDA will also support infrastructure services in</w:t>
            </w:r>
            <w:r w:rsidR="00DD1079">
              <w:rPr>
                <w:rFonts w:asciiTheme="minorHAnsi" w:hAnsiTheme="minorHAnsi"/>
                <w:szCs w:val="24"/>
              </w:rPr>
              <w:t xml:space="preserve"> Lomé and</w:t>
            </w:r>
            <w:r w:rsidRPr="00C97360">
              <w:rPr>
                <w:rFonts w:asciiTheme="minorHAnsi" w:hAnsiTheme="minorHAnsi"/>
                <w:szCs w:val="24"/>
              </w:rPr>
              <w:t xml:space="preserve"> secondary cities and build capacity of central and local governments to better manage urban development a</w:t>
            </w:r>
            <w:r w:rsidR="00DD1079" w:rsidRPr="00C97360">
              <w:rPr>
                <w:rFonts w:asciiTheme="minorHAnsi" w:hAnsiTheme="minorHAnsi"/>
                <w:szCs w:val="24"/>
              </w:rPr>
              <w:t>nd urban service delivery</w:t>
            </w:r>
            <w:r w:rsidR="00512EF8" w:rsidRPr="00C97360">
              <w:rPr>
                <w:rFonts w:asciiTheme="minorHAnsi" w:hAnsiTheme="minorHAnsi"/>
                <w:szCs w:val="24"/>
              </w:rPr>
              <w:t>.</w:t>
            </w:r>
          </w:p>
        </w:tc>
      </w:tr>
      <w:tr w:rsidR="00906CCE" w14:paraId="0EC4E1E9" w14:textId="77777777" w:rsidTr="00F93038">
        <w:trPr>
          <w:trHeight w:hRule="exact" w:val="559"/>
        </w:trPr>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14:paraId="54B42FA1" w14:textId="77777777" w:rsidR="00906CCE" w:rsidRDefault="00906CCE" w:rsidP="00F93038">
            <w:pPr>
              <w:jc w:val="center"/>
              <w:rPr>
                <w:rFonts w:asciiTheme="minorHAnsi" w:hAnsiTheme="minorHAnsi"/>
                <w:b/>
                <w:color w:val="548DD4"/>
              </w:rPr>
            </w:pPr>
            <w:r>
              <w:rPr>
                <w:rFonts w:asciiTheme="minorHAnsi" w:hAnsiTheme="minorHAnsi"/>
                <w:b/>
                <w:color w:val="548DD4"/>
              </w:rPr>
              <w:t>Country Development Goals</w:t>
            </w:r>
          </w:p>
          <w:p w14:paraId="1F94046A" w14:textId="77777777" w:rsidR="00906CCE" w:rsidRDefault="00906CCE" w:rsidP="00F93038">
            <w:pPr>
              <w:jc w:val="center"/>
              <w:rPr>
                <w:rFonts w:asciiTheme="minorHAnsi" w:hAnsiTheme="minorHAnsi"/>
                <w:b/>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7A1095" w14:textId="77777777" w:rsidR="00906CCE" w:rsidRDefault="00906CCE" w:rsidP="00F93038">
            <w:pPr>
              <w:jc w:val="center"/>
              <w:rPr>
                <w:rFonts w:asciiTheme="minorHAnsi" w:hAnsiTheme="minorHAnsi"/>
                <w:b/>
                <w:color w:val="548DD4"/>
              </w:rPr>
            </w:pPr>
            <w:r>
              <w:rPr>
                <w:rFonts w:asciiTheme="minorHAnsi" w:hAnsiTheme="minorHAnsi"/>
                <w:b/>
                <w:color w:val="548DD4"/>
              </w:rPr>
              <w:t>CPF Objective Indicators</w:t>
            </w:r>
          </w:p>
          <w:p w14:paraId="41DACED7" w14:textId="77777777" w:rsidR="00906CCE" w:rsidRDefault="00906CCE" w:rsidP="00F93038">
            <w:pPr>
              <w:jc w:val="center"/>
              <w:rPr>
                <w:rFonts w:asciiTheme="minorHAnsi" w:hAnsiTheme="minorHAnsi"/>
                <w:b/>
              </w:rPr>
            </w:pPr>
          </w:p>
        </w:tc>
        <w:tc>
          <w:tcPr>
            <w:tcW w:w="41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3DD61E" w14:textId="77777777" w:rsidR="00906CCE" w:rsidRDefault="00906CCE" w:rsidP="00F93038">
            <w:pPr>
              <w:jc w:val="center"/>
              <w:rPr>
                <w:rFonts w:asciiTheme="minorHAnsi" w:hAnsiTheme="minorHAnsi"/>
                <w:b/>
                <w:color w:val="548DD4"/>
              </w:rPr>
            </w:pPr>
            <w:r>
              <w:rPr>
                <w:rFonts w:asciiTheme="minorHAnsi" w:hAnsiTheme="minorHAnsi"/>
                <w:b/>
                <w:color w:val="548DD4"/>
              </w:rPr>
              <w:t>Supplementary Progress Indicators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BDF5E" w14:textId="77777777" w:rsidR="00906CCE" w:rsidRDefault="00906CCE" w:rsidP="00F93038">
            <w:pPr>
              <w:jc w:val="center"/>
              <w:rPr>
                <w:rFonts w:asciiTheme="minorHAnsi" w:hAnsiTheme="minorHAnsi"/>
                <w:b/>
                <w:color w:val="548DD4"/>
              </w:rPr>
            </w:pPr>
            <w:r>
              <w:rPr>
                <w:rFonts w:asciiTheme="minorHAnsi" w:hAnsiTheme="minorHAnsi"/>
                <w:b/>
                <w:color w:val="548DD4"/>
              </w:rPr>
              <w:t>WBG Program</w:t>
            </w:r>
          </w:p>
        </w:tc>
      </w:tr>
      <w:tr w:rsidR="00906CCE" w14:paraId="11C4DACB" w14:textId="77777777" w:rsidTr="00906CCE">
        <w:trPr>
          <w:trHeight w:val="1233"/>
        </w:trPr>
        <w:tc>
          <w:tcPr>
            <w:tcW w:w="2538" w:type="dxa"/>
          </w:tcPr>
          <w:p w14:paraId="64175B54" w14:textId="77777777" w:rsidR="00906CCE" w:rsidRDefault="00906CCE" w:rsidP="00F93038">
            <w:pPr>
              <w:rPr>
                <w:rFonts w:asciiTheme="minorHAnsi" w:hAnsiTheme="minorHAnsi"/>
                <w:b/>
              </w:rPr>
            </w:pPr>
            <w:r>
              <w:rPr>
                <w:rFonts w:asciiTheme="minorHAnsi" w:hAnsiTheme="minorHAnsi"/>
                <w:b/>
              </w:rPr>
              <w:t>PND Pillar 1</w:t>
            </w:r>
          </w:p>
          <w:p w14:paraId="6F178353" w14:textId="77777777" w:rsidR="00906CCE" w:rsidRDefault="00906CCE" w:rsidP="00F93038">
            <w:pPr>
              <w:rPr>
                <w:rFonts w:asciiTheme="minorHAnsi" w:hAnsiTheme="minorHAnsi"/>
              </w:rPr>
            </w:pPr>
            <w:r>
              <w:rPr>
                <w:rFonts w:asciiTheme="minorHAnsi" w:hAnsiTheme="minorHAnsi"/>
              </w:rPr>
              <w:t>Improving the well-being and development of the population</w:t>
            </w:r>
          </w:p>
          <w:p w14:paraId="47F24B12" w14:textId="77777777" w:rsidR="00906CCE" w:rsidRDefault="00906CCE" w:rsidP="00F93038">
            <w:pPr>
              <w:rPr>
                <w:rFonts w:asciiTheme="minorHAnsi" w:hAnsiTheme="minorHAnsi"/>
              </w:rPr>
            </w:pPr>
          </w:p>
          <w:p w14:paraId="4B4A8FCC" w14:textId="77777777" w:rsidR="000740A4" w:rsidRDefault="000740A4" w:rsidP="000740A4">
            <w:pPr>
              <w:rPr>
                <w:rFonts w:asciiTheme="minorHAnsi" w:hAnsiTheme="minorHAnsi"/>
                <w:b/>
              </w:rPr>
            </w:pPr>
            <w:r>
              <w:rPr>
                <w:rFonts w:asciiTheme="minorHAnsi" w:hAnsiTheme="minorHAnsi"/>
                <w:b/>
              </w:rPr>
              <w:t>PND Pillar 3</w:t>
            </w:r>
          </w:p>
          <w:p w14:paraId="067B7009" w14:textId="77777777" w:rsidR="000740A4" w:rsidRDefault="000740A4" w:rsidP="000740A4">
            <w:pPr>
              <w:rPr>
                <w:rFonts w:asciiTheme="minorHAnsi" w:hAnsiTheme="minorHAnsi"/>
                <w:sz w:val="20"/>
              </w:rPr>
            </w:pPr>
            <w:r>
              <w:rPr>
                <w:rFonts w:asciiTheme="minorHAnsi" w:hAnsiTheme="minorHAnsi"/>
              </w:rPr>
              <w:t>Strengthening infrastructure to support growth</w:t>
            </w:r>
          </w:p>
          <w:p w14:paraId="4885C476" w14:textId="77777777" w:rsidR="000740A4" w:rsidRDefault="000740A4" w:rsidP="000740A4">
            <w:pPr>
              <w:rPr>
                <w:rFonts w:asciiTheme="minorHAnsi" w:hAnsiTheme="minorHAnsi"/>
              </w:rPr>
            </w:pPr>
          </w:p>
          <w:p w14:paraId="2E8AE6B7" w14:textId="77777777" w:rsidR="000740A4" w:rsidRDefault="000740A4" w:rsidP="000740A4">
            <w:pPr>
              <w:rPr>
                <w:rFonts w:asciiTheme="minorHAnsi" w:hAnsiTheme="minorHAnsi"/>
                <w:b/>
              </w:rPr>
            </w:pPr>
            <w:r>
              <w:rPr>
                <w:rFonts w:asciiTheme="minorHAnsi" w:hAnsiTheme="minorHAnsi"/>
                <w:b/>
              </w:rPr>
              <w:t>SDG 9</w:t>
            </w:r>
          </w:p>
          <w:p w14:paraId="21C1C111" w14:textId="77777777" w:rsidR="000740A4" w:rsidRDefault="000740A4" w:rsidP="000740A4">
            <w:pPr>
              <w:rPr>
                <w:rFonts w:asciiTheme="minorHAnsi" w:hAnsiTheme="minorHAnsi"/>
              </w:rPr>
            </w:pPr>
            <w:r>
              <w:rPr>
                <w:rFonts w:asciiTheme="minorHAnsi" w:hAnsiTheme="minorHAnsi"/>
              </w:rPr>
              <w:t>Industry, Innovation, and Infrastructure</w:t>
            </w:r>
          </w:p>
          <w:p w14:paraId="417BBFD5" w14:textId="3C2C20AD" w:rsidR="00906CCE" w:rsidRDefault="00906CCE" w:rsidP="00F93038">
            <w:pPr>
              <w:rPr>
                <w:rFonts w:asciiTheme="minorHAnsi" w:hAnsiTheme="minorHAnsi"/>
              </w:rPr>
            </w:pPr>
          </w:p>
        </w:tc>
        <w:tc>
          <w:tcPr>
            <w:tcW w:w="3690" w:type="dxa"/>
          </w:tcPr>
          <w:p w14:paraId="09E928E0" w14:textId="5674B7C9" w:rsidR="00906CCE" w:rsidRDefault="003622B6" w:rsidP="00F93038">
            <w:pPr>
              <w:rPr>
                <w:rFonts w:asciiTheme="minorHAnsi" w:hAnsiTheme="minorHAnsi"/>
                <w:i/>
              </w:rPr>
            </w:pPr>
            <w:r>
              <w:rPr>
                <w:rFonts w:asciiTheme="minorHAnsi" w:hAnsiTheme="minorHAnsi"/>
                <w:i/>
              </w:rPr>
              <w:t>2</w:t>
            </w:r>
            <w:r w:rsidR="00906CCE">
              <w:rPr>
                <w:rFonts w:asciiTheme="minorHAnsi" w:hAnsiTheme="minorHAnsi"/>
                <w:i/>
              </w:rPr>
              <w:t>.2</w:t>
            </w:r>
            <w:r>
              <w:rPr>
                <w:rFonts w:asciiTheme="minorHAnsi" w:hAnsiTheme="minorHAnsi"/>
                <w:i/>
              </w:rPr>
              <w:t>.1</w:t>
            </w:r>
            <w:r w:rsidR="00906CCE">
              <w:rPr>
                <w:rFonts w:asciiTheme="minorHAnsi" w:hAnsiTheme="minorHAnsi"/>
                <w:i/>
              </w:rPr>
              <w:t xml:space="preserve"> Improved infrastructure services available at the local level, as measured by:</w:t>
            </w:r>
          </w:p>
          <w:p w14:paraId="50D1D4CB" w14:textId="77777777" w:rsidR="00906CCE" w:rsidRDefault="00906CCE" w:rsidP="00F93038">
            <w:pPr>
              <w:rPr>
                <w:rFonts w:asciiTheme="minorHAnsi" w:hAnsiTheme="minorHAnsi"/>
              </w:rPr>
            </w:pPr>
            <w:r>
              <w:rPr>
                <w:rFonts w:asciiTheme="minorHAnsi" w:hAnsiTheme="minorHAnsi"/>
              </w:rPr>
              <w:t xml:space="preserve">a. </w:t>
            </w:r>
            <w:r>
              <w:rPr>
                <w:rFonts w:asciiTheme="minorHAnsi" w:hAnsiTheme="minorHAnsi"/>
                <w:noProof/>
              </w:rPr>
              <w:t xml:space="preserve">Students enrolled in rehabilitated or constructed schools under BSSN project </w:t>
            </w:r>
          </w:p>
          <w:p w14:paraId="1CDD4B29" w14:textId="77777777" w:rsidR="00906CCE" w:rsidRDefault="00906CCE" w:rsidP="00F93038">
            <w:pPr>
              <w:rPr>
                <w:rFonts w:asciiTheme="minorHAnsi" w:hAnsiTheme="minorHAnsi"/>
              </w:rPr>
            </w:pPr>
            <w:r>
              <w:rPr>
                <w:rFonts w:asciiTheme="minorHAnsi" w:hAnsiTheme="minorHAnsi"/>
              </w:rPr>
              <w:t>Baseline: 0 (2017)</w:t>
            </w:r>
          </w:p>
          <w:p w14:paraId="70992E72" w14:textId="77777777" w:rsidR="00906CCE" w:rsidRDefault="00906CCE" w:rsidP="00F93038">
            <w:pPr>
              <w:rPr>
                <w:rFonts w:asciiTheme="minorHAnsi" w:hAnsiTheme="minorHAnsi"/>
              </w:rPr>
            </w:pPr>
            <w:r>
              <w:rPr>
                <w:rFonts w:asciiTheme="minorHAnsi" w:hAnsiTheme="minorHAnsi"/>
              </w:rPr>
              <w:t>Target: 21,400 (2020)</w:t>
            </w:r>
          </w:p>
          <w:p w14:paraId="3F97C15A" w14:textId="77777777" w:rsidR="00906CCE" w:rsidRDefault="00906CCE" w:rsidP="00F93038">
            <w:pPr>
              <w:rPr>
                <w:rFonts w:asciiTheme="minorHAnsi" w:hAnsiTheme="minorHAnsi"/>
              </w:rPr>
            </w:pPr>
            <w:r>
              <w:rPr>
                <w:rFonts w:asciiTheme="minorHAnsi" w:hAnsiTheme="minorHAnsi"/>
              </w:rPr>
              <w:t xml:space="preserve">b. </w:t>
            </w:r>
            <w:r w:rsidRPr="00C97360">
              <w:rPr>
                <w:rFonts w:asciiTheme="minorHAnsi" w:hAnsiTheme="minorHAnsi"/>
                <w:i/>
                <w:noProof/>
                <w:szCs w:val="20"/>
              </w:rPr>
              <w:t>Number of people in rural areas provided with access to improved water sources under BSSN project</w:t>
            </w:r>
            <w:r w:rsidRPr="00C97360">
              <w:rPr>
                <w:rFonts w:asciiTheme="minorHAnsi" w:hAnsiTheme="minorHAnsi"/>
                <w:i/>
              </w:rPr>
              <w:t xml:space="preserve"> </w:t>
            </w:r>
          </w:p>
          <w:p w14:paraId="3BE16FF0" w14:textId="77777777" w:rsidR="00906CCE" w:rsidRDefault="00906CCE" w:rsidP="00F93038">
            <w:pPr>
              <w:rPr>
                <w:rFonts w:asciiTheme="minorHAnsi" w:hAnsiTheme="minorHAnsi"/>
              </w:rPr>
            </w:pPr>
            <w:r>
              <w:rPr>
                <w:rFonts w:asciiTheme="minorHAnsi" w:hAnsiTheme="minorHAnsi"/>
              </w:rPr>
              <w:t>Baseline: 0 (2017)</w:t>
            </w:r>
          </w:p>
          <w:p w14:paraId="529026A6" w14:textId="77777777" w:rsidR="00906CCE" w:rsidRDefault="00906CCE" w:rsidP="00F93038">
            <w:pPr>
              <w:rPr>
                <w:rFonts w:asciiTheme="minorHAnsi" w:hAnsiTheme="minorHAnsi"/>
              </w:rPr>
            </w:pPr>
            <w:r>
              <w:rPr>
                <w:rFonts w:asciiTheme="minorHAnsi" w:hAnsiTheme="minorHAnsi"/>
              </w:rPr>
              <w:t>Target: 41,200 (2020)</w:t>
            </w:r>
          </w:p>
          <w:p w14:paraId="7F278DAF" w14:textId="77777777" w:rsidR="00906CCE" w:rsidRDefault="00906CCE" w:rsidP="00F93038">
            <w:pPr>
              <w:rPr>
                <w:rFonts w:asciiTheme="minorHAnsi" w:hAnsiTheme="minorHAnsi"/>
              </w:rPr>
            </w:pPr>
          </w:p>
          <w:p w14:paraId="2B737B8B" w14:textId="43762B09" w:rsidR="00906CCE" w:rsidRDefault="00906CCE" w:rsidP="00F93038">
            <w:pPr>
              <w:rPr>
                <w:rFonts w:asciiTheme="minorHAnsi" w:hAnsiTheme="minorHAnsi"/>
                <w:i/>
              </w:rPr>
            </w:pPr>
            <w:r>
              <w:rPr>
                <w:rFonts w:asciiTheme="minorHAnsi" w:hAnsiTheme="minorHAnsi"/>
                <w:i/>
              </w:rPr>
              <w:t>2.</w:t>
            </w:r>
            <w:r w:rsidR="003622B6">
              <w:rPr>
                <w:rFonts w:asciiTheme="minorHAnsi" w:hAnsiTheme="minorHAnsi"/>
                <w:i/>
              </w:rPr>
              <w:t>2.2</w:t>
            </w:r>
            <w:r>
              <w:rPr>
                <w:rFonts w:asciiTheme="minorHAnsi" w:hAnsiTheme="minorHAnsi"/>
                <w:b/>
                <w:i/>
              </w:rPr>
              <w:t xml:space="preserve"> Improved satisfaction with social services at the local level</w:t>
            </w:r>
            <w:r>
              <w:rPr>
                <w:rFonts w:asciiTheme="minorHAnsi" w:hAnsiTheme="minorHAnsi"/>
                <w:i/>
              </w:rPr>
              <w:t>, as measured by the p</w:t>
            </w:r>
            <w:r>
              <w:rPr>
                <w:rFonts w:asciiTheme="minorHAnsi" w:hAnsiTheme="minorHAnsi"/>
                <w:i/>
                <w:noProof/>
              </w:rPr>
              <w:t>ercentage of citizens satisfied with quality of and access to basic services in priority sectors</w:t>
            </w:r>
          </w:p>
          <w:p w14:paraId="08575ED6" w14:textId="77777777" w:rsidR="00906CCE" w:rsidRDefault="00906CCE" w:rsidP="00F93038">
            <w:pPr>
              <w:rPr>
                <w:rFonts w:asciiTheme="minorHAnsi" w:hAnsiTheme="minorHAnsi"/>
              </w:rPr>
            </w:pPr>
            <w:r>
              <w:rPr>
                <w:rFonts w:asciiTheme="minorHAnsi" w:hAnsiTheme="minorHAnsi"/>
              </w:rPr>
              <w:t>Baseline: 45% (2017)</w:t>
            </w:r>
          </w:p>
          <w:p w14:paraId="1ADDFB55" w14:textId="77777777" w:rsidR="00906CCE" w:rsidRDefault="00906CCE" w:rsidP="00F93038">
            <w:pPr>
              <w:rPr>
                <w:rFonts w:asciiTheme="minorHAnsi" w:hAnsiTheme="minorHAnsi"/>
              </w:rPr>
            </w:pPr>
            <w:r>
              <w:rPr>
                <w:rFonts w:asciiTheme="minorHAnsi" w:hAnsiTheme="minorHAnsi"/>
              </w:rPr>
              <w:t>Target: 55% (2020)</w:t>
            </w:r>
          </w:p>
          <w:p w14:paraId="50FF9936" w14:textId="77777777" w:rsidR="00906CCE" w:rsidRDefault="00906CCE" w:rsidP="00F93038">
            <w:pPr>
              <w:rPr>
                <w:rFonts w:asciiTheme="minorHAnsi" w:hAnsiTheme="minorHAnsi"/>
              </w:rPr>
            </w:pPr>
          </w:p>
        </w:tc>
        <w:tc>
          <w:tcPr>
            <w:tcW w:w="4117" w:type="dxa"/>
          </w:tcPr>
          <w:p w14:paraId="0083081C" w14:textId="77777777" w:rsidR="00906CCE" w:rsidRDefault="00906CCE" w:rsidP="00F93038">
            <w:pPr>
              <w:pStyle w:val="ListParagraph"/>
              <w:numPr>
                <w:ilvl w:val="0"/>
                <w:numId w:val="15"/>
              </w:numPr>
              <w:tabs>
                <w:tab w:val="left" w:pos="257"/>
              </w:tabs>
              <w:ind w:left="0" w:firstLine="0"/>
              <w:rPr>
                <w:rFonts w:asciiTheme="minorHAnsi" w:hAnsiTheme="minorHAnsi"/>
                <w:i/>
              </w:rPr>
            </w:pPr>
            <w:r>
              <w:rPr>
                <w:rFonts w:asciiTheme="minorHAnsi" w:hAnsiTheme="minorHAnsi"/>
                <w:i/>
                <w:noProof/>
                <w:szCs w:val="20"/>
              </w:rPr>
              <w:t xml:space="preserve">Number of additional classrooms built or rehabilitated at the primary level resulting from project interventions </w:t>
            </w:r>
          </w:p>
          <w:p w14:paraId="3DDAC8A1" w14:textId="77777777" w:rsidR="00906CCE" w:rsidRDefault="00906CCE" w:rsidP="00F93038">
            <w:pPr>
              <w:rPr>
                <w:rFonts w:asciiTheme="minorHAnsi" w:hAnsiTheme="minorHAnsi"/>
              </w:rPr>
            </w:pPr>
            <w:r>
              <w:rPr>
                <w:rFonts w:asciiTheme="minorHAnsi" w:hAnsiTheme="minorHAnsi"/>
              </w:rPr>
              <w:t>Baseline: 0 (2017)</w:t>
            </w:r>
          </w:p>
          <w:p w14:paraId="0D4F93A5" w14:textId="77777777" w:rsidR="00906CCE" w:rsidRDefault="00906CCE" w:rsidP="00F93038">
            <w:pPr>
              <w:rPr>
                <w:rFonts w:asciiTheme="minorHAnsi" w:hAnsiTheme="minorHAnsi"/>
              </w:rPr>
            </w:pPr>
            <w:r>
              <w:rPr>
                <w:rFonts w:asciiTheme="minorHAnsi" w:hAnsiTheme="minorHAnsi"/>
              </w:rPr>
              <w:t>Target: 480 (2020)</w:t>
            </w:r>
          </w:p>
          <w:p w14:paraId="40DFE700" w14:textId="77777777" w:rsidR="00906CCE" w:rsidRDefault="00906CCE" w:rsidP="00F93038">
            <w:pPr>
              <w:rPr>
                <w:rFonts w:asciiTheme="minorHAnsi" w:hAnsiTheme="minorHAnsi"/>
              </w:rPr>
            </w:pPr>
          </w:p>
          <w:p w14:paraId="429EABFA" w14:textId="77777777" w:rsidR="00906CCE" w:rsidRDefault="00906CCE" w:rsidP="00F93038">
            <w:pPr>
              <w:pStyle w:val="ListParagraph"/>
              <w:numPr>
                <w:ilvl w:val="0"/>
                <w:numId w:val="15"/>
              </w:numPr>
              <w:tabs>
                <w:tab w:val="left" w:pos="257"/>
              </w:tabs>
              <w:ind w:left="0" w:firstLine="0"/>
              <w:rPr>
                <w:rFonts w:asciiTheme="minorHAnsi" w:hAnsiTheme="minorHAnsi"/>
                <w:i/>
              </w:rPr>
            </w:pPr>
            <w:r>
              <w:rPr>
                <w:rFonts w:asciiTheme="minorHAnsi" w:hAnsiTheme="minorHAnsi"/>
                <w:i/>
                <w:noProof/>
              </w:rPr>
              <w:t>Improved community water points constructed or rehabilitated under the project</w:t>
            </w:r>
          </w:p>
          <w:p w14:paraId="5C386A90" w14:textId="77777777" w:rsidR="00906CCE" w:rsidRDefault="00906CCE" w:rsidP="00F93038">
            <w:pPr>
              <w:rPr>
                <w:rFonts w:asciiTheme="minorHAnsi" w:hAnsiTheme="minorHAnsi"/>
              </w:rPr>
            </w:pPr>
            <w:r>
              <w:rPr>
                <w:rFonts w:asciiTheme="minorHAnsi" w:hAnsiTheme="minorHAnsi"/>
              </w:rPr>
              <w:t>Baseline: 0 (2017)</w:t>
            </w:r>
          </w:p>
          <w:p w14:paraId="7B5D00DB" w14:textId="77777777" w:rsidR="00906CCE" w:rsidRDefault="00906CCE" w:rsidP="00F93038">
            <w:pPr>
              <w:rPr>
                <w:rFonts w:asciiTheme="minorHAnsi" w:hAnsiTheme="minorHAnsi"/>
                <w:sz w:val="24"/>
                <w:szCs w:val="24"/>
              </w:rPr>
            </w:pPr>
            <w:r>
              <w:rPr>
                <w:rFonts w:asciiTheme="minorHAnsi" w:hAnsiTheme="minorHAnsi"/>
              </w:rPr>
              <w:t>Target: 64 (2020)</w:t>
            </w:r>
          </w:p>
          <w:p w14:paraId="39F6DD00" w14:textId="77777777" w:rsidR="00906CCE" w:rsidRDefault="00906CCE" w:rsidP="00F93038">
            <w:pPr>
              <w:tabs>
                <w:tab w:val="left" w:pos="257"/>
              </w:tabs>
              <w:rPr>
                <w:rFonts w:asciiTheme="minorHAnsi" w:hAnsiTheme="minorHAnsi"/>
              </w:rPr>
            </w:pPr>
          </w:p>
          <w:p w14:paraId="6D9B30F1" w14:textId="77777777" w:rsidR="004D6452" w:rsidRDefault="004D6452" w:rsidP="00F93038">
            <w:pPr>
              <w:tabs>
                <w:tab w:val="left" w:pos="257"/>
              </w:tabs>
              <w:rPr>
                <w:rFonts w:asciiTheme="minorHAnsi" w:hAnsiTheme="minorHAnsi"/>
              </w:rPr>
            </w:pPr>
          </w:p>
          <w:p w14:paraId="75B189C7" w14:textId="77777777" w:rsidR="004D6452" w:rsidRDefault="004D6452" w:rsidP="00F93038">
            <w:pPr>
              <w:tabs>
                <w:tab w:val="left" w:pos="257"/>
              </w:tabs>
              <w:rPr>
                <w:rFonts w:asciiTheme="minorHAnsi" w:hAnsiTheme="minorHAnsi"/>
              </w:rPr>
            </w:pPr>
          </w:p>
          <w:p w14:paraId="4E892430" w14:textId="77777777" w:rsidR="00906CCE" w:rsidRDefault="00906CCE" w:rsidP="00F93038">
            <w:pPr>
              <w:pStyle w:val="ListParagraph"/>
              <w:numPr>
                <w:ilvl w:val="0"/>
                <w:numId w:val="15"/>
              </w:numPr>
              <w:tabs>
                <w:tab w:val="left" w:pos="257"/>
              </w:tabs>
              <w:ind w:left="0" w:firstLine="0"/>
              <w:rPr>
                <w:rFonts w:asciiTheme="minorHAnsi" w:hAnsiTheme="minorHAnsi"/>
              </w:rPr>
            </w:pPr>
            <w:r>
              <w:rPr>
                <w:rFonts w:asciiTheme="minorHAnsi" w:hAnsiTheme="minorHAnsi"/>
                <w:b/>
                <w:i/>
                <w:noProof/>
              </w:rPr>
              <w:t>Improved capacity to obtain citizen feedback on key services</w:t>
            </w:r>
          </w:p>
          <w:p w14:paraId="7E3E2172" w14:textId="77777777" w:rsidR="00906CCE" w:rsidRDefault="00906CCE" w:rsidP="00F93038">
            <w:pPr>
              <w:tabs>
                <w:tab w:val="left" w:pos="257"/>
              </w:tabs>
              <w:rPr>
                <w:rFonts w:asciiTheme="minorHAnsi" w:hAnsiTheme="minorHAnsi"/>
              </w:rPr>
            </w:pPr>
            <w:r>
              <w:rPr>
                <w:rFonts w:asciiTheme="minorHAnsi" w:hAnsiTheme="minorHAnsi"/>
              </w:rPr>
              <w:t>Baseline: No (2017)</w:t>
            </w:r>
          </w:p>
          <w:p w14:paraId="309614B7" w14:textId="77777777" w:rsidR="00906CCE" w:rsidRDefault="00906CCE" w:rsidP="00F93038">
            <w:pPr>
              <w:rPr>
                <w:rFonts w:asciiTheme="minorHAnsi" w:hAnsiTheme="minorHAnsi"/>
              </w:rPr>
            </w:pPr>
            <w:r>
              <w:rPr>
                <w:rFonts w:asciiTheme="minorHAnsi" w:hAnsiTheme="minorHAnsi"/>
              </w:rPr>
              <w:t>Target: Yes (2020)</w:t>
            </w:r>
          </w:p>
          <w:p w14:paraId="08A58587" w14:textId="77777777" w:rsidR="00906CCE" w:rsidRDefault="00906CCE" w:rsidP="00F93038">
            <w:pPr>
              <w:rPr>
                <w:rFonts w:asciiTheme="minorHAnsi" w:hAnsiTheme="minorHAnsi"/>
              </w:rPr>
            </w:pPr>
          </w:p>
        </w:tc>
        <w:tc>
          <w:tcPr>
            <w:tcW w:w="2610" w:type="dxa"/>
          </w:tcPr>
          <w:p w14:paraId="510045BD" w14:textId="77777777" w:rsidR="00906CCE" w:rsidRDefault="00906CCE" w:rsidP="00F93038">
            <w:pPr>
              <w:rPr>
                <w:rFonts w:asciiTheme="minorHAnsi" w:hAnsiTheme="minorHAnsi"/>
                <w:b/>
                <w:i/>
              </w:rPr>
            </w:pPr>
            <w:r>
              <w:rPr>
                <w:rFonts w:asciiTheme="minorHAnsi" w:hAnsiTheme="minorHAnsi"/>
                <w:b/>
                <w:i/>
              </w:rPr>
              <w:t xml:space="preserve">Operations </w:t>
            </w:r>
          </w:p>
          <w:p w14:paraId="12803842" w14:textId="6090816D" w:rsidR="00906CCE" w:rsidRDefault="00906CCE" w:rsidP="00F93038">
            <w:pPr>
              <w:rPr>
                <w:rFonts w:asciiTheme="minorHAnsi" w:hAnsiTheme="minorHAnsi"/>
              </w:rPr>
            </w:pPr>
            <w:r>
              <w:rPr>
                <w:rFonts w:asciiTheme="minorHAnsi" w:hAnsiTheme="minorHAnsi"/>
                <w:b/>
              </w:rPr>
              <w:t>IDA</w:t>
            </w:r>
            <w:r>
              <w:rPr>
                <w:rFonts w:asciiTheme="minorHAnsi" w:hAnsiTheme="minorHAnsi"/>
              </w:rPr>
              <w:t xml:space="preserve"> Safety Nets and Basic Services (FY17); Urban Infrastructure (FY18); Quality Public Services (FY20)</w:t>
            </w:r>
          </w:p>
          <w:p w14:paraId="5BFAF239" w14:textId="77777777" w:rsidR="00906CCE" w:rsidRDefault="00906CCE" w:rsidP="00F93038">
            <w:pPr>
              <w:rPr>
                <w:rFonts w:asciiTheme="minorHAnsi" w:hAnsiTheme="minorHAnsi"/>
              </w:rPr>
            </w:pPr>
            <w:r>
              <w:rPr>
                <w:rFonts w:asciiTheme="minorHAnsi" w:hAnsiTheme="minorHAnsi"/>
                <w:b/>
              </w:rPr>
              <w:t xml:space="preserve">IFC: </w:t>
            </w:r>
            <w:r>
              <w:rPr>
                <w:rFonts w:asciiTheme="minorHAnsi" w:hAnsiTheme="minorHAnsi"/>
              </w:rPr>
              <w:t>Clinique Biasa</w:t>
            </w:r>
          </w:p>
          <w:p w14:paraId="452B6207" w14:textId="77777777" w:rsidR="00906CCE" w:rsidRDefault="00906CCE" w:rsidP="00F93038">
            <w:pPr>
              <w:rPr>
                <w:rFonts w:asciiTheme="minorHAnsi" w:hAnsiTheme="minorHAnsi"/>
              </w:rPr>
            </w:pPr>
          </w:p>
          <w:p w14:paraId="2C5C80E8" w14:textId="77777777" w:rsidR="00906CCE" w:rsidRDefault="00906CCE" w:rsidP="00F93038">
            <w:pPr>
              <w:rPr>
                <w:rFonts w:asciiTheme="minorHAnsi" w:hAnsiTheme="minorHAnsi"/>
                <w:b/>
                <w:i/>
              </w:rPr>
            </w:pPr>
            <w:r>
              <w:rPr>
                <w:rFonts w:asciiTheme="minorHAnsi" w:hAnsiTheme="minorHAnsi"/>
                <w:b/>
                <w:i/>
              </w:rPr>
              <w:t xml:space="preserve">Advisory Services and Analytics </w:t>
            </w:r>
          </w:p>
          <w:p w14:paraId="2A0E375B" w14:textId="77777777" w:rsidR="003622B6" w:rsidRPr="00C97360" w:rsidRDefault="003622B6" w:rsidP="00F93038">
            <w:pPr>
              <w:pStyle w:val="ListParagraph"/>
              <w:numPr>
                <w:ilvl w:val="0"/>
                <w:numId w:val="16"/>
              </w:numPr>
              <w:ind w:left="260" w:hanging="274"/>
              <w:rPr>
                <w:rFonts w:asciiTheme="minorHAnsi" w:hAnsiTheme="minorHAnsi"/>
                <w:b/>
              </w:rPr>
            </w:pPr>
            <w:r>
              <w:rPr>
                <w:rFonts w:asciiTheme="minorHAnsi" w:hAnsiTheme="minorHAnsi"/>
              </w:rPr>
              <w:t>Public Expenditure Review (FY18)</w:t>
            </w:r>
          </w:p>
          <w:p w14:paraId="2C48990E" w14:textId="156DA2E0" w:rsidR="00906CCE" w:rsidRDefault="00906CCE" w:rsidP="00F93038">
            <w:pPr>
              <w:pStyle w:val="ListParagraph"/>
              <w:numPr>
                <w:ilvl w:val="0"/>
                <w:numId w:val="16"/>
              </w:numPr>
              <w:ind w:left="260" w:hanging="274"/>
              <w:rPr>
                <w:rFonts w:asciiTheme="minorHAnsi" w:hAnsiTheme="minorHAnsi"/>
                <w:b/>
              </w:rPr>
            </w:pPr>
            <w:r>
              <w:rPr>
                <w:rFonts w:asciiTheme="minorHAnsi" w:hAnsiTheme="minorHAnsi"/>
              </w:rPr>
              <w:t>Governance and Decentralized Service Delivery (FY19)</w:t>
            </w:r>
          </w:p>
          <w:p w14:paraId="78247EEE" w14:textId="77777777" w:rsidR="00906CCE" w:rsidRDefault="00906CCE" w:rsidP="00F93038">
            <w:pPr>
              <w:pStyle w:val="ListParagraph"/>
              <w:numPr>
                <w:ilvl w:val="0"/>
                <w:numId w:val="16"/>
              </w:numPr>
              <w:ind w:left="260" w:hanging="274"/>
              <w:rPr>
                <w:rFonts w:asciiTheme="minorHAnsi" w:hAnsiTheme="minorHAnsi"/>
              </w:rPr>
            </w:pPr>
            <w:r>
              <w:rPr>
                <w:rFonts w:asciiTheme="minorHAnsi" w:hAnsiTheme="minorHAnsi"/>
              </w:rPr>
              <w:t>Water and Sanitation Program TA (FY17)</w:t>
            </w:r>
          </w:p>
          <w:p w14:paraId="2B26704A" w14:textId="77777777" w:rsidR="00906CCE" w:rsidRDefault="00906CCE" w:rsidP="00F93038">
            <w:pPr>
              <w:rPr>
                <w:rFonts w:asciiTheme="minorHAnsi" w:hAnsiTheme="minorHAnsi"/>
              </w:rPr>
            </w:pPr>
          </w:p>
          <w:p w14:paraId="7CAE9C39" w14:textId="77777777" w:rsidR="00906CCE" w:rsidRDefault="00906CCE" w:rsidP="00F93038">
            <w:pPr>
              <w:rPr>
                <w:rFonts w:asciiTheme="minorHAnsi" w:hAnsiTheme="minorHAnsi"/>
              </w:rPr>
            </w:pPr>
          </w:p>
          <w:p w14:paraId="51AC32A3" w14:textId="77777777" w:rsidR="00906CCE" w:rsidRDefault="00906CCE" w:rsidP="00F93038">
            <w:pPr>
              <w:rPr>
                <w:rFonts w:asciiTheme="minorHAnsi" w:hAnsiTheme="minorHAnsi"/>
                <w:b/>
                <w:i/>
              </w:rPr>
            </w:pPr>
            <w:r>
              <w:rPr>
                <w:rFonts w:asciiTheme="minorHAnsi" w:hAnsiTheme="minorHAnsi"/>
                <w:b/>
                <w:i/>
              </w:rPr>
              <w:t>Partners</w:t>
            </w:r>
          </w:p>
          <w:p w14:paraId="561F81D6" w14:textId="37089E0B" w:rsidR="00906CCE" w:rsidRDefault="003622B6" w:rsidP="00F93038">
            <w:pPr>
              <w:rPr>
                <w:rFonts w:asciiTheme="minorHAnsi" w:hAnsiTheme="minorHAnsi"/>
                <w:b/>
                <w:i/>
              </w:rPr>
            </w:pPr>
            <w:r>
              <w:rPr>
                <w:rFonts w:asciiTheme="minorHAnsi" w:hAnsiTheme="minorHAnsi"/>
              </w:rPr>
              <w:t>AFD, EU, KFW, GIZ</w:t>
            </w:r>
          </w:p>
        </w:tc>
      </w:tr>
    </w:tbl>
    <w:p w14:paraId="6F892FA5" w14:textId="7E6E5893" w:rsidR="004B387B" w:rsidRDefault="004B387B" w:rsidP="004B387B">
      <w:pPr>
        <w:rPr>
          <w:rFonts w:ascii="Times New Roman" w:hAnsi="Times New Roman"/>
          <w:sz w:val="24"/>
          <w:szCs w:val="24"/>
        </w:rPr>
      </w:pPr>
      <w:r>
        <w:br w:type="page"/>
      </w:r>
    </w:p>
    <w:tbl>
      <w:tblPr>
        <w:tblStyle w:val="TableGrid4"/>
        <w:tblW w:w="12955" w:type="dxa"/>
        <w:tblLook w:val="04A0" w:firstRow="1" w:lastRow="0" w:firstColumn="1" w:lastColumn="0" w:noHBand="0" w:noVBand="1"/>
      </w:tblPr>
      <w:tblGrid>
        <w:gridCol w:w="2538"/>
        <w:gridCol w:w="3690"/>
        <w:gridCol w:w="4117"/>
        <w:gridCol w:w="2610"/>
      </w:tblGrid>
      <w:tr w:rsidR="004B387B" w14:paraId="787C07D9" w14:textId="77777777" w:rsidTr="004B387B">
        <w:trPr>
          <w:trHeight w:val="278"/>
        </w:trPr>
        <w:tc>
          <w:tcPr>
            <w:tcW w:w="12955" w:type="dxa"/>
            <w:gridSpan w:val="4"/>
            <w:tcBorders>
              <w:top w:val="single" w:sz="4" w:space="0" w:color="auto"/>
              <w:left w:val="single" w:sz="4" w:space="0" w:color="auto"/>
              <w:bottom w:val="single" w:sz="4" w:space="0" w:color="auto"/>
              <w:right w:val="single" w:sz="4" w:space="0" w:color="auto"/>
            </w:tcBorders>
            <w:shd w:val="clear" w:color="auto" w:fill="F4EBDE" w:themeFill="accent5" w:themeFillTint="33"/>
            <w:hideMark/>
          </w:tcPr>
          <w:p w14:paraId="7CF5B05E" w14:textId="77777777" w:rsidR="004B387B" w:rsidRDefault="004B387B">
            <w:pPr>
              <w:rPr>
                <w:rFonts w:asciiTheme="minorHAnsi" w:hAnsiTheme="minorHAnsi"/>
                <w:color w:val="000000"/>
              </w:rPr>
            </w:pPr>
            <w:r>
              <w:rPr>
                <w:rFonts w:asciiTheme="minorHAnsi" w:hAnsiTheme="minorHAnsi"/>
                <w:b/>
              </w:rPr>
              <w:lastRenderedPageBreak/>
              <w:t>Objective 2.2: Strengthen Social Safety Nets for the Most Vulnerable</w:t>
            </w:r>
          </w:p>
        </w:tc>
      </w:tr>
      <w:tr w:rsidR="004B387B" w14:paraId="39FD392D" w14:textId="77777777" w:rsidTr="004B387B">
        <w:tc>
          <w:tcPr>
            <w:tcW w:w="12955" w:type="dxa"/>
            <w:gridSpan w:val="4"/>
            <w:tcBorders>
              <w:top w:val="single" w:sz="4" w:space="0" w:color="auto"/>
              <w:left w:val="single" w:sz="4" w:space="0" w:color="auto"/>
              <w:bottom w:val="single" w:sz="4" w:space="0" w:color="auto"/>
              <w:right w:val="single" w:sz="4" w:space="0" w:color="auto"/>
            </w:tcBorders>
            <w:hideMark/>
          </w:tcPr>
          <w:p w14:paraId="4945F9DB" w14:textId="22C21D5F" w:rsidR="004B387B" w:rsidRDefault="004B387B">
            <w:pPr>
              <w:jc w:val="both"/>
              <w:rPr>
                <w:rFonts w:asciiTheme="minorHAnsi" w:hAnsiTheme="minorHAnsi"/>
              </w:rPr>
            </w:pPr>
            <w:r>
              <w:rPr>
                <w:rFonts w:asciiTheme="minorHAnsi" w:hAnsiTheme="minorHAnsi"/>
                <w:b/>
              </w:rPr>
              <w:t xml:space="preserve">Intervention Logic: </w:t>
            </w:r>
            <w:r>
              <w:rPr>
                <w:rFonts w:asciiTheme="minorHAnsi" w:hAnsiTheme="minorHAnsi"/>
              </w:rPr>
              <w:t xml:space="preserve">Social safety nets are an increasing priority for the </w:t>
            </w:r>
            <w:r w:rsidR="000F5595">
              <w:rPr>
                <w:rFonts w:asciiTheme="minorHAnsi" w:hAnsiTheme="minorHAnsi"/>
              </w:rPr>
              <w:t>G</w:t>
            </w:r>
            <w:r>
              <w:rPr>
                <w:rFonts w:asciiTheme="minorHAnsi" w:hAnsiTheme="minorHAnsi"/>
              </w:rPr>
              <w:t xml:space="preserve">overnment, and important progress has been made in the social protection sector in recent years, including through community-driven school feeding, labor-intensive public works, and conditional cash transfer programs. </w:t>
            </w:r>
          </w:p>
          <w:p w14:paraId="1C8F214D" w14:textId="666CEE18" w:rsidR="004B387B" w:rsidRDefault="004B387B" w:rsidP="00C97360">
            <w:pPr>
              <w:ind w:firstLine="335"/>
              <w:jc w:val="both"/>
              <w:rPr>
                <w:rFonts w:asciiTheme="minorHAnsi" w:hAnsiTheme="minorHAnsi"/>
                <w:color w:val="000000"/>
              </w:rPr>
            </w:pPr>
            <w:r>
              <w:rPr>
                <w:rFonts w:asciiTheme="minorHAnsi" w:hAnsiTheme="minorHAnsi"/>
              </w:rPr>
              <w:t xml:space="preserve">Given the disproportionately high poverty rates in rural areas and the greater challenges in generating adequate livelihoods, the CPF will seek to improve rural incomes through agriculture sector support as well as through a Basic Services and Safety Nets project. The </w:t>
            </w:r>
            <w:r w:rsidR="00F62210">
              <w:rPr>
                <w:rFonts w:asciiTheme="minorHAnsi" w:hAnsiTheme="minorHAnsi"/>
              </w:rPr>
              <w:t>project</w:t>
            </w:r>
            <w:r>
              <w:rPr>
                <w:rFonts w:asciiTheme="minorHAnsi" w:hAnsiTheme="minorHAnsi"/>
              </w:rPr>
              <w:t xml:space="preserve"> will continue support</w:t>
            </w:r>
            <w:r w:rsidR="00F62210">
              <w:rPr>
                <w:rFonts w:asciiTheme="minorHAnsi" w:hAnsiTheme="minorHAnsi"/>
              </w:rPr>
              <w:t xml:space="preserve"> for</w:t>
            </w:r>
            <w:r>
              <w:rPr>
                <w:rFonts w:asciiTheme="minorHAnsi" w:hAnsiTheme="minorHAnsi"/>
              </w:rPr>
              <w:t xml:space="preserve"> school feeding and cash transfer programs during the CPF period, broadening eligible beneficiaries and promoting child nutrition and protection. </w:t>
            </w:r>
          </w:p>
        </w:tc>
      </w:tr>
      <w:tr w:rsidR="004B387B" w14:paraId="6934FA25" w14:textId="77777777" w:rsidTr="004B387B">
        <w:trPr>
          <w:trHeight w:hRule="exact" w:val="568"/>
        </w:trPr>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14:paraId="428741A6" w14:textId="77777777" w:rsidR="004B387B" w:rsidRDefault="004B387B">
            <w:pPr>
              <w:jc w:val="center"/>
              <w:rPr>
                <w:rFonts w:asciiTheme="minorHAnsi" w:hAnsiTheme="minorHAnsi"/>
                <w:b/>
                <w:color w:val="548DD4"/>
              </w:rPr>
            </w:pPr>
            <w:r>
              <w:rPr>
                <w:rFonts w:asciiTheme="minorHAnsi" w:hAnsiTheme="minorHAnsi"/>
                <w:b/>
                <w:color w:val="548DD4"/>
              </w:rPr>
              <w:t>Country Development Goals</w:t>
            </w:r>
          </w:p>
          <w:p w14:paraId="59EE5006" w14:textId="77777777" w:rsidR="004B387B" w:rsidRDefault="004B387B">
            <w:pPr>
              <w:jc w:val="center"/>
              <w:rPr>
                <w:rFonts w:asciiTheme="minorHAnsi" w:hAnsiTheme="minorHAnsi"/>
                <w:b/>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2680E467" w14:textId="77777777" w:rsidR="004B387B" w:rsidRDefault="004B387B">
            <w:pPr>
              <w:jc w:val="center"/>
              <w:rPr>
                <w:rFonts w:asciiTheme="minorHAnsi" w:hAnsiTheme="minorHAnsi"/>
                <w:b/>
                <w:color w:val="548DD4"/>
              </w:rPr>
            </w:pPr>
            <w:r>
              <w:rPr>
                <w:rFonts w:asciiTheme="minorHAnsi" w:hAnsiTheme="minorHAnsi"/>
                <w:b/>
                <w:color w:val="548DD4"/>
              </w:rPr>
              <w:t>CPF Objective Indicators</w:t>
            </w:r>
          </w:p>
          <w:p w14:paraId="39C6FE50" w14:textId="77777777" w:rsidR="004B387B" w:rsidRDefault="004B387B">
            <w:pPr>
              <w:jc w:val="center"/>
              <w:rPr>
                <w:rFonts w:asciiTheme="minorHAnsi" w:hAnsiTheme="minorHAnsi"/>
                <w:b/>
              </w:rPr>
            </w:pPr>
          </w:p>
        </w:tc>
        <w:tc>
          <w:tcPr>
            <w:tcW w:w="41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71410" w14:textId="77777777" w:rsidR="004B387B" w:rsidRDefault="004B387B">
            <w:pPr>
              <w:jc w:val="center"/>
              <w:rPr>
                <w:rFonts w:asciiTheme="minorHAnsi" w:hAnsiTheme="minorHAnsi"/>
                <w:b/>
                <w:color w:val="548DD4"/>
              </w:rPr>
            </w:pPr>
            <w:r>
              <w:rPr>
                <w:rFonts w:asciiTheme="minorHAnsi" w:hAnsiTheme="minorHAnsi"/>
                <w:b/>
                <w:color w:val="548DD4"/>
              </w:rPr>
              <w:t>Supplementary Progress Indicators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96AD9" w14:textId="77777777" w:rsidR="004B387B" w:rsidRDefault="004B387B">
            <w:pPr>
              <w:jc w:val="center"/>
              <w:rPr>
                <w:rFonts w:asciiTheme="minorHAnsi" w:hAnsiTheme="minorHAnsi"/>
                <w:b/>
                <w:color w:val="548DD4"/>
              </w:rPr>
            </w:pPr>
            <w:r>
              <w:rPr>
                <w:rFonts w:asciiTheme="minorHAnsi" w:hAnsiTheme="minorHAnsi"/>
                <w:b/>
                <w:color w:val="548DD4"/>
              </w:rPr>
              <w:t>WBG Program</w:t>
            </w:r>
          </w:p>
        </w:tc>
      </w:tr>
      <w:tr w:rsidR="004B387B" w14:paraId="572C2515" w14:textId="77777777" w:rsidTr="004B387B">
        <w:trPr>
          <w:trHeight w:val="1233"/>
        </w:trPr>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14:paraId="306D4C30" w14:textId="77777777" w:rsidR="004B387B" w:rsidRDefault="004B387B">
            <w:pPr>
              <w:rPr>
                <w:rFonts w:asciiTheme="minorHAnsi" w:hAnsiTheme="minorHAnsi"/>
                <w:b/>
              </w:rPr>
            </w:pPr>
            <w:r>
              <w:rPr>
                <w:rFonts w:asciiTheme="minorHAnsi" w:hAnsiTheme="minorHAnsi"/>
                <w:b/>
              </w:rPr>
              <w:t>PND Pillar 1</w:t>
            </w:r>
          </w:p>
          <w:p w14:paraId="6C1092BE" w14:textId="77777777" w:rsidR="004B387B" w:rsidRDefault="004B387B">
            <w:pPr>
              <w:rPr>
                <w:rFonts w:asciiTheme="minorHAnsi" w:hAnsiTheme="minorHAnsi"/>
              </w:rPr>
            </w:pPr>
            <w:r>
              <w:rPr>
                <w:rFonts w:asciiTheme="minorHAnsi" w:hAnsiTheme="minorHAnsi"/>
              </w:rPr>
              <w:t>Improving the well-being and development of the population</w:t>
            </w:r>
          </w:p>
          <w:p w14:paraId="52DA83E6" w14:textId="77777777" w:rsidR="004B387B" w:rsidRDefault="004B387B">
            <w:pPr>
              <w:rPr>
                <w:rFonts w:asciiTheme="minorHAnsi" w:hAnsiTheme="minorHAnsi"/>
                <w:b/>
              </w:rPr>
            </w:pPr>
          </w:p>
          <w:p w14:paraId="2402F895" w14:textId="77777777" w:rsidR="004B387B" w:rsidRDefault="004B387B">
            <w:pPr>
              <w:rPr>
                <w:rFonts w:asciiTheme="minorHAnsi" w:hAnsiTheme="minorHAnsi"/>
              </w:rPr>
            </w:pPr>
            <w:r>
              <w:rPr>
                <w:rFonts w:asciiTheme="minorHAnsi" w:hAnsiTheme="minorHAnsi"/>
                <w:b/>
              </w:rPr>
              <w:t>SDG 1</w:t>
            </w:r>
            <w:r>
              <w:rPr>
                <w:rFonts w:asciiTheme="minorHAnsi" w:hAnsiTheme="minorHAnsi"/>
              </w:rPr>
              <w:t xml:space="preserve"> </w:t>
            </w:r>
          </w:p>
          <w:p w14:paraId="2107206E" w14:textId="77777777" w:rsidR="004B387B" w:rsidRDefault="004B387B">
            <w:pPr>
              <w:rPr>
                <w:rFonts w:asciiTheme="minorHAnsi" w:hAnsiTheme="minorHAnsi"/>
              </w:rPr>
            </w:pPr>
            <w:r>
              <w:rPr>
                <w:rFonts w:asciiTheme="minorHAnsi" w:hAnsiTheme="minorHAnsi"/>
              </w:rPr>
              <w:t>No Poverty</w:t>
            </w:r>
          </w:p>
          <w:p w14:paraId="5F6D595E" w14:textId="77777777" w:rsidR="004B387B" w:rsidRDefault="004B387B">
            <w:pPr>
              <w:rPr>
                <w:rFonts w:asciiTheme="minorHAnsi" w:hAnsiTheme="minorHAnsi"/>
                <w:b/>
              </w:rPr>
            </w:pPr>
            <w:r>
              <w:rPr>
                <w:rFonts w:asciiTheme="minorHAnsi" w:hAnsiTheme="minorHAnsi"/>
                <w:b/>
              </w:rPr>
              <w:t>SDG 2</w:t>
            </w:r>
          </w:p>
          <w:p w14:paraId="010A63DD" w14:textId="77777777" w:rsidR="004B387B" w:rsidRDefault="004B387B">
            <w:pPr>
              <w:rPr>
                <w:rFonts w:asciiTheme="minorHAnsi" w:hAnsiTheme="minorHAnsi"/>
              </w:rPr>
            </w:pPr>
            <w:r>
              <w:rPr>
                <w:rFonts w:asciiTheme="minorHAnsi" w:hAnsiTheme="minorHAnsi"/>
              </w:rPr>
              <w:t>No Hunger</w:t>
            </w:r>
          </w:p>
          <w:p w14:paraId="1EE8EB7A" w14:textId="77777777" w:rsidR="004B387B" w:rsidRDefault="004B387B">
            <w:pPr>
              <w:rPr>
                <w:rFonts w:asciiTheme="minorHAnsi" w:hAnsiTheme="minorHAnsi"/>
                <w:b/>
              </w:rPr>
            </w:pPr>
            <w:r>
              <w:rPr>
                <w:rFonts w:asciiTheme="minorHAnsi" w:hAnsiTheme="minorHAnsi"/>
                <w:b/>
              </w:rPr>
              <w:t>SDG 4</w:t>
            </w:r>
          </w:p>
          <w:p w14:paraId="689E5B93" w14:textId="77777777" w:rsidR="004B387B" w:rsidRDefault="004B387B">
            <w:pPr>
              <w:rPr>
                <w:rFonts w:asciiTheme="minorHAnsi" w:hAnsiTheme="minorHAnsi"/>
              </w:rPr>
            </w:pPr>
            <w:r>
              <w:rPr>
                <w:rFonts w:asciiTheme="minorHAnsi" w:hAnsiTheme="minorHAnsi"/>
              </w:rPr>
              <w:t>Quality Education</w:t>
            </w:r>
          </w:p>
          <w:p w14:paraId="1C64DA58" w14:textId="77777777" w:rsidR="004B387B" w:rsidRDefault="004B387B">
            <w:pPr>
              <w:rPr>
                <w:rFonts w:asciiTheme="minorHAnsi" w:hAnsiTheme="minorHAnsi"/>
                <w:b/>
              </w:rPr>
            </w:pPr>
            <w:r>
              <w:rPr>
                <w:rFonts w:asciiTheme="minorHAnsi" w:hAnsiTheme="minorHAnsi"/>
                <w:b/>
              </w:rPr>
              <w:t>SDG 10</w:t>
            </w:r>
          </w:p>
          <w:p w14:paraId="641922C8" w14:textId="77777777" w:rsidR="004B387B" w:rsidRDefault="004B387B">
            <w:pPr>
              <w:rPr>
                <w:rFonts w:asciiTheme="minorHAnsi" w:hAnsiTheme="minorHAnsi"/>
              </w:rPr>
            </w:pPr>
            <w:r>
              <w:rPr>
                <w:rFonts w:asciiTheme="minorHAnsi" w:hAnsiTheme="minorHAnsi"/>
              </w:rPr>
              <w:t>Reduced Inequalities</w:t>
            </w:r>
          </w:p>
          <w:p w14:paraId="33583111" w14:textId="77777777" w:rsidR="004B387B" w:rsidRDefault="004B387B">
            <w:pPr>
              <w:rPr>
                <w:rFonts w:asciiTheme="minorHAnsi" w:hAnsiTheme="minorHAnsi"/>
              </w:rPr>
            </w:pPr>
          </w:p>
          <w:p w14:paraId="595F2DEB" w14:textId="77777777" w:rsidR="004B387B" w:rsidRDefault="004B387B">
            <w:pPr>
              <w:rPr>
                <w:rFonts w:asciiTheme="minorHAnsi" w:hAnsiTheme="minorHAnsi"/>
                <w:b/>
              </w:rPr>
            </w:pPr>
            <w:r>
              <w:rPr>
                <w:rFonts w:asciiTheme="minorHAnsi" w:hAnsiTheme="minorHAnsi"/>
                <w:b/>
              </w:rPr>
              <w:t xml:space="preserve">SDG 11 </w:t>
            </w:r>
          </w:p>
          <w:p w14:paraId="33717AEC" w14:textId="77777777" w:rsidR="004B387B" w:rsidRDefault="004B387B">
            <w:pPr>
              <w:rPr>
                <w:rFonts w:asciiTheme="minorHAnsi" w:hAnsiTheme="minorHAnsi"/>
              </w:rPr>
            </w:pPr>
            <w:r>
              <w:rPr>
                <w:rFonts w:asciiTheme="minorHAnsi" w:hAnsiTheme="minorHAnsi"/>
              </w:rPr>
              <w:t>Sustainable Cities and Communities</w:t>
            </w:r>
          </w:p>
          <w:p w14:paraId="23856E74" w14:textId="77777777" w:rsidR="004B387B" w:rsidRDefault="004B387B">
            <w:pPr>
              <w:rPr>
                <w:rFonts w:asciiTheme="minorHAnsi" w:hAnsiTheme="minorHAnsi"/>
              </w:rPr>
            </w:pPr>
          </w:p>
          <w:p w14:paraId="50EB0CE4" w14:textId="77777777" w:rsidR="004B387B" w:rsidRDefault="004B387B">
            <w:pPr>
              <w:rPr>
                <w:rFonts w:asciiTheme="minorHAnsi" w:hAnsiTheme="minorHAnsi"/>
              </w:rPr>
            </w:pPr>
            <w:r>
              <w:rPr>
                <w:rFonts w:asciiTheme="minorHAnsi" w:hAnsiTheme="minorHAnsi"/>
              </w:rPr>
              <w:t xml:space="preserve">Complementary steps to </w:t>
            </w:r>
            <w:r>
              <w:rPr>
                <w:rFonts w:asciiTheme="minorHAnsi" w:hAnsiTheme="minorHAnsi"/>
                <w:b/>
              </w:rPr>
              <w:t>SCD Pathway 3</w:t>
            </w:r>
            <w:r>
              <w:rPr>
                <w:rFonts w:asciiTheme="minorHAnsi" w:hAnsiTheme="minorHAnsi"/>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45A5BDF" w14:textId="5B1677CB" w:rsidR="004B387B" w:rsidRDefault="004B387B">
            <w:pPr>
              <w:rPr>
                <w:rFonts w:asciiTheme="minorHAnsi" w:hAnsiTheme="minorHAnsi"/>
                <w:i/>
              </w:rPr>
            </w:pPr>
            <w:r>
              <w:rPr>
                <w:rFonts w:asciiTheme="minorHAnsi" w:hAnsiTheme="minorHAnsi"/>
                <w:i/>
              </w:rPr>
              <w:t xml:space="preserve">2.2.1 </w:t>
            </w:r>
            <w:r w:rsidR="008221D1">
              <w:rPr>
                <w:rFonts w:asciiTheme="minorHAnsi" w:hAnsiTheme="minorHAnsi"/>
                <w:i/>
              </w:rPr>
              <w:t>Increased n</w:t>
            </w:r>
            <w:r>
              <w:rPr>
                <w:rFonts w:asciiTheme="minorHAnsi" w:hAnsiTheme="minorHAnsi"/>
                <w:i/>
              </w:rPr>
              <w:t>umber of households receiving cash transfers</w:t>
            </w:r>
          </w:p>
          <w:p w14:paraId="79835A11" w14:textId="77777777" w:rsidR="004B387B" w:rsidRDefault="004B387B">
            <w:pPr>
              <w:rPr>
                <w:rFonts w:asciiTheme="minorHAnsi" w:hAnsiTheme="minorHAnsi"/>
              </w:rPr>
            </w:pPr>
            <w:r>
              <w:rPr>
                <w:rFonts w:asciiTheme="minorHAnsi" w:hAnsiTheme="minorHAnsi"/>
              </w:rPr>
              <w:t>Baseline:  0 (2017)</w:t>
            </w:r>
          </w:p>
          <w:p w14:paraId="3F233922" w14:textId="77777777" w:rsidR="004B387B" w:rsidRDefault="004B387B">
            <w:pPr>
              <w:rPr>
                <w:rFonts w:asciiTheme="minorHAnsi" w:hAnsiTheme="minorHAnsi"/>
              </w:rPr>
            </w:pPr>
            <w:r>
              <w:rPr>
                <w:rFonts w:asciiTheme="minorHAnsi" w:hAnsiTheme="minorHAnsi"/>
              </w:rPr>
              <w:t>Target: 40,000 (2020)</w:t>
            </w:r>
          </w:p>
          <w:p w14:paraId="4553AA0A" w14:textId="77777777" w:rsidR="004B387B" w:rsidRDefault="004B387B">
            <w:pPr>
              <w:rPr>
                <w:rFonts w:asciiTheme="minorHAnsi" w:hAnsiTheme="minorHAnsi"/>
                <w:i/>
              </w:rPr>
            </w:pPr>
          </w:p>
          <w:p w14:paraId="35AF0F8F" w14:textId="77777777" w:rsidR="004B387B" w:rsidRDefault="004B387B">
            <w:pPr>
              <w:rPr>
                <w:rFonts w:asciiTheme="minorHAnsi" w:hAnsiTheme="minorHAnsi"/>
                <w:i/>
              </w:rPr>
            </w:pPr>
          </w:p>
          <w:p w14:paraId="17F4B732" w14:textId="77777777" w:rsidR="004B387B" w:rsidRDefault="004B387B">
            <w:pPr>
              <w:rPr>
                <w:rFonts w:asciiTheme="minorHAnsi" w:hAnsiTheme="minorHAnsi"/>
                <w:i/>
              </w:rPr>
            </w:pPr>
          </w:p>
          <w:p w14:paraId="2224AF44" w14:textId="77777777" w:rsidR="004B387B" w:rsidRDefault="004B387B">
            <w:pPr>
              <w:rPr>
                <w:rFonts w:asciiTheme="minorHAnsi" w:hAnsiTheme="minorHAnsi"/>
                <w:i/>
              </w:rPr>
            </w:pPr>
          </w:p>
          <w:p w14:paraId="74647CB8" w14:textId="77777777" w:rsidR="004B387B" w:rsidRDefault="004B387B">
            <w:pPr>
              <w:rPr>
                <w:rFonts w:asciiTheme="minorHAnsi" w:hAnsiTheme="minorHAnsi"/>
                <w:i/>
              </w:rPr>
            </w:pPr>
          </w:p>
          <w:p w14:paraId="4E11A7D0" w14:textId="07FE932C" w:rsidR="004B387B" w:rsidRDefault="004B387B">
            <w:pPr>
              <w:rPr>
                <w:rFonts w:asciiTheme="minorHAnsi" w:hAnsiTheme="minorHAnsi"/>
                <w:i/>
              </w:rPr>
            </w:pPr>
            <w:r>
              <w:rPr>
                <w:rFonts w:asciiTheme="minorHAnsi" w:hAnsiTheme="minorHAnsi"/>
                <w:i/>
              </w:rPr>
              <w:t xml:space="preserve">2.2.2 </w:t>
            </w:r>
            <w:r w:rsidR="008221D1">
              <w:rPr>
                <w:rFonts w:asciiTheme="minorHAnsi" w:hAnsiTheme="minorHAnsi"/>
                <w:i/>
              </w:rPr>
              <w:t>Increased n</w:t>
            </w:r>
            <w:r>
              <w:rPr>
                <w:rFonts w:asciiTheme="minorHAnsi" w:hAnsiTheme="minorHAnsi"/>
                <w:i/>
              </w:rPr>
              <w:t xml:space="preserve">umber of school children receiving free school lunches </w:t>
            </w:r>
          </w:p>
          <w:p w14:paraId="165FB1E7" w14:textId="77777777" w:rsidR="004B387B" w:rsidRDefault="004B387B">
            <w:pPr>
              <w:rPr>
                <w:rFonts w:asciiTheme="minorHAnsi" w:hAnsiTheme="minorHAnsi"/>
              </w:rPr>
            </w:pPr>
            <w:r>
              <w:rPr>
                <w:rFonts w:asciiTheme="minorHAnsi" w:hAnsiTheme="minorHAnsi"/>
              </w:rPr>
              <w:t>Baseline:  0 (2017)</w:t>
            </w:r>
          </w:p>
          <w:p w14:paraId="7038AE80" w14:textId="77777777" w:rsidR="004B387B" w:rsidRDefault="004B387B">
            <w:pPr>
              <w:rPr>
                <w:rFonts w:asciiTheme="minorHAnsi" w:hAnsiTheme="minorHAnsi"/>
              </w:rPr>
            </w:pPr>
            <w:r>
              <w:rPr>
                <w:rFonts w:asciiTheme="minorHAnsi" w:hAnsiTheme="minorHAnsi"/>
              </w:rPr>
              <w:t>Target: 380,000 (2020)</w:t>
            </w:r>
          </w:p>
        </w:tc>
        <w:tc>
          <w:tcPr>
            <w:tcW w:w="41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8B5E8F"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Targeting mechanisms developed to identify poorest households</w:t>
            </w:r>
          </w:p>
          <w:p w14:paraId="02B769BF" w14:textId="77777777" w:rsidR="004B387B" w:rsidRDefault="004B387B">
            <w:pPr>
              <w:rPr>
                <w:rFonts w:asciiTheme="minorHAnsi" w:hAnsiTheme="minorHAnsi"/>
              </w:rPr>
            </w:pPr>
            <w:r>
              <w:rPr>
                <w:rFonts w:asciiTheme="minorHAnsi" w:hAnsiTheme="minorHAnsi"/>
              </w:rPr>
              <w:t>Baseline:  No (2017)</w:t>
            </w:r>
          </w:p>
          <w:p w14:paraId="5160770A" w14:textId="77777777" w:rsidR="004B387B" w:rsidRDefault="004B387B">
            <w:pPr>
              <w:rPr>
                <w:rFonts w:asciiTheme="minorHAnsi" w:hAnsiTheme="minorHAnsi"/>
              </w:rPr>
            </w:pPr>
            <w:r>
              <w:rPr>
                <w:rFonts w:asciiTheme="minorHAnsi" w:hAnsiTheme="minorHAnsi"/>
              </w:rPr>
              <w:t>Target: Yes (2019)</w:t>
            </w:r>
          </w:p>
          <w:p w14:paraId="7CC38C61"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National cross-program social registry launched</w:t>
            </w:r>
          </w:p>
          <w:p w14:paraId="74ED5C99" w14:textId="77777777" w:rsidR="004B387B" w:rsidRDefault="004B387B">
            <w:pPr>
              <w:rPr>
                <w:rFonts w:asciiTheme="minorHAnsi" w:hAnsiTheme="minorHAnsi"/>
              </w:rPr>
            </w:pPr>
            <w:r>
              <w:rPr>
                <w:rFonts w:asciiTheme="minorHAnsi" w:hAnsiTheme="minorHAnsi"/>
              </w:rPr>
              <w:t>Baseline:  No (2017)</w:t>
            </w:r>
          </w:p>
          <w:p w14:paraId="5106410F" w14:textId="77777777" w:rsidR="004B387B" w:rsidRDefault="004B387B">
            <w:pPr>
              <w:rPr>
                <w:rFonts w:asciiTheme="minorHAnsi" w:hAnsiTheme="minorHAnsi"/>
              </w:rPr>
            </w:pPr>
            <w:r>
              <w:rPr>
                <w:rFonts w:asciiTheme="minorHAnsi" w:hAnsiTheme="minorHAnsi"/>
              </w:rPr>
              <w:t>Target: Yes (2019)</w:t>
            </w:r>
          </w:p>
          <w:p w14:paraId="77FAB071" w14:textId="77777777" w:rsidR="004B387B" w:rsidRDefault="004B387B">
            <w:pPr>
              <w:rPr>
                <w:rFonts w:asciiTheme="minorHAnsi" w:hAnsiTheme="minorHAnsi"/>
              </w:rPr>
            </w:pPr>
          </w:p>
          <w:p w14:paraId="674FD0A4"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Schools benefitting from school feeding program (of which those in the poorest 20% of cantons in their region)</w:t>
            </w:r>
          </w:p>
          <w:p w14:paraId="7C040B80" w14:textId="77777777" w:rsidR="004B387B" w:rsidRDefault="004B387B">
            <w:pPr>
              <w:rPr>
                <w:rFonts w:asciiTheme="minorHAnsi" w:hAnsiTheme="minorHAnsi"/>
              </w:rPr>
            </w:pPr>
            <w:r>
              <w:rPr>
                <w:rFonts w:asciiTheme="minorHAnsi" w:hAnsiTheme="minorHAnsi"/>
              </w:rPr>
              <w:t>Baseline: 0 (2017)</w:t>
            </w:r>
          </w:p>
          <w:p w14:paraId="423A2B3B" w14:textId="77777777" w:rsidR="004B387B" w:rsidRDefault="004B387B">
            <w:pPr>
              <w:rPr>
                <w:rFonts w:asciiTheme="minorHAnsi" w:hAnsiTheme="minorHAnsi"/>
              </w:rPr>
            </w:pPr>
            <w:r>
              <w:rPr>
                <w:rFonts w:asciiTheme="minorHAnsi" w:hAnsiTheme="minorHAnsi"/>
              </w:rPr>
              <w:t>Target: 160 (of which 90) (20201)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C99487B" w14:textId="77777777" w:rsidR="004B387B" w:rsidRDefault="004B387B">
            <w:pPr>
              <w:rPr>
                <w:rFonts w:asciiTheme="minorHAnsi" w:hAnsiTheme="minorHAnsi"/>
                <w:b/>
                <w:i/>
              </w:rPr>
            </w:pPr>
            <w:r>
              <w:rPr>
                <w:rFonts w:asciiTheme="minorHAnsi" w:hAnsiTheme="minorHAnsi"/>
                <w:b/>
                <w:i/>
              </w:rPr>
              <w:t xml:space="preserve">Operations </w:t>
            </w:r>
          </w:p>
          <w:p w14:paraId="2F7E6C8E" w14:textId="77777777" w:rsidR="004B387B" w:rsidRDefault="004B387B">
            <w:pPr>
              <w:rPr>
                <w:rFonts w:asciiTheme="minorHAnsi" w:hAnsiTheme="minorHAnsi"/>
              </w:rPr>
            </w:pPr>
            <w:r>
              <w:rPr>
                <w:rFonts w:asciiTheme="minorHAnsi" w:hAnsiTheme="minorHAnsi"/>
                <w:b/>
              </w:rPr>
              <w:t>IDA:</w:t>
            </w:r>
            <w:r>
              <w:rPr>
                <w:rFonts w:asciiTheme="minorHAnsi" w:hAnsiTheme="minorHAnsi"/>
              </w:rPr>
              <w:t xml:space="preserve"> Safety Nets and Basic Services (proposed FY17); Employment Opportunities for Vulnerable Youth (proposed FY17)</w:t>
            </w:r>
          </w:p>
          <w:p w14:paraId="3693E7E1" w14:textId="77777777" w:rsidR="004B387B" w:rsidRDefault="004B387B">
            <w:pPr>
              <w:rPr>
                <w:rFonts w:asciiTheme="minorHAnsi" w:hAnsiTheme="minorHAnsi"/>
                <w:b/>
                <w:i/>
              </w:rPr>
            </w:pPr>
            <w:r>
              <w:rPr>
                <w:rFonts w:asciiTheme="minorHAnsi" w:hAnsiTheme="minorHAnsi"/>
                <w:b/>
                <w:i/>
              </w:rPr>
              <w:t xml:space="preserve">Advisory Services and Analytics </w:t>
            </w:r>
          </w:p>
          <w:p w14:paraId="63338378" w14:textId="77777777"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Post-primary and Vocational Ed (FY17)</w:t>
            </w:r>
          </w:p>
          <w:p w14:paraId="4A477F8A" w14:textId="02D17531"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I</w:t>
            </w:r>
            <w:r w:rsidR="006004CB">
              <w:rPr>
                <w:rFonts w:asciiTheme="minorHAnsi" w:hAnsiTheme="minorHAnsi"/>
              </w:rPr>
              <w:t xml:space="preserve">E of </w:t>
            </w:r>
            <w:r>
              <w:rPr>
                <w:rFonts w:asciiTheme="minorHAnsi" w:hAnsiTheme="minorHAnsi"/>
              </w:rPr>
              <w:t>cash transfer program (FY17)</w:t>
            </w:r>
          </w:p>
          <w:p w14:paraId="4CEB1D25" w14:textId="77777777"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TFSCB on Observatory for Employment</w:t>
            </w:r>
          </w:p>
          <w:p w14:paraId="72C9F579" w14:textId="752513FB"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 xml:space="preserve">Programmatic poverty </w:t>
            </w:r>
            <w:r w:rsidR="006004CB">
              <w:rPr>
                <w:rFonts w:asciiTheme="minorHAnsi" w:hAnsiTheme="minorHAnsi"/>
              </w:rPr>
              <w:t xml:space="preserve">and gender </w:t>
            </w:r>
            <w:r>
              <w:rPr>
                <w:rFonts w:asciiTheme="minorHAnsi" w:hAnsiTheme="minorHAnsi"/>
              </w:rPr>
              <w:t>assessment (FY18+)</w:t>
            </w:r>
          </w:p>
          <w:p w14:paraId="1BEC66B0" w14:textId="01D66AFF" w:rsidR="004B387B" w:rsidRDefault="004B387B" w:rsidP="006004CB">
            <w:pPr>
              <w:rPr>
                <w:rFonts w:asciiTheme="minorHAnsi" w:hAnsiTheme="minorHAnsi"/>
                <w:b/>
                <w:i/>
              </w:rPr>
            </w:pPr>
            <w:r>
              <w:rPr>
                <w:rFonts w:asciiTheme="minorHAnsi" w:hAnsiTheme="minorHAnsi"/>
                <w:b/>
                <w:i/>
              </w:rPr>
              <w:t>Partners</w:t>
            </w:r>
            <w:r w:rsidR="006004CB">
              <w:rPr>
                <w:rFonts w:asciiTheme="minorHAnsi" w:hAnsiTheme="minorHAnsi"/>
                <w:b/>
                <w:i/>
              </w:rPr>
              <w:t xml:space="preserve">: </w:t>
            </w:r>
            <w:r>
              <w:rPr>
                <w:rFonts w:asciiTheme="minorHAnsi" w:hAnsiTheme="minorHAnsi"/>
              </w:rPr>
              <w:t>GIZ, UNDP, UNICEF, WFP</w:t>
            </w:r>
          </w:p>
        </w:tc>
      </w:tr>
    </w:tbl>
    <w:p w14:paraId="53978AD8" w14:textId="351315C7" w:rsidR="00F62210" w:rsidRDefault="00F62210" w:rsidP="004B387B">
      <w:pPr>
        <w:rPr>
          <w:rFonts w:ascii="Times New Roman" w:hAnsi="Times New Roman"/>
          <w:sz w:val="24"/>
          <w:szCs w:val="24"/>
        </w:rPr>
      </w:pPr>
    </w:p>
    <w:p w14:paraId="38374783" w14:textId="77777777" w:rsidR="00F62210" w:rsidRDefault="00F62210">
      <w:pPr>
        <w:rPr>
          <w:rFonts w:ascii="Times New Roman" w:hAnsi="Times New Roman"/>
          <w:sz w:val="24"/>
          <w:szCs w:val="24"/>
        </w:rPr>
      </w:pPr>
      <w:r>
        <w:rPr>
          <w:rFonts w:ascii="Times New Roman" w:hAnsi="Times New Roman"/>
          <w:sz w:val="24"/>
          <w:szCs w:val="24"/>
        </w:rPr>
        <w:br w:type="page"/>
      </w:r>
    </w:p>
    <w:tbl>
      <w:tblPr>
        <w:tblStyle w:val="TableGrid4"/>
        <w:tblW w:w="12865" w:type="dxa"/>
        <w:tblLook w:val="04A0" w:firstRow="1" w:lastRow="0" w:firstColumn="1" w:lastColumn="0" w:noHBand="0" w:noVBand="1"/>
      </w:tblPr>
      <w:tblGrid>
        <w:gridCol w:w="2335"/>
        <w:gridCol w:w="3150"/>
        <w:gridCol w:w="3330"/>
        <w:gridCol w:w="4050"/>
      </w:tblGrid>
      <w:tr w:rsidR="004B387B" w14:paraId="281E0C9C" w14:textId="77777777" w:rsidTr="004B387B">
        <w:tc>
          <w:tcPr>
            <w:tcW w:w="12865" w:type="dxa"/>
            <w:gridSpan w:val="4"/>
            <w:tcBorders>
              <w:top w:val="single" w:sz="4" w:space="0" w:color="auto"/>
              <w:left w:val="single" w:sz="4" w:space="0" w:color="auto"/>
              <w:bottom w:val="single" w:sz="4" w:space="0" w:color="auto"/>
              <w:right w:val="single" w:sz="4" w:space="0" w:color="auto"/>
            </w:tcBorders>
            <w:shd w:val="clear" w:color="auto" w:fill="DEC59D" w:themeFill="accent5" w:themeFillTint="99"/>
            <w:hideMark/>
          </w:tcPr>
          <w:p w14:paraId="77B64FBD" w14:textId="77777777" w:rsidR="004B387B" w:rsidRDefault="004B387B">
            <w:pPr>
              <w:rPr>
                <w:rFonts w:asciiTheme="minorHAnsi" w:hAnsiTheme="minorHAnsi"/>
                <w:b/>
              </w:rPr>
            </w:pPr>
            <w:r>
              <w:rPr>
                <w:rFonts w:asciiTheme="minorHAnsi" w:hAnsiTheme="minorHAnsi"/>
                <w:b/>
                <w:color w:val="FFFFFF"/>
              </w:rPr>
              <w:lastRenderedPageBreak/>
              <w:t>Focus Area 3: Environmental Sustainability and Resilience</w:t>
            </w:r>
          </w:p>
        </w:tc>
      </w:tr>
      <w:tr w:rsidR="004B387B" w14:paraId="75626A6C" w14:textId="77777777" w:rsidTr="004B387B">
        <w:tc>
          <w:tcPr>
            <w:tcW w:w="12865" w:type="dxa"/>
            <w:gridSpan w:val="4"/>
            <w:tcBorders>
              <w:top w:val="single" w:sz="4" w:space="0" w:color="auto"/>
              <w:left w:val="single" w:sz="4" w:space="0" w:color="auto"/>
              <w:bottom w:val="single" w:sz="4" w:space="0" w:color="auto"/>
              <w:right w:val="single" w:sz="4" w:space="0" w:color="auto"/>
            </w:tcBorders>
            <w:hideMark/>
          </w:tcPr>
          <w:p w14:paraId="23D67565" w14:textId="77777777" w:rsidR="004B387B" w:rsidRDefault="004B387B">
            <w:pPr>
              <w:autoSpaceDE w:val="0"/>
              <w:autoSpaceDN w:val="0"/>
              <w:adjustRightInd w:val="0"/>
              <w:jc w:val="both"/>
              <w:rPr>
                <w:rFonts w:asciiTheme="minorHAnsi" w:hAnsiTheme="minorHAnsi"/>
                <w:color w:val="000000"/>
              </w:rPr>
            </w:pPr>
            <w:r>
              <w:rPr>
                <w:rFonts w:asciiTheme="minorHAnsi" w:hAnsiTheme="minorHAnsi"/>
              </w:rPr>
              <w:t>Togo faces major environmental sustainability risks, and the cost of various forms of environment and resource degradation (air pollution, declining water quality, coastal erosion, and land degradation) are estimated at 6.8 percent of GDP per year, entirely offsetting average annual GDP growth rates over the past decade. Whether directly or indirectly, poor people are likely to be harmed by environmental degradation through deteriorating health, reduced agricultural productivity, or declining employment in sectors that depend on coastal assets.</w:t>
            </w:r>
            <w:r>
              <w:rPr>
                <w:rFonts w:asciiTheme="minorHAnsi" w:hAnsiTheme="minorHAnsi"/>
                <w:bCs/>
                <w:iCs/>
              </w:rPr>
              <w:t xml:space="preserve"> Measures aimed at improving the sustainability of natural assets and environmental stewardship are key to ensuring equity and shared prosperity, including from an intergenerational perspective.</w:t>
            </w:r>
          </w:p>
        </w:tc>
      </w:tr>
      <w:tr w:rsidR="004B387B" w14:paraId="2F2B0A9D" w14:textId="77777777" w:rsidTr="004B387B">
        <w:tc>
          <w:tcPr>
            <w:tcW w:w="12865" w:type="dxa"/>
            <w:gridSpan w:val="4"/>
            <w:tcBorders>
              <w:top w:val="single" w:sz="4" w:space="0" w:color="auto"/>
              <w:left w:val="single" w:sz="4" w:space="0" w:color="auto"/>
              <w:bottom w:val="single" w:sz="4" w:space="0" w:color="auto"/>
              <w:right w:val="single" w:sz="4" w:space="0" w:color="auto"/>
            </w:tcBorders>
            <w:shd w:val="clear" w:color="auto" w:fill="F4EBDE" w:themeFill="accent5" w:themeFillTint="33"/>
            <w:hideMark/>
          </w:tcPr>
          <w:p w14:paraId="5B999D0E" w14:textId="77777777" w:rsidR="004B387B" w:rsidRDefault="004B387B">
            <w:pPr>
              <w:rPr>
                <w:rFonts w:asciiTheme="minorHAnsi" w:hAnsiTheme="minorHAnsi"/>
              </w:rPr>
            </w:pPr>
            <w:r>
              <w:rPr>
                <w:rFonts w:asciiTheme="minorHAnsi" w:hAnsiTheme="minorHAnsi"/>
                <w:b/>
              </w:rPr>
              <w:t xml:space="preserve">Objective 3.1: Strengthen the Management of Productive Natural Resources </w:t>
            </w:r>
          </w:p>
        </w:tc>
      </w:tr>
      <w:tr w:rsidR="004B387B" w14:paraId="1D99B6F9" w14:textId="77777777" w:rsidTr="004B387B">
        <w:tc>
          <w:tcPr>
            <w:tcW w:w="12865" w:type="dxa"/>
            <w:gridSpan w:val="4"/>
            <w:tcBorders>
              <w:top w:val="single" w:sz="4" w:space="0" w:color="auto"/>
              <w:left w:val="single" w:sz="4" w:space="0" w:color="auto"/>
              <w:bottom w:val="single" w:sz="4" w:space="0" w:color="auto"/>
              <w:right w:val="single" w:sz="4" w:space="0" w:color="auto"/>
            </w:tcBorders>
            <w:hideMark/>
          </w:tcPr>
          <w:p w14:paraId="2142EB6C" w14:textId="77777777" w:rsidR="004B387B" w:rsidRDefault="004B387B">
            <w:pPr>
              <w:autoSpaceDE w:val="0"/>
              <w:autoSpaceDN w:val="0"/>
              <w:adjustRightInd w:val="0"/>
              <w:jc w:val="both"/>
              <w:rPr>
                <w:rFonts w:asciiTheme="minorHAnsi" w:hAnsiTheme="minorHAnsi"/>
              </w:rPr>
            </w:pPr>
            <w:r>
              <w:rPr>
                <w:rFonts w:asciiTheme="minorHAnsi" w:hAnsiTheme="minorHAnsi"/>
                <w:b/>
              </w:rPr>
              <w:t xml:space="preserve">Intervention Logic: </w:t>
            </w:r>
            <w:r>
              <w:rPr>
                <w:rFonts w:asciiTheme="minorHAnsi" w:hAnsiTheme="minorHAnsi"/>
                <w:color w:val="000000"/>
              </w:rPr>
              <w:t>Adequate management and preservation of Togo’s natural assets is fundamental to strengthen the resilience and sustainability of the country’s development and poverty reduction efforts. Togo needs to p</w:t>
            </w:r>
            <w:r>
              <w:rPr>
                <w:rFonts w:asciiTheme="minorHAnsi" w:hAnsiTheme="minorHAnsi"/>
              </w:rPr>
              <w:t xml:space="preserve">ursue an integrated strategy to disrupt the vicious circle of deforestation and soil depletion, adverse microclimate impacts, reduced surface water, and declining rural productivity. </w:t>
            </w:r>
          </w:p>
          <w:p w14:paraId="1F4E6587" w14:textId="77777777" w:rsidR="004B387B" w:rsidRDefault="004B387B">
            <w:pPr>
              <w:ind w:firstLine="335"/>
              <w:jc w:val="both"/>
              <w:rPr>
                <w:rFonts w:asciiTheme="minorHAnsi" w:hAnsiTheme="minorHAnsi"/>
                <w:color w:val="000000"/>
              </w:rPr>
            </w:pPr>
            <w:r>
              <w:rPr>
                <w:rFonts w:asciiTheme="minorHAnsi" w:hAnsiTheme="minorHAnsi"/>
              </w:rPr>
              <w:t xml:space="preserve">The CPF’s main instrument to combat land degradation and strengthen the management of natural resources is the Integrated Disaster and Land Management (IDLM) Project, which focuses on institutional capacity building for sustainable environment and natural resource management, implementation and expansion of best practices for environment and natural resource management in rural areas, and adaptation to climate change and disaster risk reduction. The CPF will complement this work with a REDD+ grant focused on preparing a strategy for improving the management of Togo’s forest resources </w:t>
            </w:r>
          </w:p>
        </w:tc>
      </w:tr>
      <w:tr w:rsidR="004B387B" w:rsidRPr="00AB08BD" w14:paraId="08BB0B74" w14:textId="77777777" w:rsidTr="004B387B">
        <w:trPr>
          <w:trHeight w:hRule="exact" w:val="568"/>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D3A83" w14:textId="77777777" w:rsidR="004B387B" w:rsidRPr="00AB08BD" w:rsidRDefault="004B387B">
            <w:pPr>
              <w:jc w:val="center"/>
              <w:rPr>
                <w:rFonts w:asciiTheme="minorHAnsi" w:hAnsiTheme="minorHAnsi"/>
                <w:b/>
                <w:color w:val="548DD4"/>
              </w:rPr>
            </w:pPr>
            <w:r w:rsidRPr="00AB08BD">
              <w:rPr>
                <w:rFonts w:asciiTheme="minorHAnsi" w:hAnsiTheme="minorHAnsi"/>
                <w:b/>
                <w:color w:val="548DD4"/>
              </w:rPr>
              <w:t>Country Development Goals</w:t>
            </w:r>
          </w:p>
          <w:p w14:paraId="6F8A7513" w14:textId="77777777" w:rsidR="004B387B" w:rsidRPr="00477E8E" w:rsidRDefault="004B387B">
            <w:pPr>
              <w:jc w:val="center"/>
              <w:rPr>
                <w:rFonts w:asciiTheme="minorHAnsi" w:hAnsiTheme="minorHAnsi"/>
                <w:b/>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B55FD9" w14:textId="7BF6FC43" w:rsidR="004B387B" w:rsidRPr="00AB08BD" w:rsidRDefault="004B387B" w:rsidP="00FC60C7">
            <w:pPr>
              <w:jc w:val="center"/>
              <w:rPr>
                <w:rFonts w:asciiTheme="minorHAnsi" w:hAnsiTheme="minorHAnsi"/>
                <w:b/>
              </w:rPr>
            </w:pPr>
            <w:r w:rsidRPr="000666BB">
              <w:rPr>
                <w:rFonts w:asciiTheme="minorHAnsi" w:hAnsiTheme="minorHAnsi"/>
                <w:b/>
                <w:color w:val="548DD4"/>
              </w:rPr>
              <w:t>CPF Objective Indicators</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AFCB8" w14:textId="77777777" w:rsidR="004B387B" w:rsidRPr="00AB08BD" w:rsidRDefault="004B387B">
            <w:pPr>
              <w:jc w:val="center"/>
              <w:rPr>
                <w:rFonts w:asciiTheme="minorHAnsi" w:hAnsiTheme="minorHAnsi"/>
                <w:b/>
                <w:color w:val="548DD4"/>
              </w:rPr>
            </w:pPr>
            <w:r w:rsidRPr="00AB08BD">
              <w:rPr>
                <w:b/>
                <w:color w:val="548DD4"/>
              </w:rPr>
              <w:t>Supplementary Progress Indicators</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E0679" w14:textId="77777777" w:rsidR="004B387B" w:rsidRPr="00AB08BD" w:rsidRDefault="004B387B">
            <w:pPr>
              <w:jc w:val="center"/>
              <w:rPr>
                <w:rFonts w:asciiTheme="minorHAnsi" w:hAnsiTheme="minorHAnsi"/>
                <w:b/>
                <w:color w:val="548DD4"/>
              </w:rPr>
            </w:pPr>
            <w:r w:rsidRPr="00AB08BD">
              <w:rPr>
                <w:b/>
                <w:color w:val="548DD4"/>
              </w:rPr>
              <w:t>WBG Program</w:t>
            </w:r>
          </w:p>
        </w:tc>
      </w:tr>
      <w:tr w:rsidR="004B387B" w14:paraId="1910D03E" w14:textId="77777777" w:rsidTr="004B387B">
        <w:trPr>
          <w:trHeight w:val="413"/>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Pr>
          <w:p w14:paraId="0AB31D29" w14:textId="77777777" w:rsidR="004B387B" w:rsidRPr="00AB08BD" w:rsidRDefault="004B387B">
            <w:pPr>
              <w:rPr>
                <w:rFonts w:asciiTheme="minorHAnsi" w:hAnsiTheme="minorHAnsi"/>
                <w:b/>
                <w:szCs w:val="24"/>
              </w:rPr>
            </w:pPr>
            <w:r w:rsidRPr="00AB08BD">
              <w:rPr>
                <w:b/>
              </w:rPr>
              <w:t>PND Pillar 4</w:t>
            </w:r>
          </w:p>
          <w:p w14:paraId="14727455" w14:textId="77777777" w:rsidR="004B387B" w:rsidRPr="00AB08BD" w:rsidRDefault="004B387B">
            <w:pPr>
              <w:rPr>
                <w:rFonts w:asciiTheme="minorHAnsi" w:hAnsiTheme="minorHAnsi"/>
              </w:rPr>
            </w:pPr>
            <w:r w:rsidRPr="00AB08BD">
              <w:t>Promoting sustainable management of the territory, the environment, and living standards</w:t>
            </w:r>
          </w:p>
          <w:p w14:paraId="51FDC9CD" w14:textId="77777777" w:rsidR="004B387B" w:rsidRPr="00AB08BD" w:rsidRDefault="004B387B">
            <w:pPr>
              <w:rPr>
                <w:rFonts w:asciiTheme="minorHAnsi" w:hAnsiTheme="minorHAnsi"/>
              </w:rPr>
            </w:pPr>
            <w:r w:rsidRPr="00AB08BD">
              <w:rPr>
                <w:b/>
              </w:rPr>
              <w:t>SDG 13</w:t>
            </w:r>
            <w:r w:rsidRPr="00AB08BD">
              <w:t xml:space="preserve"> </w:t>
            </w:r>
          </w:p>
          <w:p w14:paraId="10339DC2" w14:textId="77777777" w:rsidR="004B387B" w:rsidRPr="00AB08BD" w:rsidRDefault="004B387B">
            <w:pPr>
              <w:rPr>
                <w:rFonts w:asciiTheme="minorHAnsi" w:hAnsiTheme="minorHAnsi"/>
              </w:rPr>
            </w:pPr>
            <w:r w:rsidRPr="00AB08BD">
              <w:t>Climate Action</w:t>
            </w:r>
          </w:p>
          <w:p w14:paraId="2737DE9D" w14:textId="77777777" w:rsidR="004B387B" w:rsidRPr="00AB08BD" w:rsidRDefault="004B387B">
            <w:pPr>
              <w:rPr>
                <w:rFonts w:asciiTheme="minorHAnsi" w:hAnsiTheme="minorHAnsi"/>
                <w:b/>
              </w:rPr>
            </w:pPr>
            <w:r w:rsidRPr="00AB08BD">
              <w:rPr>
                <w:b/>
              </w:rPr>
              <w:t>SDG 15</w:t>
            </w:r>
          </w:p>
          <w:p w14:paraId="2563FD49" w14:textId="77777777" w:rsidR="004B387B" w:rsidRPr="00AB08BD" w:rsidRDefault="004B387B">
            <w:pPr>
              <w:rPr>
                <w:rFonts w:asciiTheme="minorHAnsi" w:hAnsiTheme="minorHAnsi"/>
              </w:rPr>
            </w:pPr>
            <w:r w:rsidRPr="00AB08BD">
              <w:t>Life on Land</w:t>
            </w:r>
          </w:p>
          <w:p w14:paraId="685C60BE" w14:textId="77777777" w:rsidR="004B387B" w:rsidRPr="00AB08BD" w:rsidRDefault="004B387B">
            <w:pPr>
              <w:rPr>
                <w:rFonts w:asciiTheme="minorHAnsi" w:hAnsiTheme="minorHAnsi"/>
                <w:i/>
              </w:rPr>
            </w:pPr>
            <w:r w:rsidRPr="00AB08BD">
              <w:t xml:space="preserve">Complementary steps to </w:t>
            </w:r>
            <w:r w:rsidRPr="00AB08BD">
              <w:rPr>
                <w:b/>
              </w:rPr>
              <w:t xml:space="preserve">SCD Pathways 2 and 3 </w:t>
            </w:r>
            <w:r w:rsidRPr="00AB08BD">
              <w:t xml:space="preserve">and </w:t>
            </w:r>
            <w:r w:rsidRPr="00AB08BD">
              <w:rPr>
                <w:b/>
              </w:rPr>
              <w:t>SCD long term sustainability risks</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tcPr>
          <w:p w14:paraId="3AF84406" w14:textId="77777777" w:rsidR="004B387B" w:rsidRPr="00C97360" w:rsidRDefault="004B387B">
            <w:pPr>
              <w:rPr>
                <w:rFonts w:asciiTheme="minorHAnsi" w:hAnsiTheme="minorHAnsi"/>
                <w:i/>
              </w:rPr>
            </w:pPr>
            <w:r w:rsidRPr="00C97360">
              <w:rPr>
                <w:i/>
              </w:rPr>
              <w:t>3.1.1 Additional land area with sustainable landscape management (SLM) practices and/or climate-resilient agricultural practices in areas targeted by PGICT project</w:t>
            </w:r>
          </w:p>
          <w:p w14:paraId="61565C57" w14:textId="77777777" w:rsidR="004B387B" w:rsidRPr="00C97360" w:rsidRDefault="004B387B">
            <w:pPr>
              <w:rPr>
                <w:rFonts w:asciiTheme="minorHAnsi" w:hAnsiTheme="minorHAnsi"/>
              </w:rPr>
            </w:pPr>
            <w:r w:rsidRPr="00C97360">
              <w:t>Baseline:  1,200 (2017)</w:t>
            </w:r>
          </w:p>
          <w:p w14:paraId="49215E5B" w14:textId="77777777" w:rsidR="004B387B" w:rsidRPr="00AB08BD" w:rsidRDefault="004B387B">
            <w:pPr>
              <w:rPr>
                <w:rFonts w:asciiTheme="minorHAnsi" w:hAnsiTheme="minorHAnsi"/>
              </w:rPr>
            </w:pPr>
            <w:r w:rsidRPr="00C97360">
              <w:t>Target:     2,000 (2020)</w:t>
            </w:r>
          </w:p>
          <w:p w14:paraId="202DA05A" w14:textId="77777777" w:rsidR="004B387B" w:rsidRPr="00477E8E" w:rsidRDefault="004B387B">
            <w:pPr>
              <w:rPr>
                <w:rFonts w:asciiTheme="minorHAnsi" w:hAnsiTheme="minorHAnsi"/>
              </w:rPr>
            </w:pPr>
          </w:p>
          <w:p w14:paraId="39C47333" w14:textId="77777777" w:rsidR="004B387B" w:rsidRPr="000666BB" w:rsidRDefault="004B387B">
            <w:pPr>
              <w:rPr>
                <w:rFonts w:asciiTheme="minorHAnsi" w:hAnsiTheme="minorHAnsi"/>
                <w:i/>
              </w:rPr>
            </w:pPr>
            <w:r w:rsidRPr="000666BB">
              <w:rPr>
                <w:rFonts w:asciiTheme="minorHAnsi" w:hAnsiTheme="minorHAnsi"/>
                <w:i/>
              </w:rPr>
              <w:t xml:space="preserve">3.1.2 Forest area brought under management plans (community and private forests) </w:t>
            </w:r>
          </w:p>
          <w:p w14:paraId="40843BED" w14:textId="33B6D588" w:rsidR="004B387B" w:rsidRPr="00AB08BD" w:rsidRDefault="004B387B">
            <w:pPr>
              <w:rPr>
                <w:rFonts w:asciiTheme="minorHAnsi" w:hAnsiTheme="minorHAnsi"/>
              </w:rPr>
            </w:pPr>
            <w:r w:rsidRPr="00AB08BD">
              <w:t xml:space="preserve">Baseline: </w:t>
            </w:r>
            <w:r w:rsidR="009601A5" w:rsidRPr="00AB08BD">
              <w:t>6050 hectares</w:t>
            </w:r>
            <w:r w:rsidRPr="00AB08BD">
              <w:t xml:space="preserve"> (2017)</w:t>
            </w:r>
          </w:p>
          <w:p w14:paraId="2BFBC91E" w14:textId="082AA0D2" w:rsidR="004B387B" w:rsidRPr="00AB08BD" w:rsidRDefault="004B387B">
            <w:pPr>
              <w:rPr>
                <w:rFonts w:asciiTheme="minorHAnsi" w:hAnsiTheme="minorHAnsi"/>
              </w:rPr>
            </w:pPr>
            <w:r w:rsidRPr="00AB08BD">
              <w:t xml:space="preserve">Target: </w:t>
            </w:r>
            <w:r w:rsidR="009601A5" w:rsidRPr="00AB08BD">
              <w:t>10,000 hectares</w:t>
            </w:r>
            <w:r w:rsidRPr="00AB08BD">
              <w:t xml:space="preserve"> (2020)</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F4B74" w14:textId="77777777" w:rsidR="004B387B" w:rsidRPr="00C97360" w:rsidRDefault="004B387B" w:rsidP="004B387B">
            <w:pPr>
              <w:pStyle w:val="ListParagraph"/>
              <w:numPr>
                <w:ilvl w:val="0"/>
                <w:numId w:val="15"/>
              </w:numPr>
              <w:tabs>
                <w:tab w:val="left" w:pos="257"/>
              </w:tabs>
              <w:ind w:left="0" w:firstLine="0"/>
              <w:rPr>
                <w:rFonts w:asciiTheme="minorHAnsi" w:hAnsiTheme="minorHAnsi"/>
              </w:rPr>
            </w:pPr>
            <w:r w:rsidRPr="00C97360">
              <w:rPr>
                <w:i/>
              </w:rPr>
              <w:t xml:space="preserve">Number of CDD initiatives applying SLM tools and approaches </w:t>
            </w:r>
          </w:p>
          <w:p w14:paraId="63DE8CE3" w14:textId="77777777" w:rsidR="004B387B" w:rsidRPr="00C97360" w:rsidRDefault="004B387B">
            <w:pPr>
              <w:rPr>
                <w:rFonts w:asciiTheme="minorHAnsi" w:hAnsiTheme="minorHAnsi"/>
              </w:rPr>
            </w:pPr>
            <w:r w:rsidRPr="00C97360">
              <w:t>Baseline:  75 (2017)</w:t>
            </w:r>
          </w:p>
          <w:p w14:paraId="6BCFC218" w14:textId="77777777" w:rsidR="004B387B" w:rsidRPr="00AB08BD" w:rsidRDefault="004B387B">
            <w:pPr>
              <w:rPr>
                <w:rFonts w:asciiTheme="minorHAnsi" w:hAnsiTheme="minorHAnsi"/>
              </w:rPr>
            </w:pPr>
            <w:r w:rsidRPr="00C97360">
              <w:t>Target:   200 (2020)</w:t>
            </w:r>
          </w:p>
          <w:p w14:paraId="1C56068F" w14:textId="77777777" w:rsidR="004B387B" w:rsidRPr="00477E8E" w:rsidRDefault="004B387B" w:rsidP="004B387B">
            <w:pPr>
              <w:pStyle w:val="ListParagraph"/>
              <w:numPr>
                <w:ilvl w:val="0"/>
                <w:numId w:val="15"/>
              </w:numPr>
              <w:tabs>
                <w:tab w:val="left" w:pos="257"/>
              </w:tabs>
              <w:ind w:left="0" w:firstLine="0"/>
              <w:rPr>
                <w:rFonts w:asciiTheme="minorHAnsi" w:hAnsiTheme="minorHAnsi"/>
                <w:i/>
              </w:rPr>
            </w:pPr>
            <w:r w:rsidRPr="00477E8E">
              <w:rPr>
                <w:rFonts w:asciiTheme="minorHAnsi" w:hAnsiTheme="minorHAnsi"/>
                <w:i/>
              </w:rPr>
              <w:t>Area covered by monitoring system for land use vegetation cover and related carbon accumulation estimate</w:t>
            </w:r>
          </w:p>
          <w:p w14:paraId="2B466EE5" w14:textId="77777777" w:rsidR="004B387B" w:rsidRPr="009577C2" w:rsidRDefault="004B387B">
            <w:pPr>
              <w:tabs>
                <w:tab w:val="left" w:pos="257"/>
              </w:tabs>
              <w:rPr>
                <w:rFonts w:asciiTheme="minorHAnsi" w:hAnsiTheme="minorHAnsi"/>
              </w:rPr>
            </w:pPr>
            <w:r w:rsidRPr="000666BB">
              <w:rPr>
                <w:rFonts w:asciiTheme="minorHAnsi" w:eastAsiaTheme="minorHAnsi" w:hAnsiTheme="minorHAnsi"/>
              </w:rPr>
              <w:t>Baseline: 350,000 ha (2017)</w:t>
            </w:r>
          </w:p>
          <w:p w14:paraId="481923F4" w14:textId="77777777" w:rsidR="004B387B" w:rsidRPr="00AB08BD" w:rsidRDefault="004B387B">
            <w:pPr>
              <w:tabs>
                <w:tab w:val="left" w:pos="257"/>
              </w:tabs>
              <w:rPr>
                <w:rFonts w:asciiTheme="minorHAnsi" w:hAnsiTheme="minorHAnsi"/>
              </w:rPr>
            </w:pPr>
            <w:r w:rsidRPr="00AB08BD">
              <w:t>Target: 500,000 ha (2020)</w:t>
            </w:r>
          </w:p>
          <w:p w14:paraId="18A485E5" w14:textId="77777777" w:rsidR="004B387B" w:rsidRPr="00AB08BD" w:rsidRDefault="004B387B" w:rsidP="004B387B">
            <w:pPr>
              <w:pStyle w:val="ListParagraph"/>
              <w:numPr>
                <w:ilvl w:val="0"/>
                <w:numId w:val="15"/>
              </w:numPr>
              <w:tabs>
                <w:tab w:val="left" w:pos="257"/>
              </w:tabs>
              <w:ind w:left="0" w:firstLine="0"/>
              <w:rPr>
                <w:rFonts w:asciiTheme="minorHAnsi" w:hAnsiTheme="minorHAnsi"/>
                <w:i/>
              </w:rPr>
            </w:pPr>
            <w:r w:rsidRPr="00AB08BD">
              <w:rPr>
                <w:i/>
              </w:rPr>
              <w:t xml:space="preserve">REDD+ strategy finalized and under implementation </w:t>
            </w:r>
          </w:p>
          <w:p w14:paraId="7AB158A9" w14:textId="77777777" w:rsidR="004B387B" w:rsidRPr="00AB08BD" w:rsidRDefault="004B387B">
            <w:pPr>
              <w:rPr>
                <w:rFonts w:asciiTheme="minorHAnsi" w:hAnsiTheme="minorHAnsi"/>
              </w:rPr>
            </w:pPr>
            <w:r w:rsidRPr="00AB08BD">
              <w:t>Baseline: No (2017)</w:t>
            </w:r>
          </w:p>
          <w:p w14:paraId="00A34DA0" w14:textId="77777777" w:rsidR="004B387B" w:rsidRPr="00AB08BD" w:rsidRDefault="004B387B">
            <w:pPr>
              <w:rPr>
                <w:rFonts w:asciiTheme="minorHAnsi" w:hAnsiTheme="minorHAnsi"/>
              </w:rPr>
            </w:pPr>
            <w:r w:rsidRPr="00AB08BD">
              <w:t>Target: Yes (2020)</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59AEA" w14:textId="77777777" w:rsidR="004B387B" w:rsidRPr="00AB08BD" w:rsidRDefault="004B387B">
            <w:pPr>
              <w:rPr>
                <w:rFonts w:asciiTheme="minorHAnsi" w:hAnsiTheme="minorHAnsi"/>
                <w:b/>
                <w:i/>
              </w:rPr>
            </w:pPr>
            <w:r w:rsidRPr="00AB08BD">
              <w:rPr>
                <w:b/>
                <w:i/>
              </w:rPr>
              <w:t xml:space="preserve">Operations </w:t>
            </w:r>
          </w:p>
          <w:p w14:paraId="6CD249C0" w14:textId="0BED9923" w:rsidR="00EF0A5A" w:rsidRDefault="004B387B">
            <w:pPr>
              <w:rPr>
                <w:rFonts w:asciiTheme="minorHAnsi" w:hAnsiTheme="minorHAnsi"/>
              </w:rPr>
            </w:pPr>
            <w:r w:rsidRPr="00AB08BD">
              <w:rPr>
                <w:b/>
              </w:rPr>
              <w:t xml:space="preserve">IDA: </w:t>
            </w:r>
            <w:r w:rsidRPr="00AB08BD">
              <w:t xml:space="preserve">Integrated Disaster and Land </w:t>
            </w:r>
            <w:r w:rsidRPr="00AB08BD">
              <w:rPr>
                <w:rFonts w:asciiTheme="minorHAnsi" w:hAnsiTheme="minorHAnsi"/>
              </w:rPr>
              <w:t xml:space="preserve">Management </w:t>
            </w:r>
            <w:r w:rsidR="00AB08BD">
              <w:rPr>
                <w:rFonts w:asciiTheme="minorHAnsi" w:hAnsiTheme="minorHAnsi"/>
              </w:rPr>
              <w:t xml:space="preserve">(IDLM) </w:t>
            </w:r>
            <w:r w:rsidRPr="00AB08BD">
              <w:rPr>
                <w:rFonts w:asciiTheme="minorHAnsi" w:hAnsiTheme="minorHAnsi"/>
              </w:rPr>
              <w:t>AF (FY1</w:t>
            </w:r>
            <w:r w:rsidR="008A372F" w:rsidRPr="00AB08BD">
              <w:rPr>
                <w:rFonts w:asciiTheme="minorHAnsi" w:hAnsiTheme="minorHAnsi"/>
              </w:rPr>
              <w:t>9</w:t>
            </w:r>
            <w:r w:rsidRPr="00AB08BD">
              <w:rPr>
                <w:rFonts w:asciiTheme="minorHAnsi" w:hAnsiTheme="minorHAnsi"/>
              </w:rPr>
              <w:t>);</w:t>
            </w:r>
          </w:p>
          <w:p w14:paraId="6A74C7CA" w14:textId="35187C1A" w:rsidR="004B387B" w:rsidRPr="00AB08BD" w:rsidRDefault="00EF0A5A">
            <w:pPr>
              <w:rPr>
                <w:rFonts w:asciiTheme="minorHAnsi" w:hAnsiTheme="minorHAnsi"/>
              </w:rPr>
            </w:pPr>
            <w:r w:rsidRPr="00834149">
              <w:rPr>
                <w:b/>
              </w:rPr>
              <w:t xml:space="preserve">Carbon </w:t>
            </w:r>
            <w:r w:rsidR="009F25CA">
              <w:rPr>
                <w:rFonts w:asciiTheme="minorHAnsi" w:hAnsiTheme="minorHAnsi"/>
                <w:b/>
              </w:rPr>
              <w:t>Fund</w:t>
            </w:r>
            <w:r w:rsidRPr="00834149">
              <w:rPr>
                <w:b/>
              </w:rPr>
              <w:t>:</w:t>
            </w:r>
            <w:r>
              <w:rPr>
                <w:rFonts w:asciiTheme="minorHAnsi" w:hAnsiTheme="minorHAnsi"/>
              </w:rPr>
              <w:t xml:space="preserve"> </w:t>
            </w:r>
            <w:r w:rsidR="006850A5">
              <w:rPr>
                <w:rFonts w:asciiTheme="minorHAnsi" w:hAnsiTheme="minorHAnsi"/>
              </w:rPr>
              <w:t xml:space="preserve">Reduction of </w:t>
            </w:r>
            <w:r>
              <w:rPr>
                <w:rFonts w:asciiTheme="minorHAnsi" w:hAnsiTheme="minorHAnsi"/>
              </w:rPr>
              <w:t xml:space="preserve">carbon </w:t>
            </w:r>
            <w:r w:rsidR="006850A5">
              <w:rPr>
                <w:rFonts w:asciiTheme="minorHAnsi" w:hAnsiTheme="minorHAnsi"/>
              </w:rPr>
              <w:t xml:space="preserve">emissions </w:t>
            </w:r>
            <w:r>
              <w:rPr>
                <w:rFonts w:asciiTheme="minorHAnsi" w:hAnsiTheme="minorHAnsi"/>
              </w:rPr>
              <w:t xml:space="preserve">due to </w:t>
            </w:r>
            <w:r w:rsidR="006850A5">
              <w:rPr>
                <w:rFonts w:asciiTheme="minorHAnsi" w:hAnsiTheme="minorHAnsi"/>
              </w:rPr>
              <w:t>deforestation and forest degradation (REDD+) (FY</w:t>
            </w:r>
            <w:r>
              <w:rPr>
                <w:rFonts w:asciiTheme="minorHAnsi" w:hAnsiTheme="minorHAnsi"/>
              </w:rPr>
              <w:t xml:space="preserve"> 15</w:t>
            </w:r>
            <w:r w:rsidR="006850A5">
              <w:rPr>
                <w:rFonts w:asciiTheme="minorHAnsi" w:hAnsiTheme="minorHAnsi"/>
              </w:rPr>
              <w:t>)</w:t>
            </w:r>
          </w:p>
          <w:p w14:paraId="1D219259" w14:textId="77777777" w:rsidR="004B387B" w:rsidRPr="00477E8E" w:rsidRDefault="004B387B">
            <w:pPr>
              <w:rPr>
                <w:rFonts w:asciiTheme="minorHAnsi" w:hAnsiTheme="minorHAnsi"/>
              </w:rPr>
            </w:pPr>
          </w:p>
          <w:p w14:paraId="2BF8292A" w14:textId="77777777" w:rsidR="004B387B" w:rsidRPr="000666BB" w:rsidRDefault="004B387B">
            <w:pPr>
              <w:rPr>
                <w:rFonts w:asciiTheme="minorHAnsi" w:hAnsiTheme="minorHAnsi"/>
                <w:b/>
                <w:i/>
              </w:rPr>
            </w:pPr>
            <w:r w:rsidRPr="000666BB">
              <w:rPr>
                <w:rFonts w:asciiTheme="minorHAnsi" w:hAnsiTheme="minorHAnsi"/>
                <w:b/>
                <w:i/>
              </w:rPr>
              <w:t>Partners</w:t>
            </w:r>
          </w:p>
          <w:p w14:paraId="6A4FF903" w14:textId="25FF5845" w:rsidR="004B387B" w:rsidRDefault="004B387B" w:rsidP="00C97360">
            <w:pPr>
              <w:tabs>
                <w:tab w:val="center" w:pos="1917"/>
              </w:tabs>
              <w:rPr>
                <w:rFonts w:asciiTheme="minorHAnsi" w:hAnsiTheme="minorHAnsi"/>
              </w:rPr>
            </w:pPr>
            <w:r w:rsidRPr="009577C2">
              <w:rPr>
                <w:rFonts w:asciiTheme="minorHAnsi" w:hAnsiTheme="minorHAnsi"/>
              </w:rPr>
              <w:t>GIZ</w:t>
            </w:r>
          </w:p>
        </w:tc>
      </w:tr>
    </w:tbl>
    <w:p w14:paraId="3511A06F" w14:textId="77777777" w:rsidR="004B387B" w:rsidRDefault="004B387B" w:rsidP="004B387B">
      <w:pPr>
        <w:rPr>
          <w:rFonts w:ascii="Times New Roman" w:hAnsi="Times New Roman"/>
          <w:sz w:val="24"/>
          <w:szCs w:val="24"/>
        </w:rPr>
      </w:pPr>
    </w:p>
    <w:tbl>
      <w:tblPr>
        <w:tblStyle w:val="TableGrid4"/>
        <w:tblW w:w="12865" w:type="dxa"/>
        <w:tblLook w:val="04A0" w:firstRow="1" w:lastRow="0" w:firstColumn="1" w:lastColumn="0" w:noHBand="0" w:noVBand="1"/>
      </w:tblPr>
      <w:tblGrid>
        <w:gridCol w:w="2335"/>
        <w:gridCol w:w="3150"/>
        <w:gridCol w:w="3330"/>
        <w:gridCol w:w="4050"/>
      </w:tblGrid>
      <w:tr w:rsidR="004B387B" w14:paraId="601CCBFA" w14:textId="77777777" w:rsidTr="004B387B">
        <w:tc>
          <w:tcPr>
            <w:tcW w:w="12865" w:type="dxa"/>
            <w:gridSpan w:val="4"/>
            <w:tcBorders>
              <w:top w:val="single" w:sz="4" w:space="0" w:color="auto"/>
              <w:left w:val="single" w:sz="4" w:space="0" w:color="auto"/>
              <w:bottom w:val="single" w:sz="4" w:space="0" w:color="auto"/>
              <w:right w:val="single" w:sz="4" w:space="0" w:color="auto"/>
            </w:tcBorders>
            <w:shd w:val="clear" w:color="auto" w:fill="F4EBDE" w:themeFill="accent5" w:themeFillTint="33"/>
            <w:hideMark/>
          </w:tcPr>
          <w:p w14:paraId="004487DD" w14:textId="77777777" w:rsidR="004B387B" w:rsidRDefault="004B387B">
            <w:pPr>
              <w:rPr>
                <w:rFonts w:asciiTheme="minorHAnsi" w:hAnsiTheme="minorHAnsi"/>
              </w:rPr>
            </w:pPr>
            <w:r>
              <w:rPr>
                <w:rFonts w:asciiTheme="minorHAnsi" w:hAnsiTheme="minorHAnsi"/>
                <w:b/>
              </w:rPr>
              <w:lastRenderedPageBreak/>
              <w:t xml:space="preserve">Objective 3.2: Strengthen Resilience and Adaptation to Climate Change </w:t>
            </w:r>
          </w:p>
        </w:tc>
      </w:tr>
      <w:tr w:rsidR="004B387B" w14:paraId="5EA9F73F" w14:textId="77777777" w:rsidTr="004B387B">
        <w:tc>
          <w:tcPr>
            <w:tcW w:w="12865" w:type="dxa"/>
            <w:gridSpan w:val="4"/>
            <w:tcBorders>
              <w:top w:val="single" w:sz="4" w:space="0" w:color="auto"/>
              <w:left w:val="single" w:sz="4" w:space="0" w:color="auto"/>
              <w:bottom w:val="single" w:sz="4" w:space="0" w:color="auto"/>
              <w:right w:val="single" w:sz="4" w:space="0" w:color="auto"/>
            </w:tcBorders>
            <w:hideMark/>
          </w:tcPr>
          <w:p w14:paraId="4BCA137B" w14:textId="77777777" w:rsidR="004B387B" w:rsidRDefault="004B387B">
            <w:pPr>
              <w:jc w:val="both"/>
              <w:rPr>
                <w:rFonts w:asciiTheme="minorHAnsi" w:hAnsiTheme="minorHAnsi"/>
              </w:rPr>
            </w:pPr>
            <w:r>
              <w:rPr>
                <w:rFonts w:asciiTheme="minorHAnsi" w:hAnsiTheme="minorHAnsi"/>
                <w:b/>
              </w:rPr>
              <w:t xml:space="preserve">Intervention Logic: </w:t>
            </w:r>
            <w:r>
              <w:rPr>
                <w:rFonts w:asciiTheme="minorHAnsi" w:hAnsiTheme="minorHAnsi"/>
              </w:rPr>
              <w:t>Togo’s coastal areas are particularly vulnerable, as they are subject to erosion, flooding and marine pollution. A significant portion of Togo’s coastline is eroding at an average yearly rate of 6–10 meters per year, and the pace is accelerating. In addition to rising sea levels and changing sea and weather patterns, the main causes of erosion have been port construction, sand mining (now illegal), and the construction of a dam in Akossombo (Ghana), which prevents inland sediments from reaching the coast. Failing to put in place a more permanent solution will result in high costs.</w:t>
            </w:r>
          </w:p>
          <w:p w14:paraId="225A3FDC" w14:textId="77777777" w:rsidR="004B387B" w:rsidRDefault="004B387B">
            <w:pPr>
              <w:ind w:firstLine="360"/>
              <w:jc w:val="both"/>
              <w:rPr>
                <w:rFonts w:asciiTheme="minorHAnsi" w:hAnsiTheme="minorHAnsi"/>
              </w:rPr>
            </w:pPr>
            <w:r>
              <w:rPr>
                <w:rFonts w:asciiTheme="minorHAnsi" w:hAnsiTheme="minorHAnsi"/>
              </w:rPr>
              <w:t>A regional West Africa Coastal Areas Resilience Investment project is currently under preparation to help improve management of shared natural and manmade risks, including climate change, affecting targeted coastal communities and areas in the region. The CPF will also support a proposed Hydromet project (Green Climate Fund) to strengthen hydro-meteorological services and disaster risk management and improve the performance of existing hydro-meteorological stations.</w:t>
            </w:r>
          </w:p>
          <w:p w14:paraId="7B509D28" w14:textId="77777777" w:rsidR="004B387B" w:rsidRDefault="004B387B">
            <w:pPr>
              <w:ind w:firstLine="335"/>
              <w:jc w:val="both"/>
              <w:rPr>
                <w:rFonts w:asciiTheme="minorHAnsi" w:hAnsiTheme="minorHAnsi"/>
                <w:color w:val="000000"/>
              </w:rPr>
            </w:pPr>
            <w:r>
              <w:rPr>
                <w:rFonts w:asciiTheme="minorHAnsi" w:hAnsiTheme="minorHAnsi"/>
              </w:rPr>
              <w:t>Under the CPF, and in response to the Government’s request, the WBG will continue its analytical work and TA on the Blue Economy to help Togo optimize its potential socioeconomic coastal and marine benefits while sustainably managing its resources. This will directly inform the preparation and implementation of the PND at all levels, including improving the governance structure, developing new policy tools, strengthening capacities, and organizing the informal sector.</w:t>
            </w:r>
          </w:p>
        </w:tc>
      </w:tr>
      <w:tr w:rsidR="004B387B" w14:paraId="09E1F8E7" w14:textId="77777777" w:rsidTr="004B387B">
        <w:trPr>
          <w:trHeight w:hRule="exact" w:val="568"/>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Pr>
          <w:p w14:paraId="397F257F" w14:textId="77777777" w:rsidR="004B387B" w:rsidRDefault="004B387B">
            <w:pPr>
              <w:jc w:val="center"/>
              <w:rPr>
                <w:rFonts w:asciiTheme="minorHAnsi" w:hAnsiTheme="minorHAnsi"/>
                <w:b/>
                <w:color w:val="548DD4"/>
              </w:rPr>
            </w:pPr>
            <w:r>
              <w:rPr>
                <w:rFonts w:asciiTheme="minorHAnsi" w:hAnsiTheme="minorHAnsi"/>
                <w:b/>
                <w:color w:val="548DD4"/>
              </w:rPr>
              <w:t>Country Development Goals</w:t>
            </w:r>
          </w:p>
          <w:p w14:paraId="5DCE4B68" w14:textId="77777777" w:rsidR="004B387B" w:rsidRDefault="004B387B">
            <w:pPr>
              <w:jc w:val="center"/>
              <w:rPr>
                <w:rFonts w:asciiTheme="minorHAnsi" w:hAnsiTheme="minorHAnsi"/>
                <w:b/>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2FBF8E" w14:textId="77777777" w:rsidR="004B387B" w:rsidRDefault="004B387B">
            <w:pPr>
              <w:jc w:val="center"/>
              <w:rPr>
                <w:rFonts w:asciiTheme="minorHAnsi" w:hAnsiTheme="minorHAnsi"/>
                <w:b/>
                <w:color w:val="548DD4"/>
              </w:rPr>
            </w:pPr>
            <w:r>
              <w:rPr>
                <w:rFonts w:asciiTheme="minorHAnsi" w:hAnsiTheme="minorHAnsi"/>
                <w:b/>
                <w:color w:val="548DD4"/>
              </w:rPr>
              <w:t>CPF Objective Indicators</w:t>
            </w:r>
          </w:p>
          <w:p w14:paraId="18D47E35" w14:textId="77777777" w:rsidR="004B387B" w:rsidRDefault="004B387B">
            <w:pPr>
              <w:jc w:val="center"/>
              <w:rPr>
                <w:rFonts w:asciiTheme="minorHAnsi" w:hAnsiTheme="minorHAnsi"/>
                <w:b/>
              </w:rPr>
            </w:pP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A8601" w14:textId="77777777" w:rsidR="004B387B" w:rsidRDefault="004B387B">
            <w:pPr>
              <w:jc w:val="center"/>
              <w:rPr>
                <w:rFonts w:asciiTheme="minorHAnsi" w:hAnsiTheme="minorHAnsi"/>
                <w:b/>
                <w:color w:val="548DD4"/>
              </w:rPr>
            </w:pPr>
            <w:r>
              <w:rPr>
                <w:rFonts w:asciiTheme="minorHAnsi" w:hAnsiTheme="minorHAnsi"/>
                <w:b/>
                <w:color w:val="548DD4"/>
              </w:rPr>
              <w:t>Supplementary Progress Indicators</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F3AA87" w14:textId="77777777" w:rsidR="004B387B" w:rsidRDefault="004B387B">
            <w:pPr>
              <w:jc w:val="center"/>
              <w:rPr>
                <w:rFonts w:asciiTheme="minorHAnsi" w:hAnsiTheme="minorHAnsi"/>
                <w:b/>
                <w:color w:val="548DD4"/>
              </w:rPr>
            </w:pPr>
            <w:r>
              <w:rPr>
                <w:rFonts w:asciiTheme="minorHAnsi" w:hAnsiTheme="minorHAnsi"/>
                <w:b/>
                <w:color w:val="548DD4"/>
              </w:rPr>
              <w:t>WBG Program</w:t>
            </w:r>
          </w:p>
        </w:tc>
      </w:tr>
      <w:tr w:rsidR="004B387B" w14:paraId="0DC1E7EA" w14:textId="77777777" w:rsidTr="004B387B">
        <w:trPr>
          <w:trHeight w:val="413"/>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Pr>
          <w:p w14:paraId="3D16730F" w14:textId="77777777" w:rsidR="004B387B" w:rsidRDefault="004B387B">
            <w:pPr>
              <w:rPr>
                <w:rFonts w:asciiTheme="minorHAnsi" w:hAnsiTheme="minorHAnsi"/>
                <w:b/>
                <w:szCs w:val="24"/>
              </w:rPr>
            </w:pPr>
            <w:r>
              <w:rPr>
                <w:rFonts w:asciiTheme="minorHAnsi" w:hAnsiTheme="minorHAnsi"/>
                <w:b/>
              </w:rPr>
              <w:t>PND Pillar 4</w:t>
            </w:r>
          </w:p>
          <w:p w14:paraId="2148E8AF" w14:textId="77777777" w:rsidR="004B387B" w:rsidRDefault="004B387B">
            <w:pPr>
              <w:rPr>
                <w:rFonts w:asciiTheme="minorHAnsi" w:hAnsiTheme="minorHAnsi"/>
                <w:b/>
              </w:rPr>
            </w:pPr>
            <w:r>
              <w:rPr>
                <w:rFonts w:asciiTheme="minorHAnsi" w:hAnsiTheme="minorHAnsi"/>
              </w:rPr>
              <w:t>Promoting sustainable management of the territory, the environment, and living standards</w:t>
            </w:r>
            <w:r>
              <w:rPr>
                <w:rFonts w:asciiTheme="minorHAnsi" w:hAnsiTheme="minorHAnsi"/>
                <w:b/>
              </w:rPr>
              <w:t xml:space="preserve"> </w:t>
            </w:r>
          </w:p>
          <w:p w14:paraId="05133A13" w14:textId="77777777" w:rsidR="004B387B" w:rsidRDefault="004B387B">
            <w:pPr>
              <w:rPr>
                <w:rFonts w:asciiTheme="minorHAnsi" w:hAnsiTheme="minorHAnsi"/>
                <w:b/>
              </w:rPr>
            </w:pPr>
          </w:p>
          <w:p w14:paraId="4DA79CBB" w14:textId="77777777" w:rsidR="004B387B" w:rsidRDefault="004B387B">
            <w:pPr>
              <w:rPr>
                <w:rFonts w:asciiTheme="minorHAnsi" w:hAnsiTheme="minorHAnsi"/>
              </w:rPr>
            </w:pPr>
            <w:r>
              <w:rPr>
                <w:rFonts w:asciiTheme="minorHAnsi" w:hAnsiTheme="minorHAnsi"/>
                <w:b/>
              </w:rPr>
              <w:t>SDG 13</w:t>
            </w:r>
            <w:r>
              <w:rPr>
                <w:rFonts w:asciiTheme="minorHAnsi" w:hAnsiTheme="minorHAnsi"/>
              </w:rPr>
              <w:t xml:space="preserve"> </w:t>
            </w:r>
          </w:p>
          <w:p w14:paraId="323483C2" w14:textId="77777777" w:rsidR="004B387B" w:rsidRDefault="004B387B">
            <w:pPr>
              <w:rPr>
                <w:rFonts w:asciiTheme="minorHAnsi" w:hAnsiTheme="minorHAnsi"/>
              </w:rPr>
            </w:pPr>
            <w:r>
              <w:rPr>
                <w:rFonts w:asciiTheme="minorHAnsi" w:hAnsiTheme="minorHAnsi"/>
              </w:rPr>
              <w:t>Climate Action</w:t>
            </w:r>
          </w:p>
          <w:p w14:paraId="23AF6A71" w14:textId="77777777" w:rsidR="004B387B" w:rsidRDefault="004B387B">
            <w:pPr>
              <w:rPr>
                <w:rFonts w:asciiTheme="minorHAnsi" w:hAnsiTheme="minorHAnsi"/>
              </w:rPr>
            </w:pPr>
          </w:p>
          <w:p w14:paraId="1B933709" w14:textId="77777777" w:rsidR="004B387B" w:rsidRDefault="004B387B">
            <w:pPr>
              <w:rPr>
                <w:rFonts w:asciiTheme="minorHAnsi" w:hAnsiTheme="minorHAnsi"/>
                <w:b/>
              </w:rPr>
            </w:pPr>
            <w:r>
              <w:rPr>
                <w:rFonts w:asciiTheme="minorHAnsi" w:hAnsiTheme="minorHAnsi"/>
                <w:b/>
              </w:rPr>
              <w:t>SDG 15</w:t>
            </w:r>
          </w:p>
          <w:p w14:paraId="79B320C5" w14:textId="77777777" w:rsidR="004B387B" w:rsidRDefault="004B387B">
            <w:pPr>
              <w:rPr>
                <w:rFonts w:asciiTheme="minorHAnsi" w:hAnsiTheme="minorHAnsi"/>
              </w:rPr>
            </w:pPr>
            <w:r>
              <w:rPr>
                <w:rFonts w:asciiTheme="minorHAnsi" w:hAnsiTheme="minorHAnsi"/>
              </w:rPr>
              <w:t>Life on Land</w:t>
            </w:r>
          </w:p>
          <w:p w14:paraId="67FD10DD" w14:textId="77777777" w:rsidR="004B387B" w:rsidRDefault="004B387B">
            <w:pPr>
              <w:rPr>
                <w:rFonts w:asciiTheme="minorHAnsi" w:hAnsiTheme="minorHAnsi"/>
              </w:rPr>
            </w:pPr>
          </w:p>
          <w:p w14:paraId="727CCC51" w14:textId="77777777" w:rsidR="004B387B" w:rsidRDefault="004B387B">
            <w:pPr>
              <w:rPr>
                <w:rFonts w:asciiTheme="minorHAnsi" w:hAnsiTheme="minorHAnsi"/>
              </w:rPr>
            </w:pPr>
            <w:r>
              <w:rPr>
                <w:rFonts w:asciiTheme="minorHAnsi" w:hAnsiTheme="minorHAnsi"/>
              </w:rPr>
              <w:t>SDG 16</w:t>
            </w:r>
          </w:p>
          <w:p w14:paraId="38B73E0E" w14:textId="77777777" w:rsidR="004B387B" w:rsidRDefault="004B387B">
            <w:pPr>
              <w:rPr>
                <w:rFonts w:asciiTheme="minorHAnsi" w:hAnsiTheme="minorHAnsi"/>
                <w:i/>
              </w:rPr>
            </w:pPr>
            <w:r>
              <w:rPr>
                <w:rFonts w:asciiTheme="minorHAnsi" w:hAnsiTheme="minorHAnsi"/>
              </w:rPr>
              <w:t>Life below water</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D47806" w14:textId="77777777" w:rsidR="004B387B" w:rsidRDefault="004B387B">
            <w:pPr>
              <w:rPr>
                <w:rFonts w:asciiTheme="minorHAnsi" w:hAnsiTheme="minorHAnsi"/>
                <w:i/>
              </w:rPr>
            </w:pPr>
            <w:r>
              <w:rPr>
                <w:rFonts w:asciiTheme="minorHAnsi" w:hAnsiTheme="minorHAnsi"/>
                <w:i/>
              </w:rPr>
              <w:t>3.2.1 Percentage of households in targeted coastal areas at reduced risk of flooding and erosion (inland and coastal)</w:t>
            </w:r>
          </w:p>
          <w:p w14:paraId="3A0D6F52" w14:textId="77777777" w:rsidR="004B387B" w:rsidRDefault="004B387B">
            <w:pPr>
              <w:rPr>
                <w:rFonts w:asciiTheme="minorHAnsi" w:hAnsiTheme="minorHAnsi"/>
              </w:rPr>
            </w:pPr>
            <w:r>
              <w:rPr>
                <w:rFonts w:asciiTheme="minorHAnsi" w:hAnsiTheme="minorHAnsi"/>
              </w:rPr>
              <w:t>Baseline:  10% (2017)</w:t>
            </w:r>
          </w:p>
          <w:p w14:paraId="30748145" w14:textId="77777777" w:rsidR="004B387B" w:rsidRDefault="004B387B">
            <w:pPr>
              <w:rPr>
                <w:rFonts w:asciiTheme="minorHAnsi" w:hAnsiTheme="minorHAnsi"/>
              </w:rPr>
            </w:pPr>
            <w:r>
              <w:rPr>
                <w:rFonts w:asciiTheme="minorHAnsi" w:hAnsiTheme="minorHAnsi"/>
              </w:rPr>
              <w:t>Target:     30% (2020)</w:t>
            </w:r>
          </w:p>
          <w:p w14:paraId="008FFDCD" w14:textId="77777777" w:rsidR="004B387B" w:rsidRDefault="004B387B">
            <w:pPr>
              <w:rPr>
                <w:rFonts w:asciiTheme="minorHAnsi" w:hAnsiTheme="minorHAnsi"/>
              </w:rPr>
            </w:pPr>
          </w:p>
          <w:p w14:paraId="2F084AC2" w14:textId="77777777" w:rsidR="004B387B" w:rsidRDefault="004B387B">
            <w:pPr>
              <w:rPr>
                <w:rFonts w:asciiTheme="minorHAnsi" w:hAnsiTheme="minorHAnsi"/>
              </w:rPr>
            </w:pPr>
          </w:p>
          <w:p w14:paraId="6C28D189" w14:textId="77777777" w:rsidR="004B387B" w:rsidRDefault="004B387B">
            <w:pPr>
              <w:rPr>
                <w:rFonts w:asciiTheme="minorHAnsi" w:hAnsiTheme="minorHAnsi"/>
              </w:rPr>
            </w:pPr>
          </w:p>
          <w:p w14:paraId="74FB7109" w14:textId="77777777" w:rsidR="004B387B" w:rsidRDefault="004B387B">
            <w:pPr>
              <w:rPr>
                <w:rFonts w:asciiTheme="minorHAnsi" w:hAnsiTheme="minorHAnsi"/>
              </w:rPr>
            </w:pPr>
          </w:p>
          <w:p w14:paraId="6D2C5D07" w14:textId="77777777" w:rsidR="004B387B" w:rsidRDefault="004B387B">
            <w:pPr>
              <w:rPr>
                <w:rFonts w:asciiTheme="minorHAnsi" w:hAnsiTheme="minorHAnsi"/>
              </w:rPr>
            </w:pPr>
          </w:p>
          <w:p w14:paraId="59F9D1FF" w14:textId="77777777" w:rsidR="004B387B" w:rsidRDefault="004B387B">
            <w:pPr>
              <w:rPr>
                <w:rFonts w:asciiTheme="minorHAnsi" w:hAnsiTheme="minorHAnsi"/>
              </w:rPr>
            </w:pPr>
          </w:p>
          <w:p w14:paraId="5FFA1899" w14:textId="77777777" w:rsidR="004B387B" w:rsidRDefault="004B387B">
            <w:pPr>
              <w:rPr>
                <w:rFonts w:asciiTheme="minorHAnsi" w:hAnsiTheme="minorHAnsi"/>
              </w:rPr>
            </w:pPr>
          </w:p>
          <w:p w14:paraId="188E942E" w14:textId="77777777" w:rsidR="004B387B" w:rsidRDefault="004B387B">
            <w:pPr>
              <w:rPr>
                <w:rFonts w:asciiTheme="minorHAnsi" w:hAnsiTheme="minorHAnsi"/>
              </w:rPr>
            </w:pPr>
          </w:p>
          <w:p w14:paraId="30D76016" w14:textId="77777777" w:rsidR="004B387B" w:rsidRDefault="004B387B">
            <w:pPr>
              <w:rPr>
                <w:rFonts w:asciiTheme="minorHAnsi" w:hAnsiTheme="minorHAnsi"/>
              </w:rPr>
            </w:pPr>
          </w:p>
          <w:p w14:paraId="518DE862" w14:textId="77777777" w:rsidR="004B387B" w:rsidRDefault="004B387B">
            <w:pPr>
              <w:rPr>
                <w:rFonts w:asciiTheme="minorHAnsi" w:hAnsiTheme="minorHAnsi"/>
              </w:rPr>
            </w:pPr>
          </w:p>
          <w:p w14:paraId="4C18E0E0" w14:textId="77777777" w:rsidR="004B387B" w:rsidRDefault="004B387B">
            <w:pPr>
              <w:rPr>
                <w:rFonts w:asciiTheme="minorHAnsi" w:hAnsiTheme="minorHAnsi"/>
              </w:rPr>
            </w:pPr>
          </w:p>
          <w:p w14:paraId="7177D314" w14:textId="77777777" w:rsidR="004B387B" w:rsidRDefault="004B387B">
            <w:pPr>
              <w:rPr>
                <w:rFonts w:asciiTheme="minorHAnsi" w:hAnsiTheme="minorHAnsi"/>
              </w:rPr>
            </w:pPr>
          </w:p>
          <w:p w14:paraId="1CE9A113" w14:textId="77777777" w:rsidR="004B387B" w:rsidRDefault="004B387B">
            <w:pPr>
              <w:rPr>
                <w:rFonts w:asciiTheme="minorHAnsi" w:hAnsiTheme="minorHAnsi"/>
              </w:rPr>
            </w:pPr>
          </w:p>
          <w:p w14:paraId="49D524A7" w14:textId="77777777" w:rsidR="004B387B" w:rsidRDefault="004B387B">
            <w:pPr>
              <w:rPr>
                <w:rFonts w:asciiTheme="minorHAnsi" w:hAnsiTheme="minorHAnsi"/>
              </w:rPr>
            </w:pPr>
          </w:p>
          <w:p w14:paraId="10EBF0D7" w14:textId="77777777" w:rsidR="004B387B" w:rsidRDefault="004B387B">
            <w:pPr>
              <w:rPr>
                <w:rFonts w:asciiTheme="minorHAnsi" w:hAnsiTheme="minorHAnsi"/>
              </w:rPr>
            </w:pPr>
          </w:p>
          <w:p w14:paraId="4683173C" w14:textId="77777777" w:rsidR="004B387B" w:rsidRDefault="004B387B">
            <w:pPr>
              <w:rPr>
                <w:rFonts w:asciiTheme="minorHAnsi" w:hAnsiTheme="minorHAnsi"/>
              </w:rPr>
            </w:pPr>
          </w:p>
          <w:p w14:paraId="2E1F3C4E" w14:textId="77777777" w:rsidR="004B387B" w:rsidRDefault="004B387B">
            <w:pPr>
              <w:rPr>
                <w:rFonts w:asciiTheme="minorHAnsi" w:hAnsiTheme="minorHAnsi"/>
              </w:rPr>
            </w:pPr>
          </w:p>
          <w:p w14:paraId="7F593833" w14:textId="77777777" w:rsidR="004B387B" w:rsidRDefault="004B387B">
            <w:pPr>
              <w:rPr>
                <w:rFonts w:asciiTheme="minorHAnsi" w:hAnsiTheme="minorHAnsi"/>
              </w:rPr>
            </w:pPr>
          </w:p>
          <w:p w14:paraId="1CCE01C1" w14:textId="77777777" w:rsidR="004B387B" w:rsidRDefault="004B387B">
            <w:pPr>
              <w:rPr>
                <w:rFonts w:asciiTheme="minorHAnsi" w:hAnsiTheme="minorHAnsi"/>
              </w:rPr>
            </w:pPr>
          </w:p>
          <w:p w14:paraId="2625FB18" w14:textId="77777777" w:rsidR="004B387B" w:rsidRDefault="004B387B">
            <w:pPr>
              <w:rPr>
                <w:rFonts w:asciiTheme="minorHAnsi" w:hAnsiTheme="minorHAnsi"/>
                <w:i/>
              </w:rPr>
            </w:pPr>
            <w:r>
              <w:rPr>
                <w:rFonts w:asciiTheme="minorHAnsi" w:hAnsiTheme="minorHAnsi"/>
                <w:i/>
              </w:rPr>
              <w:t>3.2.2 Priority actions of Blue Economy Strategic Framework integrated in National Development Plan and under implementation</w:t>
            </w:r>
          </w:p>
          <w:p w14:paraId="1A1E811E" w14:textId="77777777" w:rsidR="004B387B" w:rsidRDefault="004B387B">
            <w:pPr>
              <w:rPr>
                <w:rFonts w:asciiTheme="minorHAnsi" w:hAnsiTheme="minorHAnsi"/>
              </w:rPr>
            </w:pPr>
            <w:r>
              <w:rPr>
                <w:rFonts w:asciiTheme="minorHAnsi" w:hAnsiTheme="minorHAnsi"/>
              </w:rPr>
              <w:t>Baseline: No (2017)</w:t>
            </w:r>
          </w:p>
          <w:p w14:paraId="1F4C149F" w14:textId="77777777" w:rsidR="004B387B" w:rsidRDefault="004B387B">
            <w:pPr>
              <w:rPr>
                <w:rFonts w:asciiTheme="minorHAnsi" w:hAnsiTheme="minorHAnsi"/>
              </w:rPr>
            </w:pPr>
            <w:r>
              <w:rPr>
                <w:rFonts w:asciiTheme="minorHAnsi" w:hAnsiTheme="minorHAnsi"/>
              </w:rPr>
              <w:t>Target:    Yes (2020)</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BFDE7E"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lastRenderedPageBreak/>
              <w:t>Action Plan for the development and adaptation to climate change of Togo’s coastal areas finalized and adopted</w:t>
            </w:r>
          </w:p>
          <w:p w14:paraId="0FC77399" w14:textId="77777777" w:rsidR="004B387B" w:rsidRDefault="004B387B">
            <w:pPr>
              <w:rPr>
                <w:rFonts w:asciiTheme="minorHAnsi" w:hAnsiTheme="minorHAnsi"/>
              </w:rPr>
            </w:pPr>
            <w:r>
              <w:rPr>
                <w:rFonts w:asciiTheme="minorHAnsi" w:hAnsiTheme="minorHAnsi"/>
              </w:rPr>
              <w:t>Baseline:  No (2016)</w:t>
            </w:r>
          </w:p>
          <w:p w14:paraId="71AA76AB" w14:textId="77777777" w:rsidR="004B387B" w:rsidRDefault="004B387B">
            <w:pPr>
              <w:rPr>
                <w:rFonts w:asciiTheme="minorHAnsi" w:hAnsiTheme="minorHAnsi"/>
              </w:rPr>
            </w:pPr>
            <w:r>
              <w:rPr>
                <w:rFonts w:asciiTheme="minorHAnsi" w:hAnsiTheme="minorHAnsi"/>
              </w:rPr>
              <w:t>Target:      Yes (2018)</w:t>
            </w:r>
          </w:p>
          <w:p w14:paraId="33975FE7"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 xml:space="preserve">Modular multi-risk early warning system (EWS) managed by the National Platform for Disaster Risk Reduction </w:t>
            </w:r>
          </w:p>
          <w:p w14:paraId="5146FC68" w14:textId="77777777" w:rsidR="004B387B" w:rsidRDefault="004B387B">
            <w:pPr>
              <w:rPr>
                <w:rFonts w:asciiTheme="minorHAnsi" w:hAnsiTheme="minorHAnsi"/>
              </w:rPr>
            </w:pPr>
            <w:r>
              <w:rPr>
                <w:rFonts w:asciiTheme="minorHAnsi" w:hAnsiTheme="minorHAnsi"/>
              </w:rPr>
              <w:t>Baseline: 1 module (Floods) (2017)</w:t>
            </w:r>
          </w:p>
          <w:p w14:paraId="2B4DF34E" w14:textId="77777777" w:rsidR="004B387B" w:rsidRDefault="004B387B">
            <w:pPr>
              <w:rPr>
                <w:rFonts w:asciiTheme="minorHAnsi" w:hAnsiTheme="minorHAnsi"/>
              </w:rPr>
            </w:pPr>
            <w:r>
              <w:rPr>
                <w:rFonts w:asciiTheme="minorHAnsi" w:hAnsiTheme="minorHAnsi"/>
              </w:rPr>
              <w:t>Target: 2 modules (Floods and Erosion) (2021)</w:t>
            </w:r>
          </w:p>
          <w:p w14:paraId="687BC2C9"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Grey, green, and/or hybrid infrastructure in place to decrease shoreline erosion and reduce coastal risks</w:t>
            </w:r>
          </w:p>
          <w:p w14:paraId="6EEC95D9" w14:textId="77777777" w:rsidR="004B387B" w:rsidRDefault="004B387B">
            <w:pPr>
              <w:rPr>
                <w:rFonts w:asciiTheme="minorHAnsi" w:hAnsiTheme="minorHAnsi"/>
              </w:rPr>
            </w:pPr>
            <w:r>
              <w:rPr>
                <w:rFonts w:asciiTheme="minorHAnsi" w:hAnsiTheme="minorHAnsi"/>
              </w:rPr>
              <w:t>Baseline:  3 (TBC) (2016)</w:t>
            </w:r>
          </w:p>
          <w:p w14:paraId="053D9734" w14:textId="77777777" w:rsidR="004B387B" w:rsidRDefault="004B387B">
            <w:pPr>
              <w:rPr>
                <w:rFonts w:asciiTheme="minorHAnsi" w:hAnsiTheme="minorHAnsi"/>
              </w:rPr>
            </w:pPr>
            <w:r>
              <w:rPr>
                <w:rFonts w:asciiTheme="minorHAnsi" w:hAnsiTheme="minorHAnsi"/>
              </w:rPr>
              <w:lastRenderedPageBreak/>
              <w:t>Target:     4 (2020)</w:t>
            </w:r>
          </w:p>
          <w:p w14:paraId="26DE52A0"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Number of rehabilitation and protection interventions (drainage canals, riverbank protection, etc.) implemented</w:t>
            </w:r>
          </w:p>
          <w:p w14:paraId="3A148876" w14:textId="77777777" w:rsidR="004B387B" w:rsidRDefault="004B387B">
            <w:pPr>
              <w:rPr>
                <w:rFonts w:asciiTheme="minorHAnsi" w:hAnsiTheme="minorHAnsi"/>
              </w:rPr>
            </w:pPr>
            <w:r>
              <w:rPr>
                <w:rFonts w:asciiTheme="minorHAnsi" w:hAnsiTheme="minorHAnsi"/>
              </w:rPr>
              <w:t>Baseline:  26 (2017)</w:t>
            </w:r>
          </w:p>
          <w:p w14:paraId="40C3E385" w14:textId="77777777" w:rsidR="004B387B" w:rsidRDefault="004B387B">
            <w:pPr>
              <w:rPr>
                <w:rFonts w:asciiTheme="minorHAnsi" w:hAnsiTheme="minorHAnsi"/>
              </w:rPr>
            </w:pPr>
            <w:r>
              <w:rPr>
                <w:rFonts w:asciiTheme="minorHAnsi" w:hAnsiTheme="minorHAnsi"/>
              </w:rPr>
              <w:t>Target:     50 (2020)</w:t>
            </w:r>
          </w:p>
          <w:p w14:paraId="35FC3830"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Number of meteorological and hydrological stations equipped</w:t>
            </w:r>
          </w:p>
          <w:p w14:paraId="28045F3B" w14:textId="666846AB" w:rsidR="004B387B" w:rsidRDefault="004B387B">
            <w:pPr>
              <w:rPr>
                <w:rFonts w:asciiTheme="minorHAnsi" w:hAnsiTheme="minorHAnsi"/>
              </w:rPr>
            </w:pPr>
            <w:r>
              <w:rPr>
                <w:rFonts w:asciiTheme="minorHAnsi" w:hAnsiTheme="minorHAnsi"/>
              </w:rPr>
              <w:t>Baseline:  19 (2017)</w:t>
            </w:r>
          </w:p>
          <w:p w14:paraId="4AC63373" w14:textId="77777777" w:rsidR="004B387B" w:rsidRDefault="004B387B">
            <w:pPr>
              <w:rPr>
                <w:rFonts w:asciiTheme="minorHAnsi" w:hAnsiTheme="minorHAnsi"/>
              </w:rPr>
            </w:pPr>
            <w:r>
              <w:rPr>
                <w:rFonts w:asciiTheme="minorHAnsi" w:hAnsiTheme="minorHAnsi"/>
              </w:rPr>
              <w:t>Target:     35 (2020)</w:t>
            </w:r>
          </w:p>
          <w:p w14:paraId="30B09486" w14:textId="77777777" w:rsidR="004B387B" w:rsidRDefault="004B387B" w:rsidP="004B387B">
            <w:pPr>
              <w:pStyle w:val="ListParagraph"/>
              <w:numPr>
                <w:ilvl w:val="0"/>
                <w:numId w:val="15"/>
              </w:numPr>
              <w:tabs>
                <w:tab w:val="left" w:pos="257"/>
              </w:tabs>
              <w:ind w:left="0" w:firstLine="0"/>
              <w:rPr>
                <w:rFonts w:asciiTheme="minorHAnsi" w:hAnsiTheme="minorHAnsi"/>
                <w:i/>
              </w:rPr>
            </w:pPr>
            <w:r>
              <w:rPr>
                <w:rFonts w:asciiTheme="minorHAnsi" w:hAnsiTheme="minorHAnsi"/>
                <w:i/>
              </w:rPr>
              <w:t>Blue Economy Strategic Framework finalized and adopted</w:t>
            </w:r>
          </w:p>
          <w:p w14:paraId="013EB90B" w14:textId="77777777" w:rsidR="004B387B" w:rsidRDefault="004B387B">
            <w:pPr>
              <w:rPr>
                <w:rFonts w:asciiTheme="minorHAnsi" w:hAnsiTheme="minorHAnsi"/>
              </w:rPr>
            </w:pPr>
            <w:r>
              <w:rPr>
                <w:rFonts w:asciiTheme="minorHAnsi" w:hAnsiTheme="minorHAnsi"/>
              </w:rPr>
              <w:t>Baseline: No (2016)</w:t>
            </w:r>
          </w:p>
          <w:p w14:paraId="5E4D7EBC" w14:textId="77777777" w:rsidR="004B387B" w:rsidRDefault="004B387B">
            <w:pPr>
              <w:rPr>
                <w:rFonts w:asciiTheme="minorHAnsi" w:hAnsiTheme="minorHAnsi"/>
              </w:rPr>
            </w:pPr>
            <w:r>
              <w:rPr>
                <w:rFonts w:asciiTheme="minorHAnsi" w:hAnsiTheme="minorHAnsi"/>
              </w:rPr>
              <w:t>Target:    Yes (2018)</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03E4C9" w14:textId="77777777" w:rsidR="004B387B" w:rsidRDefault="004B387B">
            <w:pPr>
              <w:rPr>
                <w:rFonts w:asciiTheme="minorHAnsi" w:hAnsiTheme="minorHAnsi"/>
                <w:b/>
                <w:i/>
              </w:rPr>
            </w:pPr>
            <w:r>
              <w:rPr>
                <w:rFonts w:asciiTheme="minorHAnsi" w:hAnsiTheme="minorHAnsi"/>
                <w:b/>
                <w:i/>
              </w:rPr>
              <w:lastRenderedPageBreak/>
              <w:t xml:space="preserve">Operations </w:t>
            </w:r>
          </w:p>
          <w:p w14:paraId="566CED4D" w14:textId="572ECE0E" w:rsidR="004B387B" w:rsidRDefault="004B387B">
            <w:pPr>
              <w:rPr>
                <w:rFonts w:asciiTheme="minorHAnsi" w:hAnsiTheme="minorHAnsi"/>
              </w:rPr>
            </w:pPr>
            <w:r>
              <w:rPr>
                <w:rFonts w:asciiTheme="minorHAnsi" w:hAnsiTheme="minorHAnsi"/>
                <w:b/>
              </w:rPr>
              <w:t xml:space="preserve">IDA: </w:t>
            </w:r>
            <w:r w:rsidR="00FC60C7" w:rsidRPr="00C97360">
              <w:t xml:space="preserve">IDLM </w:t>
            </w:r>
            <w:r w:rsidR="00FC60C7">
              <w:rPr>
                <w:rFonts w:asciiTheme="minorHAnsi" w:hAnsiTheme="minorHAnsi"/>
              </w:rPr>
              <w:t xml:space="preserve">(FY12); </w:t>
            </w:r>
            <w:r>
              <w:rPr>
                <w:rFonts w:asciiTheme="minorHAnsi" w:hAnsiTheme="minorHAnsi"/>
              </w:rPr>
              <w:t>West Africa Coastal Areas</w:t>
            </w:r>
            <w:r w:rsidR="00FC60C7">
              <w:rPr>
                <w:rFonts w:asciiTheme="minorHAnsi" w:hAnsiTheme="minorHAnsi"/>
              </w:rPr>
              <w:t xml:space="preserve"> (WACA)</w:t>
            </w:r>
            <w:r>
              <w:rPr>
                <w:rFonts w:asciiTheme="minorHAnsi" w:hAnsiTheme="minorHAnsi"/>
              </w:rPr>
              <w:t xml:space="preserve"> </w:t>
            </w:r>
            <w:r w:rsidR="00FC60C7">
              <w:rPr>
                <w:rFonts w:asciiTheme="minorHAnsi" w:hAnsiTheme="minorHAnsi"/>
              </w:rPr>
              <w:t>TA (FY1</w:t>
            </w:r>
            <w:r w:rsidR="00F62210">
              <w:rPr>
                <w:rFonts w:asciiTheme="minorHAnsi" w:hAnsiTheme="minorHAnsi"/>
              </w:rPr>
              <w:t>6</w:t>
            </w:r>
            <w:r w:rsidR="00FC60C7">
              <w:rPr>
                <w:rFonts w:asciiTheme="minorHAnsi" w:hAnsiTheme="minorHAnsi"/>
              </w:rPr>
              <w:t xml:space="preserve">); WACA </w:t>
            </w:r>
            <w:r>
              <w:rPr>
                <w:rFonts w:asciiTheme="minorHAnsi" w:hAnsiTheme="minorHAnsi"/>
              </w:rPr>
              <w:t>Regional Investment Project (proposed FY18)</w:t>
            </w:r>
          </w:p>
          <w:p w14:paraId="2BD88D99" w14:textId="77777777" w:rsidR="004B387B" w:rsidRDefault="004B387B">
            <w:pPr>
              <w:rPr>
                <w:rFonts w:asciiTheme="minorHAnsi" w:hAnsiTheme="minorHAnsi"/>
              </w:rPr>
            </w:pPr>
            <w:r>
              <w:rPr>
                <w:rFonts w:asciiTheme="minorHAnsi" w:hAnsiTheme="minorHAnsi"/>
                <w:b/>
              </w:rPr>
              <w:t>GCF, GFDRR, and IDA</w:t>
            </w:r>
            <w:r>
              <w:rPr>
                <w:rFonts w:asciiTheme="minorHAnsi" w:hAnsiTheme="minorHAnsi"/>
              </w:rPr>
              <w:t>: Hydromet Project (proposed FY18)</w:t>
            </w:r>
          </w:p>
          <w:p w14:paraId="2DBCEC44" w14:textId="08017F4B" w:rsidR="004B387B" w:rsidRDefault="004B387B">
            <w:pPr>
              <w:rPr>
                <w:rFonts w:asciiTheme="minorHAnsi" w:hAnsiTheme="minorHAnsi"/>
              </w:rPr>
            </w:pPr>
            <w:r w:rsidRPr="008A372F">
              <w:rPr>
                <w:rFonts w:asciiTheme="minorHAnsi" w:hAnsiTheme="minorHAnsi"/>
                <w:b/>
              </w:rPr>
              <w:t>GEF</w:t>
            </w:r>
            <w:r>
              <w:rPr>
                <w:rFonts w:asciiTheme="minorHAnsi" w:hAnsiTheme="minorHAnsi"/>
              </w:rPr>
              <w:t xml:space="preserve">: Integrated Watershed Resource Management of </w:t>
            </w:r>
            <w:r w:rsidRPr="00FC60C7">
              <w:rPr>
                <w:rFonts w:asciiTheme="minorHAnsi" w:hAnsiTheme="minorHAnsi"/>
              </w:rPr>
              <w:t>Mono River and Chenal de Gbaga (FY</w:t>
            </w:r>
            <w:r w:rsidR="008A372F" w:rsidRPr="00C97360">
              <w:t>18</w:t>
            </w:r>
            <w:r>
              <w:rPr>
                <w:rFonts w:asciiTheme="minorHAnsi" w:hAnsiTheme="minorHAnsi"/>
              </w:rPr>
              <w:t>)</w:t>
            </w:r>
          </w:p>
          <w:p w14:paraId="43C0C3B2" w14:textId="77777777" w:rsidR="004B387B" w:rsidRDefault="004B387B">
            <w:pPr>
              <w:rPr>
                <w:rFonts w:asciiTheme="minorHAnsi" w:hAnsiTheme="minorHAnsi"/>
              </w:rPr>
            </w:pPr>
          </w:p>
          <w:p w14:paraId="55205915" w14:textId="77777777" w:rsidR="004B387B" w:rsidRDefault="004B387B">
            <w:pPr>
              <w:rPr>
                <w:rFonts w:asciiTheme="minorHAnsi" w:hAnsiTheme="minorHAnsi"/>
                <w:b/>
                <w:i/>
              </w:rPr>
            </w:pPr>
            <w:r>
              <w:rPr>
                <w:rFonts w:asciiTheme="minorHAnsi" w:hAnsiTheme="minorHAnsi"/>
                <w:b/>
                <w:i/>
              </w:rPr>
              <w:t xml:space="preserve">Advisory Services and Analytics </w:t>
            </w:r>
          </w:p>
          <w:p w14:paraId="5506572A" w14:textId="0500ED38"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Multi</w:t>
            </w:r>
            <w:r w:rsidR="00FC60C7">
              <w:rPr>
                <w:rFonts w:asciiTheme="minorHAnsi" w:hAnsiTheme="minorHAnsi"/>
              </w:rPr>
              <w:t>-</w:t>
            </w:r>
            <w:r>
              <w:rPr>
                <w:rFonts w:asciiTheme="minorHAnsi" w:hAnsiTheme="minorHAnsi"/>
              </w:rPr>
              <w:t>sectoral TA on operationalization of the Blue Economy Strategy (</w:t>
            </w:r>
            <w:r w:rsidR="003A50C8">
              <w:rPr>
                <w:rFonts w:asciiTheme="minorHAnsi" w:hAnsiTheme="minorHAnsi"/>
              </w:rPr>
              <w:t>FY17)</w:t>
            </w:r>
          </w:p>
          <w:p w14:paraId="6F4ACC9B" w14:textId="77777777"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Blue Economy Strategy Policy Note (FY17)</w:t>
            </w:r>
          </w:p>
          <w:p w14:paraId="23985B29" w14:textId="77777777" w:rsidR="004B387B" w:rsidRDefault="004B387B">
            <w:pPr>
              <w:ind w:left="-14"/>
              <w:rPr>
                <w:rFonts w:asciiTheme="minorHAnsi" w:hAnsiTheme="minorHAnsi"/>
                <w:u w:val="single"/>
              </w:rPr>
            </w:pPr>
          </w:p>
          <w:p w14:paraId="26EDE952" w14:textId="77777777" w:rsidR="004B387B" w:rsidRDefault="004B387B">
            <w:pPr>
              <w:ind w:left="-14"/>
              <w:rPr>
                <w:rFonts w:asciiTheme="minorHAnsi" w:hAnsiTheme="minorHAnsi"/>
                <w:b/>
                <w:color w:val="548DD4"/>
                <w:u w:val="single"/>
              </w:rPr>
            </w:pPr>
            <w:r>
              <w:rPr>
                <w:rFonts w:asciiTheme="minorHAnsi" w:eastAsiaTheme="minorHAnsi" w:hAnsiTheme="minorHAnsi"/>
                <w:b/>
                <w:u w:val="single"/>
              </w:rPr>
              <w:t>Regional</w:t>
            </w:r>
          </w:p>
          <w:p w14:paraId="101CB5D3" w14:textId="77777777"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t>West Africa Coastal Areas ASA (FY17)</w:t>
            </w:r>
          </w:p>
          <w:p w14:paraId="38781A9F" w14:textId="77777777" w:rsidR="004B387B" w:rsidRDefault="004B387B" w:rsidP="004B387B">
            <w:pPr>
              <w:pStyle w:val="ListParagraph"/>
              <w:numPr>
                <w:ilvl w:val="0"/>
                <w:numId w:val="16"/>
              </w:numPr>
              <w:ind w:left="260" w:hanging="274"/>
              <w:rPr>
                <w:rFonts w:asciiTheme="minorHAnsi" w:hAnsiTheme="minorHAnsi"/>
                <w:color w:val="548DD4"/>
              </w:rPr>
            </w:pPr>
            <w:r>
              <w:rPr>
                <w:rFonts w:asciiTheme="minorHAnsi" w:hAnsiTheme="minorHAnsi"/>
              </w:rPr>
              <w:lastRenderedPageBreak/>
              <w:t>West Africa Coastal Areas Management TA (FY17)</w:t>
            </w:r>
          </w:p>
          <w:p w14:paraId="72A21DBA" w14:textId="77777777" w:rsidR="004B387B" w:rsidRDefault="004B387B" w:rsidP="004B387B">
            <w:pPr>
              <w:pStyle w:val="ListParagraph"/>
              <w:numPr>
                <w:ilvl w:val="0"/>
                <w:numId w:val="16"/>
              </w:numPr>
              <w:ind w:left="260" w:hanging="274"/>
              <w:rPr>
                <w:rFonts w:asciiTheme="minorHAnsi" w:hAnsiTheme="minorHAnsi"/>
                <w:color w:val="548DD4"/>
              </w:rPr>
            </w:pPr>
          </w:p>
          <w:p w14:paraId="505B4BDA" w14:textId="77777777" w:rsidR="004B387B" w:rsidRDefault="004B387B">
            <w:pPr>
              <w:rPr>
                <w:rFonts w:asciiTheme="minorHAnsi" w:hAnsiTheme="minorHAnsi"/>
                <w:color w:val="548DD4"/>
              </w:rPr>
            </w:pPr>
          </w:p>
          <w:p w14:paraId="5979B798" w14:textId="77777777" w:rsidR="004B387B" w:rsidRDefault="004B387B">
            <w:pPr>
              <w:rPr>
                <w:rFonts w:asciiTheme="minorHAnsi" w:hAnsiTheme="minorHAnsi"/>
                <w:b/>
                <w:i/>
              </w:rPr>
            </w:pPr>
            <w:r>
              <w:rPr>
                <w:rFonts w:asciiTheme="minorHAnsi" w:hAnsiTheme="minorHAnsi"/>
                <w:b/>
                <w:i/>
              </w:rPr>
              <w:t>Partners</w:t>
            </w:r>
          </w:p>
          <w:p w14:paraId="2D853469" w14:textId="77777777" w:rsidR="004B387B" w:rsidRDefault="004B387B">
            <w:pPr>
              <w:rPr>
                <w:rFonts w:asciiTheme="minorHAnsi" w:hAnsiTheme="minorHAnsi"/>
              </w:rPr>
            </w:pPr>
            <w:r>
              <w:rPr>
                <w:rFonts w:asciiTheme="minorHAnsi" w:hAnsiTheme="minorHAnsi"/>
              </w:rPr>
              <w:t xml:space="preserve">French Ministry of the Environment </w:t>
            </w:r>
          </w:p>
          <w:p w14:paraId="6A387317" w14:textId="77777777" w:rsidR="004B387B" w:rsidRDefault="004B387B">
            <w:pPr>
              <w:rPr>
                <w:rFonts w:asciiTheme="minorHAnsi" w:hAnsiTheme="minorHAnsi"/>
              </w:rPr>
            </w:pPr>
            <w:r>
              <w:rPr>
                <w:rFonts w:asciiTheme="minorHAnsi" w:hAnsiTheme="minorHAnsi"/>
              </w:rPr>
              <w:t>AFD</w:t>
            </w:r>
          </w:p>
          <w:p w14:paraId="12A4161F" w14:textId="77777777" w:rsidR="004B387B" w:rsidRDefault="004B387B">
            <w:pPr>
              <w:rPr>
                <w:rFonts w:asciiTheme="minorHAnsi" w:hAnsiTheme="minorHAnsi"/>
              </w:rPr>
            </w:pPr>
            <w:r>
              <w:rPr>
                <w:rFonts w:asciiTheme="minorHAnsi" w:hAnsiTheme="minorHAnsi"/>
              </w:rPr>
              <w:t>AfDB (TBC)</w:t>
            </w:r>
          </w:p>
          <w:p w14:paraId="3BF151CB" w14:textId="77777777" w:rsidR="004B387B" w:rsidRDefault="004B387B">
            <w:pPr>
              <w:rPr>
                <w:rFonts w:asciiTheme="minorHAnsi" w:hAnsiTheme="minorHAnsi"/>
              </w:rPr>
            </w:pPr>
            <w:r>
              <w:rPr>
                <w:rFonts w:asciiTheme="minorHAnsi" w:hAnsiTheme="minorHAnsi"/>
              </w:rPr>
              <w:t>WAEMU</w:t>
            </w:r>
          </w:p>
          <w:p w14:paraId="33DBAADE" w14:textId="77777777" w:rsidR="004B387B" w:rsidRDefault="004B387B">
            <w:pPr>
              <w:rPr>
                <w:rFonts w:asciiTheme="minorHAnsi" w:hAnsiTheme="minorHAnsi"/>
              </w:rPr>
            </w:pPr>
            <w:r>
              <w:rPr>
                <w:rFonts w:asciiTheme="minorHAnsi" w:hAnsiTheme="minorHAnsi"/>
              </w:rPr>
              <w:t>Abidjan Convention</w:t>
            </w:r>
          </w:p>
          <w:p w14:paraId="0D36E37D" w14:textId="77777777" w:rsidR="004B387B" w:rsidRDefault="004B387B">
            <w:pPr>
              <w:rPr>
                <w:rFonts w:asciiTheme="minorHAnsi" w:hAnsiTheme="minorHAnsi"/>
              </w:rPr>
            </w:pPr>
          </w:p>
        </w:tc>
      </w:tr>
    </w:tbl>
    <w:p w14:paraId="62EAA3A5" w14:textId="77777777" w:rsidR="004B387B" w:rsidRDefault="004B387B" w:rsidP="004B387B">
      <w:pPr>
        <w:rPr>
          <w:rFonts w:ascii="Times New Roman" w:hAnsi="Times New Roman"/>
          <w:sz w:val="24"/>
          <w:szCs w:val="24"/>
        </w:rPr>
      </w:pPr>
    </w:p>
    <w:p w14:paraId="1D556A43" w14:textId="77777777" w:rsidR="004B387B" w:rsidRPr="00E035EA" w:rsidRDefault="004B387B" w:rsidP="00E035EA">
      <w:pPr>
        <w:keepNext/>
        <w:rPr>
          <w:rFonts w:ascii="Times New Roman" w:hAnsi="Times New Roman" w:cs="Times New Roman"/>
          <w:sz w:val="24"/>
          <w:szCs w:val="24"/>
        </w:rPr>
      </w:pPr>
    </w:p>
    <w:p w14:paraId="1FFCCE29" w14:textId="77777777" w:rsidR="00E035EA" w:rsidRPr="00396F60" w:rsidRDefault="00E035EA" w:rsidP="00E035EA">
      <w:pPr>
        <w:rPr>
          <w:rFonts w:ascii="Times New Roman" w:hAnsi="Times New Roman" w:cs="Times New Roman"/>
          <w:sz w:val="24"/>
          <w:szCs w:val="24"/>
          <w:highlight w:val="yellow"/>
        </w:rPr>
      </w:pPr>
      <w:r w:rsidRPr="00396F60">
        <w:rPr>
          <w:rFonts w:ascii="Times New Roman" w:hAnsi="Times New Roman" w:cs="Times New Roman"/>
          <w:sz w:val="24"/>
          <w:szCs w:val="24"/>
          <w:highlight w:val="yellow"/>
        </w:rPr>
        <w:br w:type="page"/>
      </w:r>
    </w:p>
    <w:p w14:paraId="07F608FD" w14:textId="77777777" w:rsidR="004B387B" w:rsidRDefault="004B387B" w:rsidP="00E035EA">
      <w:pPr>
        <w:keepNext/>
        <w:rPr>
          <w:rFonts w:ascii="Times New Roman" w:hAnsi="Times New Roman" w:cs="Times New Roman"/>
          <w:sz w:val="24"/>
          <w:szCs w:val="24"/>
        </w:rPr>
        <w:sectPr w:rsidR="004B387B" w:rsidSect="005D4333">
          <w:pgSz w:w="15840" w:h="12240" w:orient="landscape"/>
          <w:pgMar w:top="1440" w:right="1440" w:bottom="1440" w:left="1440" w:header="720" w:footer="720" w:gutter="0"/>
          <w:cols w:space="720"/>
          <w:docGrid w:linePitch="360"/>
        </w:sectPr>
      </w:pPr>
    </w:p>
    <w:p w14:paraId="407DAF6B" w14:textId="075DC79E" w:rsidR="00E035EA" w:rsidRPr="00834149" w:rsidRDefault="00E035EA" w:rsidP="00834149">
      <w:pPr>
        <w:keepNext/>
        <w:jc w:val="center"/>
        <w:rPr>
          <w:rFonts w:ascii="Times New Roman" w:hAnsi="Times New Roman" w:cs="Times New Roman"/>
          <w:b/>
          <w:sz w:val="24"/>
          <w:szCs w:val="24"/>
        </w:rPr>
      </w:pPr>
      <w:bookmarkStart w:id="43" w:name="_Toc477452442"/>
      <w:r w:rsidRPr="00834149">
        <w:rPr>
          <w:rFonts w:ascii="Times New Roman" w:hAnsi="Times New Roman" w:cs="Times New Roman"/>
          <w:b/>
          <w:sz w:val="24"/>
          <w:szCs w:val="24"/>
        </w:rPr>
        <w:lastRenderedPageBreak/>
        <w:t xml:space="preserve">Annex </w:t>
      </w:r>
      <w:r w:rsidRPr="00834149">
        <w:rPr>
          <w:rFonts w:ascii="Times New Roman" w:hAnsi="Times New Roman" w:cs="Times New Roman"/>
          <w:b/>
          <w:sz w:val="24"/>
          <w:szCs w:val="24"/>
        </w:rPr>
        <w:fldChar w:fldCharType="begin"/>
      </w:r>
      <w:r w:rsidRPr="00834149">
        <w:rPr>
          <w:rFonts w:ascii="Times New Roman" w:hAnsi="Times New Roman" w:cs="Times New Roman"/>
          <w:b/>
          <w:sz w:val="24"/>
          <w:szCs w:val="24"/>
        </w:rPr>
        <w:instrText xml:space="preserve"> SEQ Annex \* ARABIC </w:instrText>
      </w:r>
      <w:r w:rsidRPr="00834149">
        <w:rPr>
          <w:rFonts w:ascii="Times New Roman" w:hAnsi="Times New Roman" w:cs="Times New Roman"/>
          <w:b/>
          <w:sz w:val="24"/>
          <w:szCs w:val="24"/>
        </w:rPr>
        <w:fldChar w:fldCharType="separate"/>
      </w:r>
      <w:r w:rsidR="000D6ABB">
        <w:rPr>
          <w:rFonts w:ascii="Times New Roman" w:hAnsi="Times New Roman" w:cs="Times New Roman"/>
          <w:b/>
          <w:noProof/>
          <w:sz w:val="24"/>
          <w:szCs w:val="24"/>
        </w:rPr>
        <w:t>2</w:t>
      </w:r>
      <w:r w:rsidRPr="00834149">
        <w:rPr>
          <w:rFonts w:ascii="Times New Roman" w:hAnsi="Times New Roman" w:cs="Times New Roman"/>
          <w:b/>
          <w:sz w:val="24"/>
          <w:szCs w:val="24"/>
        </w:rPr>
        <w:fldChar w:fldCharType="end"/>
      </w:r>
      <w:r w:rsidR="00736B5A" w:rsidRPr="00834149">
        <w:rPr>
          <w:rFonts w:ascii="Times New Roman" w:hAnsi="Times New Roman" w:cs="Times New Roman"/>
          <w:b/>
          <w:sz w:val="24"/>
          <w:szCs w:val="24"/>
        </w:rPr>
        <w:t>.</w:t>
      </w:r>
      <w:r w:rsidRPr="00834149">
        <w:rPr>
          <w:rFonts w:ascii="Times New Roman" w:hAnsi="Times New Roman" w:cs="Times New Roman"/>
          <w:b/>
          <w:sz w:val="24"/>
          <w:szCs w:val="24"/>
        </w:rPr>
        <w:t xml:space="preserve"> Completion and Learning </w:t>
      </w:r>
      <w:bookmarkEnd w:id="43"/>
      <w:r w:rsidR="00736B5A" w:rsidRPr="00834149">
        <w:rPr>
          <w:rFonts w:ascii="Times New Roman" w:hAnsi="Times New Roman" w:cs="Times New Roman"/>
          <w:b/>
          <w:sz w:val="24"/>
          <w:szCs w:val="24"/>
        </w:rPr>
        <w:t>Review</w:t>
      </w:r>
    </w:p>
    <w:p w14:paraId="6A57B0B6" w14:textId="77777777" w:rsidR="0025614E" w:rsidRDefault="0025614E" w:rsidP="00E035EA">
      <w:pPr>
        <w:keepNext/>
        <w:rPr>
          <w:rFonts w:ascii="Times New Roman" w:hAnsi="Times New Roman" w:cs="Times New Roman"/>
          <w:sz w:val="24"/>
          <w:szCs w:val="24"/>
        </w:rPr>
      </w:pPr>
    </w:p>
    <w:p w14:paraId="73415234" w14:textId="77777777" w:rsidR="0025614E" w:rsidRPr="0025614E" w:rsidRDefault="0025614E" w:rsidP="0025614E">
      <w:pPr>
        <w:ind w:left="360" w:hanging="360"/>
        <w:jc w:val="center"/>
        <w:rPr>
          <w:rFonts w:ascii="Times New Roman" w:eastAsia="Calibri" w:hAnsi="Times New Roman" w:cs="Times New Roman"/>
          <w:b/>
          <w:color w:val="000000"/>
          <w:sz w:val="24"/>
          <w:szCs w:val="24"/>
        </w:rPr>
      </w:pPr>
      <w:r w:rsidRPr="0025614E">
        <w:rPr>
          <w:rFonts w:ascii="Times New Roman" w:eastAsia="Calibri" w:hAnsi="Times New Roman" w:cs="Times New Roman"/>
          <w:b/>
          <w:color w:val="000000"/>
          <w:sz w:val="24"/>
          <w:szCs w:val="24"/>
        </w:rPr>
        <w:t>Togo: Completion and Learning Review for FY2008-2015</w:t>
      </w:r>
    </w:p>
    <w:p w14:paraId="2BFB7F84" w14:textId="77777777" w:rsidR="0025614E" w:rsidRPr="0025614E" w:rsidRDefault="0025614E" w:rsidP="0025614E">
      <w:pPr>
        <w:ind w:left="360" w:hanging="360"/>
        <w:jc w:val="center"/>
        <w:rPr>
          <w:rFonts w:ascii="Times New Roman" w:eastAsia="Calibri" w:hAnsi="Times New Roman" w:cs="Times New Roman"/>
          <w:color w:val="000000"/>
          <w:sz w:val="24"/>
          <w:szCs w:val="24"/>
        </w:rPr>
      </w:pPr>
      <w:r w:rsidRPr="0025614E">
        <w:rPr>
          <w:rFonts w:ascii="Times New Roman" w:eastAsia="Calibri" w:hAnsi="Times New Roman" w:cs="Times New Roman"/>
          <w:color w:val="000000"/>
          <w:sz w:val="24"/>
          <w:szCs w:val="24"/>
        </w:rPr>
        <w:t>Including Interim Strategy Notes for FY2008-2010 and FY2012-2013</w:t>
      </w:r>
    </w:p>
    <w:p w14:paraId="0DE9F516" w14:textId="77777777" w:rsidR="0025614E" w:rsidRPr="0025614E" w:rsidRDefault="0025614E" w:rsidP="0025614E">
      <w:pPr>
        <w:ind w:left="360" w:hanging="360"/>
        <w:rPr>
          <w:color w:val="000000"/>
          <w:sz w:val="24"/>
          <w:szCs w:val="24"/>
        </w:rPr>
      </w:pPr>
    </w:p>
    <w:p w14:paraId="5297D0C5" w14:textId="3F0FB539" w:rsidR="0025614E" w:rsidRPr="0025614E" w:rsidRDefault="0025614E" w:rsidP="0025614E">
      <w:pPr>
        <w:ind w:left="360" w:hanging="360"/>
        <w:jc w:val="center"/>
        <w:rPr>
          <w:rFonts w:ascii="Times New Roman" w:eastAsia="Calibri" w:hAnsi="Times New Roman" w:cs="Times New Roman"/>
          <w:color w:val="000000"/>
          <w:sz w:val="24"/>
          <w:szCs w:val="24"/>
        </w:rPr>
      </w:pPr>
      <w:r w:rsidRPr="0025614E">
        <w:rPr>
          <w:rFonts w:ascii="Times New Roman" w:eastAsia="Calibri" w:hAnsi="Times New Roman" w:cs="Times New Roman"/>
          <w:color w:val="000000"/>
          <w:sz w:val="24"/>
          <w:szCs w:val="24"/>
        </w:rPr>
        <w:t>March 2017</w:t>
      </w:r>
    </w:p>
    <w:p w14:paraId="2531037D" w14:textId="77777777" w:rsidR="0025614E" w:rsidRPr="0025614E" w:rsidRDefault="0025614E" w:rsidP="0025614E">
      <w:pPr>
        <w:ind w:left="360" w:hanging="360"/>
        <w:rPr>
          <w:rFonts w:ascii="Times New Roman" w:eastAsia="Calibri" w:hAnsi="Times New Roman" w:cs="Times New Roman"/>
          <w:color w:val="000000"/>
          <w:sz w:val="24"/>
          <w:szCs w:val="24"/>
        </w:rPr>
      </w:pPr>
    </w:p>
    <w:p w14:paraId="645F97CB" w14:textId="77777777" w:rsidR="0025614E" w:rsidRPr="0025614E" w:rsidRDefault="0025614E" w:rsidP="0025614E">
      <w:pPr>
        <w:ind w:left="360" w:hanging="360"/>
        <w:rPr>
          <w:rFonts w:ascii="Times New Roman" w:eastAsia="Calibri" w:hAnsi="Times New Roman" w:cs="Times New Roman"/>
          <w:b/>
          <w:color w:val="000000"/>
          <w:sz w:val="24"/>
          <w:szCs w:val="24"/>
        </w:rPr>
      </w:pPr>
    </w:p>
    <w:tbl>
      <w:tblPr>
        <w:tblStyle w:val="LightList-Accent111"/>
        <w:tblW w:w="0" w:type="auto"/>
        <w:tblInd w:w="0" w:type="dxa"/>
        <w:tblLook w:val="04A0" w:firstRow="1" w:lastRow="0" w:firstColumn="1" w:lastColumn="0" w:noHBand="0" w:noVBand="1"/>
      </w:tblPr>
      <w:tblGrid>
        <w:gridCol w:w="5058"/>
        <w:gridCol w:w="4158"/>
      </w:tblGrid>
      <w:tr w:rsidR="0025614E" w:rsidRPr="0025614E" w14:paraId="7EFC117E" w14:textId="77777777" w:rsidTr="0025614E">
        <w:tc>
          <w:tcPr>
            <w:tcW w:w="5058" w:type="dxa"/>
            <w:tcBorders>
              <w:top w:val="single" w:sz="8" w:space="0" w:color="4F81BD"/>
              <w:left w:val="single" w:sz="8" w:space="0" w:color="4F81BD"/>
              <w:bottom w:val="nil"/>
              <w:right w:val="nil"/>
            </w:tcBorders>
            <w:hideMark/>
          </w:tcPr>
          <w:p w14:paraId="424F283A" w14:textId="77777777" w:rsidR="0025614E" w:rsidRPr="0025614E" w:rsidRDefault="0025614E" w:rsidP="0025614E">
            <w:pPr>
              <w:rPr>
                <w:b/>
                <w:sz w:val="24"/>
              </w:rPr>
            </w:pPr>
            <w:r w:rsidRPr="0025614E">
              <w:rPr>
                <w:b/>
                <w:sz w:val="24"/>
              </w:rPr>
              <w:t>Period Covered</w:t>
            </w:r>
          </w:p>
        </w:tc>
        <w:tc>
          <w:tcPr>
            <w:tcW w:w="4158" w:type="dxa"/>
            <w:tcBorders>
              <w:top w:val="single" w:sz="8" w:space="0" w:color="4F81BD"/>
              <w:left w:val="nil"/>
              <w:bottom w:val="nil"/>
              <w:right w:val="single" w:sz="8" w:space="0" w:color="4F81BD"/>
            </w:tcBorders>
            <w:hideMark/>
          </w:tcPr>
          <w:p w14:paraId="71C71EF8" w14:textId="77777777" w:rsidR="0025614E" w:rsidRPr="0025614E" w:rsidRDefault="0025614E" w:rsidP="0025614E">
            <w:pPr>
              <w:rPr>
                <w:sz w:val="24"/>
              </w:rPr>
            </w:pPr>
            <w:r w:rsidRPr="0025614E">
              <w:rPr>
                <w:sz w:val="24"/>
              </w:rPr>
              <w:t>FY2008-2015</w:t>
            </w:r>
          </w:p>
        </w:tc>
      </w:tr>
      <w:tr w:rsidR="0025614E" w:rsidRPr="0025614E" w14:paraId="5F873A17" w14:textId="77777777" w:rsidTr="0025614E">
        <w:tc>
          <w:tcPr>
            <w:tcW w:w="5058" w:type="dxa"/>
            <w:tcBorders>
              <w:top w:val="nil"/>
              <w:left w:val="single" w:sz="8" w:space="0" w:color="4F81BD"/>
              <w:bottom w:val="nil"/>
              <w:right w:val="nil"/>
            </w:tcBorders>
            <w:hideMark/>
          </w:tcPr>
          <w:p w14:paraId="2738034A" w14:textId="77777777" w:rsidR="0025614E" w:rsidRPr="0025614E" w:rsidRDefault="0025614E" w:rsidP="0025614E">
            <w:pPr>
              <w:rPr>
                <w:b/>
                <w:sz w:val="24"/>
                <w:lang w:val="en-GB"/>
              </w:rPr>
            </w:pPr>
            <w:r w:rsidRPr="0025614E">
              <w:rPr>
                <w:b/>
                <w:sz w:val="24"/>
                <w:szCs w:val="24"/>
                <w:lang w:val="en-GB"/>
              </w:rPr>
              <w:t xml:space="preserve">Date of Latest Country Assistance Strategy </w:t>
            </w:r>
          </w:p>
        </w:tc>
        <w:tc>
          <w:tcPr>
            <w:tcW w:w="4158" w:type="dxa"/>
            <w:tcBorders>
              <w:top w:val="nil"/>
              <w:left w:val="nil"/>
              <w:bottom w:val="nil"/>
              <w:right w:val="single" w:sz="8" w:space="0" w:color="4F81BD"/>
            </w:tcBorders>
            <w:hideMark/>
          </w:tcPr>
          <w:p w14:paraId="2AE2F2BE" w14:textId="77777777" w:rsidR="0025614E" w:rsidRPr="0025614E" w:rsidRDefault="0025614E" w:rsidP="0025614E">
            <w:pPr>
              <w:rPr>
                <w:sz w:val="24"/>
              </w:rPr>
            </w:pPr>
            <w:r w:rsidRPr="0025614E">
              <w:rPr>
                <w:sz w:val="24"/>
                <w:szCs w:val="24"/>
              </w:rPr>
              <w:t>June 1995</w:t>
            </w:r>
          </w:p>
        </w:tc>
      </w:tr>
      <w:tr w:rsidR="0025614E" w:rsidRPr="0025614E" w14:paraId="677D7C6A" w14:textId="77777777" w:rsidTr="0025614E">
        <w:tc>
          <w:tcPr>
            <w:tcW w:w="5058" w:type="dxa"/>
            <w:tcBorders>
              <w:top w:val="nil"/>
              <w:left w:val="single" w:sz="8" w:space="0" w:color="4F81BD"/>
              <w:bottom w:val="nil"/>
              <w:right w:val="nil"/>
            </w:tcBorders>
            <w:hideMark/>
          </w:tcPr>
          <w:p w14:paraId="61CC60BE" w14:textId="77777777" w:rsidR="0025614E" w:rsidRPr="0025614E" w:rsidRDefault="0025614E" w:rsidP="0025614E">
            <w:pPr>
              <w:rPr>
                <w:b/>
                <w:sz w:val="24"/>
                <w:lang w:val="en-GB"/>
              </w:rPr>
            </w:pPr>
            <w:r w:rsidRPr="0025614E">
              <w:rPr>
                <w:b/>
                <w:sz w:val="24"/>
                <w:szCs w:val="24"/>
                <w:lang w:val="en-GB"/>
              </w:rPr>
              <w:t>Date of Country Re-engagement Note</w:t>
            </w:r>
          </w:p>
        </w:tc>
        <w:tc>
          <w:tcPr>
            <w:tcW w:w="4158" w:type="dxa"/>
            <w:tcBorders>
              <w:top w:val="nil"/>
              <w:left w:val="nil"/>
              <w:bottom w:val="nil"/>
              <w:right w:val="single" w:sz="8" w:space="0" w:color="4F81BD"/>
            </w:tcBorders>
            <w:hideMark/>
          </w:tcPr>
          <w:p w14:paraId="78A83170" w14:textId="77777777" w:rsidR="0025614E" w:rsidRPr="0025614E" w:rsidRDefault="0025614E" w:rsidP="0025614E">
            <w:pPr>
              <w:rPr>
                <w:sz w:val="24"/>
              </w:rPr>
            </w:pPr>
            <w:r w:rsidRPr="0025614E">
              <w:rPr>
                <w:sz w:val="24"/>
                <w:szCs w:val="24"/>
              </w:rPr>
              <w:t>November 2004</w:t>
            </w:r>
          </w:p>
        </w:tc>
      </w:tr>
      <w:tr w:rsidR="0025614E" w:rsidRPr="0025614E" w14:paraId="40932E01" w14:textId="77777777" w:rsidTr="0025614E">
        <w:tc>
          <w:tcPr>
            <w:tcW w:w="5058" w:type="dxa"/>
            <w:tcBorders>
              <w:top w:val="nil"/>
              <w:left w:val="single" w:sz="8" w:space="0" w:color="4F81BD"/>
              <w:bottom w:val="nil"/>
              <w:right w:val="nil"/>
            </w:tcBorders>
            <w:hideMark/>
          </w:tcPr>
          <w:p w14:paraId="541AC98B" w14:textId="77777777" w:rsidR="0025614E" w:rsidRPr="0025614E" w:rsidRDefault="0025614E" w:rsidP="0025614E">
            <w:pPr>
              <w:rPr>
                <w:b/>
                <w:sz w:val="24"/>
                <w:lang w:val="en-GB"/>
              </w:rPr>
            </w:pPr>
            <w:r w:rsidRPr="0025614E">
              <w:rPr>
                <w:b/>
                <w:sz w:val="24"/>
                <w:szCs w:val="24"/>
                <w:lang w:val="en-GB"/>
              </w:rPr>
              <w:t>Date of First Interim Strategy Note</w:t>
            </w:r>
          </w:p>
        </w:tc>
        <w:tc>
          <w:tcPr>
            <w:tcW w:w="4158" w:type="dxa"/>
            <w:tcBorders>
              <w:top w:val="nil"/>
              <w:left w:val="nil"/>
              <w:bottom w:val="nil"/>
              <w:right w:val="single" w:sz="8" w:space="0" w:color="4F81BD"/>
            </w:tcBorders>
            <w:hideMark/>
          </w:tcPr>
          <w:p w14:paraId="22B2CDF0" w14:textId="77777777" w:rsidR="0025614E" w:rsidRPr="0025614E" w:rsidRDefault="0025614E" w:rsidP="0025614E">
            <w:pPr>
              <w:rPr>
                <w:sz w:val="24"/>
              </w:rPr>
            </w:pPr>
            <w:r w:rsidRPr="0025614E">
              <w:rPr>
                <w:sz w:val="24"/>
                <w:szCs w:val="24"/>
              </w:rPr>
              <w:t>May 2008</w:t>
            </w:r>
          </w:p>
        </w:tc>
      </w:tr>
      <w:tr w:rsidR="0025614E" w:rsidRPr="0025614E" w14:paraId="312AF9E7" w14:textId="77777777" w:rsidTr="0025614E">
        <w:tc>
          <w:tcPr>
            <w:tcW w:w="5058" w:type="dxa"/>
            <w:tcBorders>
              <w:top w:val="nil"/>
              <w:left w:val="single" w:sz="8" w:space="0" w:color="4F81BD"/>
              <w:bottom w:val="nil"/>
              <w:right w:val="nil"/>
            </w:tcBorders>
            <w:hideMark/>
          </w:tcPr>
          <w:p w14:paraId="6958B095" w14:textId="77777777" w:rsidR="0025614E" w:rsidRPr="0025614E" w:rsidRDefault="0025614E" w:rsidP="0025614E">
            <w:pPr>
              <w:rPr>
                <w:b/>
                <w:sz w:val="24"/>
                <w:szCs w:val="24"/>
                <w:lang w:val="en-GB"/>
              </w:rPr>
            </w:pPr>
            <w:r w:rsidRPr="0025614E">
              <w:rPr>
                <w:b/>
                <w:sz w:val="24"/>
                <w:lang w:val="en-GB"/>
              </w:rPr>
              <w:t>Date of Second Interim Strategy Note</w:t>
            </w:r>
          </w:p>
        </w:tc>
        <w:tc>
          <w:tcPr>
            <w:tcW w:w="4158" w:type="dxa"/>
            <w:tcBorders>
              <w:top w:val="nil"/>
              <w:left w:val="nil"/>
              <w:bottom w:val="nil"/>
              <w:right w:val="single" w:sz="8" w:space="0" w:color="4F81BD"/>
            </w:tcBorders>
            <w:hideMark/>
          </w:tcPr>
          <w:p w14:paraId="0A7B2444" w14:textId="77777777" w:rsidR="0025614E" w:rsidRPr="0025614E" w:rsidRDefault="0025614E" w:rsidP="0025614E">
            <w:pPr>
              <w:rPr>
                <w:sz w:val="24"/>
                <w:szCs w:val="24"/>
              </w:rPr>
            </w:pPr>
            <w:r w:rsidRPr="0025614E">
              <w:rPr>
                <w:sz w:val="24"/>
              </w:rPr>
              <w:t>December 2011</w:t>
            </w:r>
          </w:p>
        </w:tc>
      </w:tr>
      <w:tr w:rsidR="0025614E" w:rsidRPr="0025614E" w14:paraId="1376C7BE" w14:textId="77777777" w:rsidTr="0025614E">
        <w:trPr>
          <w:trHeight w:val="216"/>
        </w:trPr>
        <w:tc>
          <w:tcPr>
            <w:tcW w:w="5058" w:type="dxa"/>
            <w:tcBorders>
              <w:top w:val="nil"/>
              <w:left w:val="single" w:sz="8" w:space="0" w:color="4F81BD"/>
              <w:bottom w:val="single" w:sz="8" w:space="0" w:color="4F81BD"/>
              <w:right w:val="nil"/>
            </w:tcBorders>
            <w:hideMark/>
          </w:tcPr>
          <w:p w14:paraId="58C1EB68" w14:textId="77777777" w:rsidR="0025614E" w:rsidRPr="0025614E" w:rsidRDefault="0025614E" w:rsidP="0025614E">
            <w:pPr>
              <w:rPr>
                <w:b/>
                <w:sz w:val="24"/>
              </w:rPr>
            </w:pPr>
            <w:r w:rsidRPr="0025614E">
              <w:rPr>
                <w:b/>
                <w:sz w:val="24"/>
              </w:rPr>
              <w:t>Authors</w:t>
            </w:r>
          </w:p>
        </w:tc>
        <w:tc>
          <w:tcPr>
            <w:tcW w:w="4158" w:type="dxa"/>
            <w:tcBorders>
              <w:top w:val="nil"/>
              <w:left w:val="nil"/>
              <w:bottom w:val="single" w:sz="8" w:space="0" w:color="4F81BD"/>
              <w:right w:val="single" w:sz="8" w:space="0" w:color="4F81BD"/>
            </w:tcBorders>
            <w:hideMark/>
          </w:tcPr>
          <w:p w14:paraId="2270E27A" w14:textId="77777777" w:rsidR="0025614E" w:rsidRPr="0025614E" w:rsidRDefault="0025614E" w:rsidP="0025614E">
            <w:pPr>
              <w:rPr>
                <w:sz w:val="24"/>
              </w:rPr>
            </w:pPr>
            <w:r w:rsidRPr="0025614E">
              <w:rPr>
                <w:sz w:val="24"/>
              </w:rPr>
              <w:t xml:space="preserve">Adam Nelsson </w:t>
            </w:r>
          </w:p>
          <w:p w14:paraId="5FAD3929" w14:textId="77777777" w:rsidR="0025614E" w:rsidRPr="0025614E" w:rsidRDefault="0025614E" w:rsidP="0025614E">
            <w:pPr>
              <w:rPr>
                <w:sz w:val="24"/>
              </w:rPr>
            </w:pPr>
            <w:r w:rsidRPr="0025614E">
              <w:rPr>
                <w:sz w:val="24"/>
              </w:rPr>
              <w:t>Amanda Green</w:t>
            </w:r>
          </w:p>
        </w:tc>
      </w:tr>
    </w:tbl>
    <w:p w14:paraId="4ED98270" w14:textId="77777777" w:rsidR="0025614E" w:rsidRPr="0025614E" w:rsidRDefault="0025614E" w:rsidP="0025614E">
      <w:pPr>
        <w:ind w:left="360" w:hanging="360"/>
        <w:rPr>
          <w:rFonts w:ascii="Times New Roman" w:eastAsia="Calibri" w:hAnsi="Times New Roman" w:cs="Times New Roman"/>
          <w:b/>
          <w:color w:val="000000"/>
          <w:sz w:val="24"/>
          <w:szCs w:val="24"/>
        </w:rPr>
      </w:pPr>
    </w:p>
    <w:p w14:paraId="096DE84B" w14:textId="77777777" w:rsidR="0025614E" w:rsidRPr="0025614E" w:rsidRDefault="0025614E" w:rsidP="0025614E">
      <w:pPr>
        <w:ind w:left="360" w:hanging="360"/>
        <w:rPr>
          <w:rFonts w:ascii="Times New Roman" w:eastAsia="Calibri" w:hAnsi="Times New Roman" w:cs="Times New Roman"/>
          <w:b/>
          <w:color w:val="000000"/>
          <w:sz w:val="24"/>
          <w:szCs w:val="24"/>
        </w:rPr>
      </w:pPr>
    </w:p>
    <w:p w14:paraId="58754469" w14:textId="77777777" w:rsidR="0025614E" w:rsidRPr="0025614E" w:rsidRDefault="0025614E" w:rsidP="0025614E">
      <w:pPr>
        <w:ind w:left="360" w:hanging="360"/>
        <w:jc w:val="center"/>
        <w:rPr>
          <w:rFonts w:ascii="Times New Roman" w:eastAsia="Calibri" w:hAnsi="Times New Roman" w:cs="Times New Roman"/>
          <w:b/>
          <w:color w:val="000000"/>
          <w:sz w:val="28"/>
          <w:szCs w:val="28"/>
        </w:rPr>
      </w:pPr>
      <w:r w:rsidRPr="0025614E">
        <w:rPr>
          <w:rFonts w:ascii="Times New Roman" w:eastAsia="Calibri" w:hAnsi="Times New Roman" w:cs="Times New Roman"/>
          <w:b/>
          <w:color w:val="000000"/>
          <w:sz w:val="28"/>
          <w:szCs w:val="28"/>
        </w:rPr>
        <w:t>Table of Contents</w:t>
      </w:r>
    </w:p>
    <w:p w14:paraId="25CE4EB5" w14:textId="77777777" w:rsidR="0025614E" w:rsidRPr="0025614E" w:rsidRDefault="0025614E" w:rsidP="0025614E">
      <w:pPr>
        <w:ind w:left="360" w:hanging="360"/>
        <w:rPr>
          <w:rFonts w:ascii="Times New Roman" w:eastAsia="Calibri" w:hAnsi="Times New Roman" w:cs="Times New Roman"/>
          <w:sz w:val="24"/>
          <w:szCs w:val="24"/>
        </w:rPr>
      </w:pPr>
    </w:p>
    <w:p w14:paraId="3007B8E7" w14:textId="77777777" w:rsidR="00EB2DD8" w:rsidRPr="00EB2DD8" w:rsidRDefault="0025614E" w:rsidP="00EB2DD8">
      <w:pPr>
        <w:tabs>
          <w:tab w:val="left" w:pos="450"/>
          <w:tab w:val="right" w:leader="dot" w:pos="9350"/>
        </w:tabs>
        <w:spacing w:after="120"/>
        <w:jc w:val="both"/>
        <w:rPr>
          <w:rFonts w:ascii="Times New Roman" w:eastAsia="Calibri" w:hAnsi="Times New Roman" w:cs="Times New Roman"/>
        </w:rPr>
      </w:pPr>
      <w:r w:rsidRPr="0025614E">
        <w:rPr>
          <w:rFonts w:ascii="Times New Roman" w:eastAsia="Calibri" w:hAnsi="Times New Roman" w:cs="Times New Roman"/>
        </w:rPr>
        <w:fldChar w:fldCharType="begin"/>
      </w:r>
      <w:r w:rsidRPr="0025614E">
        <w:rPr>
          <w:rFonts w:ascii="Times New Roman" w:eastAsia="Calibri" w:hAnsi="Times New Roman" w:cs="Times New Roman"/>
        </w:rPr>
        <w:instrText xml:space="preserve"> TOC \o "1-3" \h \z \u </w:instrText>
      </w:r>
      <w:r w:rsidRPr="0025614E">
        <w:rPr>
          <w:rFonts w:ascii="Times New Roman" w:eastAsia="Calibri" w:hAnsi="Times New Roman" w:cs="Times New Roman"/>
        </w:rPr>
        <w:fldChar w:fldCharType="separate"/>
      </w:r>
    </w:p>
    <w:p w14:paraId="334D47D1" w14:textId="77777777" w:rsidR="00EB2DD8" w:rsidRPr="00EB2DD8" w:rsidRDefault="00EB2DD8" w:rsidP="00EB2DD8">
      <w:pPr>
        <w:tabs>
          <w:tab w:val="left" w:pos="450"/>
          <w:tab w:val="right" w:leader="dot" w:pos="9350"/>
        </w:tabs>
        <w:spacing w:after="120"/>
        <w:jc w:val="both"/>
        <w:rPr>
          <w:rFonts w:ascii="Times New Roman" w:eastAsia="Calibri" w:hAnsi="Times New Roman" w:cs="Times New Roman"/>
        </w:rPr>
      </w:pPr>
    </w:p>
    <w:p w14:paraId="36C8E4DC" w14:textId="7849701D" w:rsidR="00EB2DD8" w:rsidRPr="00EB2DD8" w:rsidRDefault="00EB2DD8" w:rsidP="00EB2DD8">
      <w:pPr>
        <w:tabs>
          <w:tab w:val="left" w:pos="450"/>
          <w:tab w:val="right" w:leader="dot" w:pos="9350"/>
        </w:tabs>
        <w:spacing w:after="120"/>
        <w:jc w:val="both"/>
        <w:rPr>
          <w:rFonts w:ascii="Times New Roman" w:eastAsia="Calibri" w:hAnsi="Times New Roman" w:cs="Times New Roman"/>
        </w:rPr>
      </w:pPr>
      <w:r w:rsidRPr="00EB2DD8">
        <w:rPr>
          <w:rFonts w:ascii="Times New Roman" w:eastAsia="Calibri" w:hAnsi="Times New Roman" w:cs="Times New Roman"/>
        </w:rPr>
        <w:t>A.</w:t>
      </w:r>
      <w:r w:rsidRPr="00EB2DD8">
        <w:rPr>
          <w:rFonts w:ascii="Times New Roman" w:eastAsia="Calibri" w:hAnsi="Times New Roman" w:cs="Times New Roman"/>
        </w:rPr>
        <w:tab/>
        <w:t>Introduction</w:t>
      </w:r>
      <w:r w:rsidRPr="00EB2DD8">
        <w:rPr>
          <w:rFonts w:ascii="Times New Roman" w:eastAsia="Calibri" w:hAnsi="Times New Roman" w:cs="Times New Roman"/>
        </w:rPr>
        <w:tab/>
      </w:r>
      <w:r w:rsidR="00D972DB">
        <w:rPr>
          <w:rFonts w:ascii="Times New Roman" w:eastAsia="Calibri" w:hAnsi="Times New Roman" w:cs="Times New Roman"/>
        </w:rPr>
        <w:t>51</w:t>
      </w:r>
    </w:p>
    <w:p w14:paraId="54008DC8" w14:textId="22EA2F43" w:rsidR="00EB2DD8" w:rsidRPr="00EB2DD8" w:rsidRDefault="00EB2DD8" w:rsidP="00EB2DD8">
      <w:pPr>
        <w:tabs>
          <w:tab w:val="left" w:pos="450"/>
          <w:tab w:val="right" w:leader="dot" w:pos="9350"/>
        </w:tabs>
        <w:spacing w:after="120"/>
        <w:jc w:val="both"/>
        <w:rPr>
          <w:rFonts w:ascii="Times New Roman" w:eastAsia="Calibri" w:hAnsi="Times New Roman" w:cs="Times New Roman"/>
        </w:rPr>
      </w:pPr>
      <w:r w:rsidRPr="00EB2DD8">
        <w:rPr>
          <w:rFonts w:ascii="Times New Roman" w:eastAsia="Calibri" w:hAnsi="Times New Roman" w:cs="Times New Roman"/>
        </w:rPr>
        <w:t>B.</w:t>
      </w:r>
      <w:r w:rsidRPr="00EB2DD8">
        <w:rPr>
          <w:rFonts w:ascii="Times New Roman" w:eastAsia="Calibri" w:hAnsi="Times New Roman" w:cs="Times New Roman"/>
        </w:rPr>
        <w:tab/>
        <w:t>Summary of Key Findings</w:t>
      </w:r>
      <w:r w:rsidRPr="00EB2DD8">
        <w:rPr>
          <w:rFonts w:ascii="Times New Roman" w:eastAsia="Calibri" w:hAnsi="Times New Roman" w:cs="Times New Roman"/>
        </w:rPr>
        <w:tab/>
      </w:r>
      <w:r w:rsidR="00D972DB">
        <w:rPr>
          <w:rFonts w:ascii="Times New Roman" w:eastAsia="Calibri" w:hAnsi="Times New Roman" w:cs="Times New Roman"/>
        </w:rPr>
        <w:t>52</w:t>
      </w:r>
    </w:p>
    <w:p w14:paraId="344C24E6" w14:textId="27E95293" w:rsidR="00EB2DD8" w:rsidRPr="00EB2DD8" w:rsidRDefault="00EB2DD8" w:rsidP="00EB2DD8">
      <w:pPr>
        <w:tabs>
          <w:tab w:val="left" w:pos="450"/>
          <w:tab w:val="right" w:leader="dot" w:pos="9350"/>
        </w:tabs>
        <w:spacing w:after="120"/>
        <w:jc w:val="both"/>
        <w:rPr>
          <w:rFonts w:ascii="Times New Roman" w:eastAsia="Calibri" w:hAnsi="Times New Roman" w:cs="Times New Roman"/>
        </w:rPr>
      </w:pPr>
      <w:r w:rsidRPr="00EB2DD8">
        <w:rPr>
          <w:rFonts w:ascii="Times New Roman" w:eastAsia="Calibri" w:hAnsi="Times New Roman" w:cs="Times New Roman"/>
        </w:rPr>
        <w:t>C.</w:t>
      </w:r>
      <w:r w:rsidRPr="00EB2DD8">
        <w:rPr>
          <w:rFonts w:ascii="Times New Roman" w:eastAsia="Calibri" w:hAnsi="Times New Roman" w:cs="Times New Roman"/>
        </w:rPr>
        <w:tab/>
        <w:t>World Bank Group Performance</w:t>
      </w:r>
      <w:r w:rsidRPr="00EB2DD8">
        <w:rPr>
          <w:rFonts w:ascii="Times New Roman" w:eastAsia="Calibri" w:hAnsi="Times New Roman" w:cs="Times New Roman"/>
        </w:rPr>
        <w:tab/>
      </w:r>
      <w:r w:rsidR="00D972DB">
        <w:rPr>
          <w:rFonts w:ascii="Times New Roman" w:eastAsia="Calibri" w:hAnsi="Times New Roman" w:cs="Times New Roman"/>
        </w:rPr>
        <w:t>56</w:t>
      </w:r>
    </w:p>
    <w:p w14:paraId="68304CF7" w14:textId="5967B078" w:rsidR="00EB2DD8" w:rsidRPr="00EB2DD8" w:rsidRDefault="00EB2DD8" w:rsidP="00EB2DD8">
      <w:pPr>
        <w:tabs>
          <w:tab w:val="left" w:pos="450"/>
          <w:tab w:val="right" w:leader="dot" w:pos="9350"/>
        </w:tabs>
        <w:spacing w:after="120"/>
        <w:jc w:val="both"/>
        <w:rPr>
          <w:rFonts w:ascii="Times New Roman" w:eastAsia="Calibri" w:hAnsi="Times New Roman" w:cs="Times New Roman"/>
        </w:rPr>
      </w:pPr>
      <w:r w:rsidRPr="00EB2DD8">
        <w:rPr>
          <w:rFonts w:ascii="Times New Roman" w:eastAsia="Calibri" w:hAnsi="Times New Roman" w:cs="Times New Roman"/>
        </w:rPr>
        <w:t>D.</w:t>
      </w:r>
      <w:r w:rsidRPr="00EB2DD8">
        <w:rPr>
          <w:rFonts w:ascii="Times New Roman" w:eastAsia="Calibri" w:hAnsi="Times New Roman" w:cs="Times New Roman"/>
        </w:rPr>
        <w:tab/>
        <w:t>Lessons Learned and Suggestions for the CPF</w:t>
      </w:r>
      <w:r w:rsidRPr="00EB2DD8">
        <w:rPr>
          <w:rFonts w:ascii="Times New Roman" w:eastAsia="Calibri" w:hAnsi="Times New Roman" w:cs="Times New Roman"/>
        </w:rPr>
        <w:tab/>
      </w:r>
      <w:r w:rsidR="00D972DB">
        <w:rPr>
          <w:rFonts w:ascii="Times New Roman" w:eastAsia="Calibri" w:hAnsi="Times New Roman" w:cs="Times New Roman"/>
        </w:rPr>
        <w:t>60</w:t>
      </w:r>
    </w:p>
    <w:p w14:paraId="721DFA68" w14:textId="2F1288C1" w:rsidR="0025614E" w:rsidRPr="0025614E" w:rsidRDefault="00EB2DD8" w:rsidP="00EB2DD8">
      <w:pPr>
        <w:tabs>
          <w:tab w:val="left" w:pos="450"/>
          <w:tab w:val="right" w:leader="dot" w:pos="9350"/>
        </w:tabs>
        <w:spacing w:after="120"/>
        <w:jc w:val="both"/>
        <w:rPr>
          <w:rFonts w:ascii="Calibri" w:eastAsia="MS Mincho" w:hAnsi="Calibri" w:cs="Times New Roman"/>
          <w:noProof/>
          <w:sz w:val="24"/>
          <w:szCs w:val="24"/>
        </w:rPr>
      </w:pPr>
      <w:r w:rsidRPr="00EB2DD8">
        <w:rPr>
          <w:rFonts w:ascii="Times New Roman" w:eastAsia="Calibri" w:hAnsi="Times New Roman" w:cs="Times New Roman"/>
        </w:rPr>
        <w:t>Appendix 1: Self-Evaluation Summary Matrix</w:t>
      </w:r>
      <w:r w:rsidRPr="00EB2DD8">
        <w:rPr>
          <w:rFonts w:ascii="Times New Roman" w:eastAsia="Calibri" w:hAnsi="Times New Roman" w:cs="Times New Roman"/>
        </w:rPr>
        <w:tab/>
      </w:r>
      <w:r w:rsidR="00D972DB">
        <w:rPr>
          <w:rFonts w:ascii="Times New Roman" w:eastAsia="Calibri" w:hAnsi="Times New Roman" w:cs="Times New Roman"/>
        </w:rPr>
        <w:t>63</w:t>
      </w:r>
    </w:p>
    <w:p w14:paraId="55A7A698" w14:textId="731F3E65" w:rsidR="0025614E" w:rsidRDefault="0025614E" w:rsidP="0025614E">
      <w:pPr>
        <w:ind w:left="360" w:hanging="360"/>
        <w:rPr>
          <w:b/>
          <w:bCs/>
          <w:color w:val="000000"/>
        </w:rPr>
      </w:pPr>
      <w:r w:rsidRPr="0025614E">
        <w:rPr>
          <w:rFonts w:ascii="Times New Roman" w:eastAsia="Calibri" w:hAnsi="Times New Roman" w:cs="Times New Roman"/>
          <w:sz w:val="24"/>
          <w:szCs w:val="24"/>
        </w:rPr>
        <w:fldChar w:fldCharType="end"/>
      </w:r>
      <w:r>
        <w:br w:type="page"/>
      </w:r>
    </w:p>
    <w:p w14:paraId="1BAF09E2" w14:textId="77777777" w:rsidR="0025614E" w:rsidRDefault="0025614E" w:rsidP="0025614E">
      <w:pPr>
        <w:pStyle w:val="Normalsinglespace"/>
        <w:jc w:val="center"/>
        <w:rPr>
          <w:rFonts w:ascii="Times New Roman" w:hAnsi="Times New Roman"/>
          <w:b/>
          <w:sz w:val="28"/>
          <w:szCs w:val="28"/>
        </w:rPr>
      </w:pPr>
      <w:r>
        <w:rPr>
          <w:rFonts w:ascii="Times New Roman" w:hAnsi="Times New Roman"/>
          <w:b/>
          <w:sz w:val="28"/>
          <w:szCs w:val="28"/>
        </w:rPr>
        <w:lastRenderedPageBreak/>
        <w:t>Abbreviations and Acronyms</w:t>
      </w:r>
    </w:p>
    <w:p w14:paraId="251AF5D3" w14:textId="77777777" w:rsidR="0025614E" w:rsidRDefault="0025614E" w:rsidP="0025614E">
      <w:pPr>
        <w:rPr>
          <w:color w:val="000000"/>
        </w:rPr>
        <w:sectPr w:rsidR="0025614E" w:rsidSect="00625289">
          <w:pgSz w:w="12240" w:h="15840"/>
          <w:pgMar w:top="1440" w:right="1440" w:bottom="1440" w:left="1440" w:header="720" w:footer="720" w:gutter="0"/>
          <w:cols w:space="720"/>
        </w:sectPr>
      </w:pPr>
    </w:p>
    <w:p w14:paraId="16556783" w14:textId="77777777" w:rsidR="0025614E" w:rsidRDefault="0025614E" w:rsidP="0025614E">
      <w:pPr>
        <w:ind w:left="360" w:hanging="360"/>
        <w:rPr>
          <w:rFonts w:ascii="Times New Roman" w:hAnsi="Times New Roman"/>
          <w:color w:val="000000"/>
          <w:sz w:val="16"/>
          <w:szCs w:val="16"/>
        </w:rPr>
      </w:pPr>
    </w:p>
    <w:p w14:paraId="6570C77B" w14:textId="77777777" w:rsidR="0025614E" w:rsidRDefault="0025614E" w:rsidP="0025614E">
      <w:pPr>
        <w:ind w:left="360" w:hanging="360"/>
        <w:rPr>
          <w:color w:val="000000"/>
          <w:sz w:val="16"/>
          <w:szCs w:val="16"/>
        </w:rPr>
      </w:pPr>
    </w:p>
    <w:p w14:paraId="32A1B10C" w14:textId="77777777" w:rsidR="0025614E" w:rsidRDefault="0025614E" w:rsidP="0025614E">
      <w:pPr>
        <w:rPr>
          <w:color w:val="000000"/>
          <w:sz w:val="16"/>
          <w:szCs w:val="16"/>
        </w:rPr>
        <w:sectPr w:rsidR="0025614E">
          <w:type w:val="continuous"/>
          <w:pgSz w:w="12240" w:h="15840"/>
          <w:pgMar w:top="1080" w:right="1440" w:bottom="1080" w:left="1440" w:header="720" w:footer="720" w:gutter="0"/>
          <w:cols w:space="720"/>
        </w:sectPr>
      </w:pPr>
    </w:p>
    <w:p w14:paraId="0011DA67" w14:textId="77777777" w:rsidR="0025614E" w:rsidRDefault="0025614E" w:rsidP="0025614E">
      <w:pPr>
        <w:tabs>
          <w:tab w:val="left" w:pos="720"/>
        </w:tabs>
        <w:ind w:left="540" w:hanging="540"/>
        <w:rPr>
          <w:color w:val="000000"/>
          <w:sz w:val="20"/>
          <w:szCs w:val="20"/>
        </w:rPr>
      </w:pPr>
      <w:r>
        <w:rPr>
          <w:color w:val="000000"/>
          <w:sz w:val="20"/>
          <w:szCs w:val="20"/>
        </w:rPr>
        <w:t>AAA</w:t>
      </w:r>
      <w:r>
        <w:rPr>
          <w:color w:val="000000"/>
          <w:sz w:val="20"/>
          <w:szCs w:val="20"/>
        </w:rPr>
        <w:tab/>
      </w:r>
      <w:r>
        <w:rPr>
          <w:color w:val="000000"/>
          <w:sz w:val="20"/>
          <w:szCs w:val="20"/>
        </w:rPr>
        <w:tab/>
        <w:t>Analytical and Advisory Activities</w:t>
      </w:r>
    </w:p>
    <w:p w14:paraId="47F44802" w14:textId="77777777" w:rsidR="0025614E" w:rsidRDefault="0025614E" w:rsidP="0025614E">
      <w:pPr>
        <w:tabs>
          <w:tab w:val="left" w:pos="720"/>
        </w:tabs>
        <w:ind w:left="540" w:hanging="540"/>
        <w:rPr>
          <w:color w:val="000000"/>
          <w:sz w:val="20"/>
          <w:szCs w:val="20"/>
        </w:rPr>
      </w:pPr>
      <w:r>
        <w:rPr>
          <w:color w:val="000000"/>
          <w:sz w:val="20"/>
          <w:szCs w:val="20"/>
        </w:rPr>
        <w:t>AF</w:t>
      </w:r>
      <w:r>
        <w:rPr>
          <w:color w:val="000000"/>
          <w:sz w:val="20"/>
          <w:szCs w:val="20"/>
        </w:rPr>
        <w:tab/>
      </w:r>
      <w:r>
        <w:rPr>
          <w:color w:val="000000"/>
          <w:sz w:val="20"/>
          <w:szCs w:val="20"/>
        </w:rPr>
        <w:tab/>
        <w:t>Additional Financing</w:t>
      </w:r>
    </w:p>
    <w:p w14:paraId="017B3D1D" w14:textId="77777777" w:rsidR="0025614E" w:rsidRDefault="0025614E" w:rsidP="0025614E">
      <w:pPr>
        <w:tabs>
          <w:tab w:val="left" w:pos="720"/>
        </w:tabs>
        <w:ind w:left="540" w:hanging="540"/>
        <w:rPr>
          <w:color w:val="000000"/>
          <w:sz w:val="20"/>
          <w:szCs w:val="20"/>
        </w:rPr>
      </w:pPr>
      <w:r>
        <w:rPr>
          <w:color w:val="000000"/>
          <w:sz w:val="20"/>
          <w:szCs w:val="20"/>
        </w:rPr>
        <w:t>CAS</w:t>
      </w:r>
      <w:r>
        <w:rPr>
          <w:color w:val="000000"/>
          <w:sz w:val="20"/>
          <w:szCs w:val="20"/>
        </w:rPr>
        <w:tab/>
      </w:r>
      <w:r>
        <w:rPr>
          <w:color w:val="000000"/>
          <w:sz w:val="20"/>
          <w:szCs w:val="20"/>
        </w:rPr>
        <w:tab/>
        <w:t>Country Assistance Strategy</w:t>
      </w:r>
    </w:p>
    <w:p w14:paraId="6FE42E1D" w14:textId="77777777" w:rsidR="0025614E" w:rsidRDefault="0025614E" w:rsidP="0025614E">
      <w:pPr>
        <w:tabs>
          <w:tab w:val="left" w:pos="720"/>
        </w:tabs>
        <w:ind w:left="540" w:hanging="540"/>
        <w:rPr>
          <w:color w:val="000000"/>
          <w:sz w:val="20"/>
          <w:szCs w:val="20"/>
        </w:rPr>
      </w:pPr>
      <w:r>
        <w:rPr>
          <w:color w:val="000000"/>
          <w:sz w:val="20"/>
          <w:szCs w:val="20"/>
        </w:rPr>
        <w:t>CDD</w:t>
      </w:r>
      <w:r>
        <w:rPr>
          <w:color w:val="000000"/>
          <w:sz w:val="20"/>
          <w:szCs w:val="20"/>
        </w:rPr>
        <w:tab/>
      </w:r>
      <w:r>
        <w:rPr>
          <w:color w:val="000000"/>
          <w:sz w:val="20"/>
          <w:szCs w:val="20"/>
        </w:rPr>
        <w:tab/>
        <w:t>Community Driven Development</w:t>
      </w:r>
    </w:p>
    <w:p w14:paraId="1FCA11AA" w14:textId="77777777" w:rsidR="0025614E" w:rsidRDefault="0025614E" w:rsidP="0025614E">
      <w:pPr>
        <w:tabs>
          <w:tab w:val="left" w:pos="720"/>
        </w:tabs>
        <w:ind w:left="540" w:hanging="540"/>
        <w:rPr>
          <w:color w:val="000000"/>
          <w:sz w:val="20"/>
          <w:szCs w:val="20"/>
        </w:rPr>
      </w:pPr>
      <w:r>
        <w:rPr>
          <w:color w:val="000000"/>
          <w:sz w:val="20"/>
          <w:szCs w:val="20"/>
        </w:rPr>
        <w:t>CDP</w:t>
      </w:r>
      <w:r>
        <w:rPr>
          <w:color w:val="000000"/>
          <w:sz w:val="20"/>
          <w:szCs w:val="20"/>
        </w:rPr>
        <w:tab/>
      </w:r>
      <w:r>
        <w:rPr>
          <w:color w:val="000000"/>
          <w:sz w:val="20"/>
          <w:szCs w:val="20"/>
        </w:rPr>
        <w:tab/>
        <w:t xml:space="preserve">Togo Community Development Project </w:t>
      </w:r>
    </w:p>
    <w:p w14:paraId="261460D4" w14:textId="77777777" w:rsidR="0025614E" w:rsidRDefault="0025614E" w:rsidP="0025614E">
      <w:pPr>
        <w:tabs>
          <w:tab w:val="left" w:pos="720"/>
        </w:tabs>
        <w:ind w:left="540" w:hanging="540"/>
        <w:rPr>
          <w:color w:val="000000"/>
          <w:sz w:val="20"/>
          <w:szCs w:val="20"/>
        </w:rPr>
      </w:pPr>
      <w:r>
        <w:rPr>
          <w:color w:val="000000"/>
          <w:sz w:val="20"/>
          <w:szCs w:val="20"/>
        </w:rPr>
        <w:t>CEET</w:t>
      </w:r>
      <w:r>
        <w:rPr>
          <w:color w:val="000000"/>
          <w:sz w:val="20"/>
          <w:szCs w:val="20"/>
        </w:rPr>
        <w:tab/>
      </w:r>
      <w:r>
        <w:rPr>
          <w:color w:val="000000"/>
          <w:sz w:val="20"/>
          <w:szCs w:val="20"/>
        </w:rPr>
        <w:tab/>
        <w:t xml:space="preserve">Togo Electric Energy Company </w:t>
      </w:r>
    </w:p>
    <w:p w14:paraId="76D37616" w14:textId="77777777" w:rsidR="0025614E" w:rsidRDefault="0025614E" w:rsidP="0025614E">
      <w:pPr>
        <w:tabs>
          <w:tab w:val="left" w:pos="720"/>
        </w:tabs>
        <w:ind w:left="540" w:hanging="540"/>
        <w:rPr>
          <w:color w:val="000000"/>
          <w:sz w:val="20"/>
          <w:szCs w:val="20"/>
        </w:rPr>
      </w:pPr>
      <w:r>
        <w:rPr>
          <w:color w:val="000000"/>
          <w:sz w:val="20"/>
          <w:szCs w:val="20"/>
        </w:rPr>
        <w:t>CEM</w:t>
      </w:r>
      <w:r>
        <w:rPr>
          <w:color w:val="000000"/>
          <w:sz w:val="20"/>
          <w:szCs w:val="20"/>
        </w:rPr>
        <w:tab/>
      </w:r>
      <w:r>
        <w:rPr>
          <w:color w:val="000000"/>
          <w:sz w:val="20"/>
          <w:szCs w:val="20"/>
        </w:rPr>
        <w:tab/>
        <w:t>Country Economic Memorandum</w:t>
      </w:r>
    </w:p>
    <w:p w14:paraId="2966185D" w14:textId="77777777" w:rsidR="0025614E" w:rsidRDefault="0025614E" w:rsidP="0025614E">
      <w:pPr>
        <w:tabs>
          <w:tab w:val="left" w:pos="720"/>
        </w:tabs>
        <w:ind w:left="540" w:hanging="540"/>
        <w:rPr>
          <w:color w:val="000000"/>
          <w:sz w:val="20"/>
          <w:szCs w:val="20"/>
        </w:rPr>
      </w:pPr>
      <w:r>
        <w:rPr>
          <w:color w:val="000000"/>
          <w:sz w:val="20"/>
          <w:szCs w:val="20"/>
        </w:rPr>
        <w:t>CPF</w:t>
      </w:r>
      <w:r>
        <w:rPr>
          <w:color w:val="000000"/>
          <w:sz w:val="20"/>
          <w:szCs w:val="20"/>
        </w:rPr>
        <w:tab/>
      </w:r>
      <w:r>
        <w:rPr>
          <w:color w:val="000000"/>
          <w:sz w:val="20"/>
          <w:szCs w:val="20"/>
        </w:rPr>
        <w:tab/>
        <w:t>Country Partnership Framework</w:t>
      </w:r>
    </w:p>
    <w:p w14:paraId="4CC170B1" w14:textId="77777777" w:rsidR="0025614E" w:rsidRDefault="0025614E" w:rsidP="0025614E">
      <w:pPr>
        <w:tabs>
          <w:tab w:val="left" w:pos="720"/>
        </w:tabs>
        <w:ind w:left="540" w:hanging="540"/>
        <w:rPr>
          <w:color w:val="000000"/>
          <w:sz w:val="20"/>
          <w:szCs w:val="20"/>
        </w:rPr>
      </w:pPr>
      <w:r>
        <w:rPr>
          <w:color w:val="000000"/>
          <w:sz w:val="20"/>
          <w:szCs w:val="20"/>
        </w:rPr>
        <w:t>CRN</w:t>
      </w:r>
      <w:r>
        <w:rPr>
          <w:color w:val="000000"/>
          <w:sz w:val="20"/>
          <w:szCs w:val="20"/>
        </w:rPr>
        <w:tab/>
      </w:r>
      <w:r>
        <w:rPr>
          <w:color w:val="000000"/>
          <w:sz w:val="20"/>
          <w:szCs w:val="20"/>
        </w:rPr>
        <w:tab/>
        <w:t>Country Reengagement Note</w:t>
      </w:r>
    </w:p>
    <w:p w14:paraId="340D0607" w14:textId="77777777" w:rsidR="0025614E" w:rsidRDefault="0025614E" w:rsidP="0025614E">
      <w:pPr>
        <w:tabs>
          <w:tab w:val="left" w:pos="720"/>
        </w:tabs>
        <w:ind w:left="540" w:hanging="540"/>
        <w:rPr>
          <w:color w:val="000000"/>
          <w:sz w:val="20"/>
          <w:szCs w:val="20"/>
        </w:rPr>
      </w:pPr>
      <w:r>
        <w:rPr>
          <w:color w:val="000000"/>
          <w:sz w:val="20"/>
          <w:szCs w:val="20"/>
        </w:rPr>
        <w:t>CPS</w:t>
      </w:r>
      <w:r>
        <w:rPr>
          <w:color w:val="000000"/>
          <w:sz w:val="20"/>
          <w:szCs w:val="20"/>
        </w:rPr>
        <w:tab/>
      </w:r>
      <w:r>
        <w:rPr>
          <w:color w:val="000000"/>
          <w:sz w:val="20"/>
          <w:szCs w:val="20"/>
        </w:rPr>
        <w:tab/>
        <w:t xml:space="preserve">Country Partnership Strategy </w:t>
      </w:r>
    </w:p>
    <w:p w14:paraId="72ACF835" w14:textId="77777777" w:rsidR="0025614E" w:rsidRDefault="0025614E" w:rsidP="0025614E">
      <w:pPr>
        <w:tabs>
          <w:tab w:val="left" w:pos="720"/>
        </w:tabs>
        <w:ind w:left="540" w:hanging="540"/>
        <w:rPr>
          <w:color w:val="000000"/>
          <w:sz w:val="20"/>
          <w:szCs w:val="20"/>
        </w:rPr>
      </w:pPr>
      <w:r>
        <w:rPr>
          <w:color w:val="000000"/>
          <w:sz w:val="20"/>
          <w:szCs w:val="20"/>
        </w:rPr>
        <w:t xml:space="preserve">DP </w:t>
      </w:r>
      <w:r>
        <w:rPr>
          <w:color w:val="000000"/>
          <w:sz w:val="20"/>
          <w:szCs w:val="20"/>
        </w:rPr>
        <w:tab/>
      </w:r>
      <w:r>
        <w:rPr>
          <w:color w:val="000000"/>
          <w:sz w:val="20"/>
          <w:szCs w:val="20"/>
        </w:rPr>
        <w:tab/>
        <w:t>Development Partner</w:t>
      </w:r>
    </w:p>
    <w:p w14:paraId="70BAF5E6" w14:textId="77777777" w:rsidR="0025614E" w:rsidRDefault="0025614E" w:rsidP="0025614E">
      <w:pPr>
        <w:tabs>
          <w:tab w:val="left" w:pos="720"/>
        </w:tabs>
        <w:ind w:left="540" w:hanging="540"/>
        <w:rPr>
          <w:color w:val="000000"/>
          <w:sz w:val="20"/>
          <w:szCs w:val="20"/>
        </w:rPr>
      </w:pPr>
      <w:r>
        <w:rPr>
          <w:color w:val="000000"/>
          <w:sz w:val="20"/>
          <w:szCs w:val="20"/>
        </w:rPr>
        <w:t>DPG</w:t>
      </w:r>
      <w:r>
        <w:rPr>
          <w:color w:val="000000"/>
          <w:sz w:val="20"/>
          <w:szCs w:val="20"/>
        </w:rPr>
        <w:tab/>
      </w:r>
      <w:r>
        <w:rPr>
          <w:color w:val="000000"/>
          <w:sz w:val="20"/>
          <w:szCs w:val="20"/>
        </w:rPr>
        <w:tab/>
        <w:t>Development Policy Grant</w:t>
      </w:r>
    </w:p>
    <w:p w14:paraId="4F786114" w14:textId="77777777" w:rsidR="0025614E" w:rsidRDefault="0025614E" w:rsidP="0025614E">
      <w:pPr>
        <w:tabs>
          <w:tab w:val="left" w:pos="720"/>
        </w:tabs>
        <w:ind w:left="540" w:hanging="540"/>
        <w:rPr>
          <w:color w:val="000000"/>
          <w:sz w:val="20"/>
          <w:szCs w:val="20"/>
        </w:rPr>
      </w:pPr>
      <w:r>
        <w:rPr>
          <w:color w:val="000000"/>
          <w:sz w:val="20"/>
          <w:szCs w:val="20"/>
        </w:rPr>
        <w:t>DPL</w:t>
      </w:r>
      <w:r>
        <w:rPr>
          <w:color w:val="000000"/>
          <w:sz w:val="20"/>
          <w:szCs w:val="20"/>
        </w:rPr>
        <w:tab/>
      </w:r>
      <w:r>
        <w:rPr>
          <w:color w:val="000000"/>
          <w:sz w:val="20"/>
          <w:szCs w:val="20"/>
        </w:rPr>
        <w:tab/>
        <w:t>Development Policy Lending</w:t>
      </w:r>
    </w:p>
    <w:p w14:paraId="58312517" w14:textId="77777777" w:rsidR="0025614E" w:rsidRDefault="0025614E" w:rsidP="0025614E">
      <w:pPr>
        <w:tabs>
          <w:tab w:val="left" w:pos="720"/>
        </w:tabs>
        <w:ind w:left="540" w:hanging="540"/>
        <w:rPr>
          <w:color w:val="000000"/>
          <w:sz w:val="20"/>
          <w:szCs w:val="20"/>
        </w:rPr>
      </w:pPr>
      <w:r>
        <w:rPr>
          <w:color w:val="000000"/>
          <w:sz w:val="20"/>
          <w:szCs w:val="20"/>
        </w:rPr>
        <w:t>DPO</w:t>
      </w:r>
      <w:r>
        <w:rPr>
          <w:color w:val="000000"/>
          <w:sz w:val="20"/>
          <w:szCs w:val="20"/>
        </w:rPr>
        <w:tab/>
      </w:r>
      <w:r>
        <w:rPr>
          <w:color w:val="000000"/>
          <w:sz w:val="20"/>
          <w:szCs w:val="20"/>
        </w:rPr>
        <w:tab/>
        <w:t xml:space="preserve">Development Policy Operation </w:t>
      </w:r>
    </w:p>
    <w:p w14:paraId="7068C19D" w14:textId="77777777" w:rsidR="0025614E" w:rsidRDefault="0025614E" w:rsidP="0025614E">
      <w:pPr>
        <w:tabs>
          <w:tab w:val="left" w:pos="720"/>
        </w:tabs>
        <w:ind w:left="540" w:hanging="540"/>
        <w:rPr>
          <w:color w:val="000000"/>
          <w:sz w:val="20"/>
          <w:szCs w:val="20"/>
        </w:rPr>
      </w:pPr>
      <w:r>
        <w:rPr>
          <w:color w:val="000000"/>
          <w:sz w:val="20"/>
          <w:szCs w:val="20"/>
        </w:rPr>
        <w:t>DPNR</w:t>
      </w:r>
      <w:r>
        <w:rPr>
          <w:color w:val="000000"/>
          <w:sz w:val="20"/>
          <w:szCs w:val="20"/>
        </w:rPr>
        <w:tab/>
      </w:r>
      <w:r>
        <w:rPr>
          <w:color w:val="000000"/>
          <w:sz w:val="20"/>
          <w:szCs w:val="20"/>
        </w:rPr>
        <w:tab/>
        <w:t>Development Policy Needs Review</w:t>
      </w:r>
    </w:p>
    <w:p w14:paraId="7DD89134" w14:textId="77777777" w:rsidR="0025614E" w:rsidRDefault="0025614E" w:rsidP="0025614E">
      <w:pPr>
        <w:tabs>
          <w:tab w:val="left" w:pos="720"/>
        </w:tabs>
        <w:ind w:left="540" w:hanging="540"/>
        <w:rPr>
          <w:color w:val="000000"/>
          <w:sz w:val="20"/>
          <w:szCs w:val="20"/>
        </w:rPr>
      </w:pPr>
      <w:r>
        <w:rPr>
          <w:color w:val="000000"/>
          <w:sz w:val="20"/>
          <w:szCs w:val="20"/>
        </w:rPr>
        <w:t>EFA-FTI</w:t>
      </w:r>
      <w:r>
        <w:rPr>
          <w:color w:val="000000"/>
          <w:sz w:val="20"/>
          <w:szCs w:val="20"/>
        </w:rPr>
        <w:tab/>
        <w:t>Education for all Fast Track Initiative</w:t>
      </w:r>
    </w:p>
    <w:p w14:paraId="78476AC1" w14:textId="77777777" w:rsidR="0025614E" w:rsidRDefault="0025614E" w:rsidP="0025614E">
      <w:pPr>
        <w:tabs>
          <w:tab w:val="left" w:pos="720"/>
        </w:tabs>
        <w:ind w:left="720" w:hanging="720"/>
        <w:rPr>
          <w:color w:val="000000"/>
          <w:sz w:val="20"/>
          <w:szCs w:val="20"/>
        </w:rPr>
      </w:pPr>
      <w:r>
        <w:rPr>
          <w:color w:val="000000"/>
          <w:sz w:val="20"/>
          <w:szCs w:val="20"/>
        </w:rPr>
        <w:t>EIREP</w:t>
      </w:r>
      <w:r>
        <w:rPr>
          <w:color w:val="000000"/>
          <w:sz w:val="20"/>
          <w:szCs w:val="20"/>
        </w:rPr>
        <w:tab/>
        <w:t xml:space="preserve">Emergency Infrastructure Rehabilitation and Energy Project </w:t>
      </w:r>
    </w:p>
    <w:p w14:paraId="66D7597C" w14:textId="77777777" w:rsidR="0025614E" w:rsidRDefault="0025614E" w:rsidP="0025614E">
      <w:pPr>
        <w:tabs>
          <w:tab w:val="left" w:pos="720"/>
        </w:tabs>
        <w:ind w:left="540" w:hanging="540"/>
        <w:rPr>
          <w:color w:val="000000"/>
          <w:sz w:val="20"/>
          <w:szCs w:val="20"/>
        </w:rPr>
      </w:pPr>
      <w:r>
        <w:rPr>
          <w:color w:val="000000"/>
          <w:sz w:val="20"/>
          <w:szCs w:val="20"/>
        </w:rPr>
        <w:t xml:space="preserve">EITI </w:t>
      </w:r>
      <w:r>
        <w:rPr>
          <w:color w:val="000000"/>
          <w:sz w:val="20"/>
          <w:szCs w:val="20"/>
        </w:rPr>
        <w:tab/>
      </w:r>
      <w:r>
        <w:rPr>
          <w:color w:val="000000"/>
          <w:sz w:val="20"/>
          <w:szCs w:val="20"/>
        </w:rPr>
        <w:tab/>
        <w:t xml:space="preserve">Extractive Industry Transparency Initiative </w:t>
      </w:r>
    </w:p>
    <w:p w14:paraId="6E90CF1F" w14:textId="77777777" w:rsidR="0025614E" w:rsidRDefault="0025614E" w:rsidP="0025614E">
      <w:pPr>
        <w:tabs>
          <w:tab w:val="left" w:pos="720"/>
        </w:tabs>
        <w:ind w:left="540" w:hanging="540"/>
        <w:rPr>
          <w:color w:val="000000"/>
          <w:sz w:val="20"/>
          <w:szCs w:val="20"/>
        </w:rPr>
      </w:pPr>
      <w:r>
        <w:rPr>
          <w:color w:val="000000"/>
          <w:sz w:val="20"/>
          <w:szCs w:val="20"/>
        </w:rPr>
        <w:t>ERGG</w:t>
      </w:r>
      <w:r>
        <w:rPr>
          <w:color w:val="000000"/>
          <w:sz w:val="20"/>
          <w:szCs w:val="20"/>
        </w:rPr>
        <w:tab/>
      </w:r>
      <w:r>
        <w:rPr>
          <w:color w:val="000000"/>
          <w:sz w:val="20"/>
          <w:szCs w:val="20"/>
        </w:rPr>
        <w:tab/>
        <w:t xml:space="preserve">Economic Recovery and Governance Grant </w:t>
      </w:r>
    </w:p>
    <w:p w14:paraId="4466D9BD" w14:textId="77777777" w:rsidR="0025614E" w:rsidRDefault="0025614E" w:rsidP="0025614E">
      <w:pPr>
        <w:tabs>
          <w:tab w:val="left" w:pos="720"/>
        </w:tabs>
        <w:ind w:left="720" w:hanging="720"/>
        <w:rPr>
          <w:color w:val="000000"/>
          <w:sz w:val="20"/>
          <w:szCs w:val="20"/>
        </w:rPr>
      </w:pPr>
      <w:r>
        <w:rPr>
          <w:color w:val="000000"/>
          <w:sz w:val="20"/>
          <w:szCs w:val="20"/>
        </w:rPr>
        <w:t xml:space="preserve">ERIREG </w:t>
      </w:r>
      <w:r>
        <w:rPr>
          <w:color w:val="000000"/>
          <w:sz w:val="20"/>
          <w:szCs w:val="20"/>
        </w:rPr>
        <w:tab/>
        <w:t>Economic Recovery and International Re-Engagement Grant</w:t>
      </w:r>
    </w:p>
    <w:p w14:paraId="38BBFCB4" w14:textId="77777777" w:rsidR="0025614E" w:rsidRDefault="0025614E" w:rsidP="0025614E">
      <w:pPr>
        <w:tabs>
          <w:tab w:val="left" w:pos="720"/>
        </w:tabs>
        <w:ind w:left="540" w:hanging="540"/>
        <w:rPr>
          <w:color w:val="000000"/>
          <w:sz w:val="20"/>
          <w:szCs w:val="20"/>
        </w:rPr>
      </w:pPr>
      <w:r>
        <w:rPr>
          <w:color w:val="000000"/>
          <w:sz w:val="20"/>
          <w:szCs w:val="20"/>
        </w:rPr>
        <w:t>FY</w:t>
      </w:r>
      <w:r>
        <w:rPr>
          <w:color w:val="000000"/>
          <w:sz w:val="20"/>
          <w:szCs w:val="20"/>
        </w:rPr>
        <w:tab/>
      </w:r>
      <w:r>
        <w:rPr>
          <w:color w:val="000000"/>
          <w:sz w:val="20"/>
          <w:szCs w:val="20"/>
        </w:rPr>
        <w:tab/>
        <w:t>Fiscal Year (WB: July 1 – June 30)</w:t>
      </w:r>
    </w:p>
    <w:p w14:paraId="1EDA6573" w14:textId="77777777" w:rsidR="0025614E" w:rsidRDefault="0025614E" w:rsidP="0025614E">
      <w:pPr>
        <w:tabs>
          <w:tab w:val="left" w:pos="720"/>
        </w:tabs>
        <w:ind w:left="540" w:hanging="540"/>
        <w:rPr>
          <w:color w:val="000000"/>
          <w:sz w:val="20"/>
          <w:szCs w:val="20"/>
        </w:rPr>
      </w:pPr>
      <w:r>
        <w:rPr>
          <w:color w:val="000000"/>
          <w:sz w:val="20"/>
          <w:szCs w:val="20"/>
        </w:rPr>
        <w:t>GDP</w:t>
      </w:r>
      <w:r>
        <w:rPr>
          <w:color w:val="000000"/>
          <w:sz w:val="20"/>
          <w:szCs w:val="20"/>
        </w:rPr>
        <w:tab/>
      </w:r>
      <w:r>
        <w:rPr>
          <w:color w:val="000000"/>
          <w:sz w:val="20"/>
          <w:szCs w:val="20"/>
        </w:rPr>
        <w:tab/>
        <w:t>Gross Domestic Product</w:t>
      </w:r>
    </w:p>
    <w:p w14:paraId="3B72C15F" w14:textId="77777777" w:rsidR="0025614E" w:rsidRDefault="0025614E" w:rsidP="0025614E">
      <w:pPr>
        <w:tabs>
          <w:tab w:val="left" w:pos="720"/>
        </w:tabs>
        <w:ind w:left="540" w:hanging="540"/>
        <w:rPr>
          <w:color w:val="000000"/>
          <w:sz w:val="20"/>
          <w:szCs w:val="20"/>
        </w:rPr>
      </w:pPr>
      <w:r>
        <w:rPr>
          <w:color w:val="000000"/>
          <w:sz w:val="20"/>
          <w:szCs w:val="20"/>
        </w:rPr>
        <w:t>GNI</w:t>
      </w:r>
      <w:r>
        <w:rPr>
          <w:color w:val="000000"/>
          <w:sz w:val="20"/>
          <w:szCs w:val="20"/>
        </w:rPr>
        <w:tab/>
      </w:r>
      <w:r>
        <w:rPr>
          <w:color w:val="000000"/>
          <w:sz w:val="20"/>
          <w:szCs w:val="20"/>
        </w:rPr>
        <w:tab/>
        <w:t>Gross National Income</w:t>
      </w:r>
    </w:p>
    <w:p w14:paraId="3C713620" w14:textId="77777777" w:rsidR="0025614E" w:rsidRDefault="0025614E" w:rsidP="0025614E">
      <w:pPr>
        <w:tabs>
          <w:tab w:val="left" w:pos="720"/>
        </w:tabs>
        <w:ind w:left="540" w:hanging="540"/>
        <w:rPr>
          <w:color w:val="000000"/>
          <w:sz w:val="20"/>
          <w:szCs w:val="20"/>
        </w:rPr>
      </w:pPr>
      <w:r>
        <w:rPr>
          <w:color w:val="000000"/>
          <w:sz w:val="20"/>
          <w:szCs w:val="20"/>
        </w:rPr>
        <w:t>HD</w:t>
      </w:r>
      <w:r>
        <w:rPr>
          <w:color w:val="000000"/>
          <w:sz w:val="20"/>
          <w:szCs w:val="20"/>
        </w:rPr>
        <w:tab/>
      </w:r>
      <w:r>
        <w:rPr>
          <w:color w:val="000000"/>
          <w:sz w:val="20"/>
          <w:szCs w:val="20"/>
        </w:rPr>
        <w:tab/>
        <w:t>Human Development</w:t>
      </w:r>
    </w:p>
    <w:p w14:paraId="5E363095" w14:textId="77777777" w:rsidR="0025614E" w:rsidRDefault="0025614E" w:rsidP="0025614E">
      <w:pPr>
        <w:tabs>
          <w:tab w:val="left" w:pos="720"/>
        </w:tabs>
        <w:ind w:left="540" w:hanging="540"/>
        <w:rPr>
          <w:color w:val="000000"/>
          <w:sz w:val="20"/>
          <w:szCs w:val="20"/>
        </w:rPr>
      </w:pPr>
      <w:r>
        <w:rPr>
          <w:color w:val="000000"/>
          <w:sz w:val="20"/>
          <w:szCs w:val="20"/>
        </w:rPr>
        <w:t>HIPC</w:t>
      </w:r>
      <w:r>
        <w:rPr>
          <w:color w:val="000000"/>
          <w:sz w:val="20"/>
          <w:szCs w:val="20"/>
        </w:rPr>
        <w:tab/>
      </w:r>
      <w:r>
        <w:rPr>
          <w:color w:val="000000"/>
          <w:sz w:val="20"/>
          <w:szCs w:val="20"/>
        </w:rPr>
        <w:tab/>
        <w:t>Heavily Indebted Poor Countries</w:t>
      </w:r>
    </w:p>
    <w:p w14:paraId="5FF29E7E" w14:textId="77777777" w:rsidR="0025614E" w:rsidRDefault="0025614E" w:rsidP="0025614E">
      <w:pPr>
        <w:tabs>
          <w:tab w:val="left" w:pos="720"/>
        </w:tabs>
        <w:ind w:left="540" w:hanging="540"/>
        <w:rPr>
          <w:color w:val="000000"/>
          <w:sz w:val="20"/>
          <w:szCs w:val="20"/>
        </w:rPr>
      </w:pPr>
      <w:r>
        <w:rPr>
          <w:color w:val="000000"/>
          <w:sz w:val="20"/>
          <w:szCs w:val="20"/>
        </w:rPr>
        <w:t>HPAI</w:t>
      </w:r>
      <w:r>
        <w:rPr>
          <w:color w:val="000000"/>
          <w:sz w:val="20"/>
          <w:szCs w:val="20"/>
        </w:rPr>
        <w:tab/>
      </w:r>
      <w:r>
        <w:rPr>
          <w:color w:val="000000"/>
          <w:sz w:val="20"/>
          <w:szCs w:val="20"/>
        </w:rPr>
        <w:tab/>
        <w:t xml:space="preserve">Highly Pathogenic Avian Influenza </w:t>
      </w:r>
    </w:p>
    <w:p w14:paraId="79B723DB" w14:textId="77777777" w:rsidR="0025614E" w:rsidRDefault="0025614E" w:rsidP="0025614E">
      <w:pPr>
        <w:tabs>
          <w:tab w:val="left" w:pos="720"/>
        </w:tabs>
        <w:ind w:left="540" w:hanging="540"/>
        <w:rPr>
          <w:color w:val="000000"/>
          <w:sz w:val="20"/>
          <w:szCs w:val="20"/>
        </w:rPr>
      </w:pPr>
      <w:r>
        <w:rPr>
          <w:color w:val="000000"/>
          <w:sz w:val="20"/>
          <w:szCs w:val="20"/>
        </w:rPr>
        <w:t>IPRSP</w:t>
      </w:r>
      <w:r>
        <w:rPr>
          <w:color w:val="000000"/>
          <w:sz w:val="20"/>
          <w:szCs w:val="20"/>
        </w:rPr>
        <w:tab/>
      </w:r>
      <w:r>
        <w:rPr>
          <w:color w:val="000000"/>
          <w:sz w:val="20"/>
          <w:szCs w:val="20"/>
        </w:rPr>
        <w:tab/>
        <w:t>Interim Poverty Reduction Strategy Paper</w:t>
      </w:r>
    </w:p>
    <w:p w14:paraId="01E791D5" w14:textId="77777777" w:rsidR="0025614E" w:rsidRDefault="0025614E" w:rsidP="0025614E">
      <w:pPr>
        <w:tabs>
          <w:tab w:val="left" w:pos="720"/>
        </w:tabs>
        <w:ind w:left="540" w:hanging="540"/>
        <w:rPr>
          <w:color w:val="000000"/>
          <w:sz w:val="20"/>
          <w:szCs w:val="20"/>
        </w:rPr>
      </w:pPr>
      <w:r>
        <w:rPr>
          <w:color w:val="000000"/>
          <w:sz w:val="20"/>
          <w:szCs w:val="20"/>
        </w:rPr>
        <w:t>ICR</w:t>
      </w:r>
      <w:r>
        <w:rPr>
          <w:color w:val="000000"/>
          <w:sz w:val="20"/>
          <w:szCs w:val="20"/>
        </w:rPr>
        <w:tab/>
      </w:r>
      <w:r>
        <w:rPr>
          <w:color w:val="000000"/>
          <w:sz w:val="20"/>
          <w:szCs w:val="20"/>
        </w:rPr>
        <w:tab/>
        <w:t>Implementation Completion Report</w:t>
      </w:r>
    </w:p>
    <w:p w14:paraId="2BD242DD" w14:textId="77777777" w:rsidR="0025614E" w:rsidRDefault="0025614E" w:rsidP="0025614E">
      <w:pPr>
        <w:tabs>
          <w:tab w:val="left" w:pos="720"/>
        </w:tabs>
        <w:ind w:left="540" w:hanging="540"/>
        <w:rPr>
          <w:color w:val="000000"/>
          <w:sz w:val="20"/>
          <w:szCs w:val="20"/>
        </w:rPr>
      </w:pPr>
      <w:r>
        <w:rPr>
          <w:color w:val="000000"/>
          <w:sz w:val="20"/>
          <w:szCs w:val="20"/>
        </w:rPr>
        <w:t>ICT</w:t>
      </w:r>
      <w:r>
        <w:rPr>
          <w:color w:val="000000"/>
          <w:sz w:val="20"/>
          <w:szCs w:val="20"/>
        </w:rPr>
        <w:tab/>
      </w:r>
      <w:r>
        <w:rPr>
          <w:color w:val="000000"/>
          <w:sz w:val="20"/>
          <w:szCs w:val="20"/>
        </w:rPr>
        <w:tab/>
        <w:t>Information and Communication Technology</w:t>
      </w:r>
    </w:p>
    <w:p w14:paraId="3C5BF1C1" w14:textId="77777777" w:rsidR="0025614E" w:rsidRDefault="0025614E" w:rsidP="0025614E">
      <w:pPr>
        <w:tabs>
          <w:tab w:val="left" w:pos="720"/>
        </w:tabs>
        <w:ind w:left="540" w:hanging="540"/>
        <w:rPr>
          <w:color w:val="000000"/>
          <w:sz w:val="20"/>
          <w:szCs w:val="20"/>
        </w:rPr>
      </w:pPr>
      <w:r>
        <w:rPr>
          <w:color w:val="000000"/>
          <w:sz w:val="20"/>
          <w:szCs w:val="20"/>
        </w:rPr>
        <w:t>IDA</w:t>
      </w:r>
      <w:r>
        <w:rPr>
          <w:color w:val="000000"/>
          <w:sz w:val="20"/>
          <w:szCs w:val="20"/>
        </w:rPr>
        <w:tab/>
      </w:r>
      <w:r>
        <w:rPr>
          <w:color w:val="000000"/>
          <w:sz w:val="20"/>
          <w:szCs w:val="20"/>
        </w:rPr>
        <w:tab/>
        <w:t>International Development Association</w:t>
      </w:r>
    </w:p>
    <w:p w14:paraId="2E563EF3" w14:textId="77777777" w:rsidR="0025614E" w:rsidRDefault="0025614E" w:rsidP="0025614E">
      <w:pPr>
        <w:tabs>
          <w:tab w:val="left" w:pos="720"/>
        </w:tabs>
        <w:ind w:left="540" w:hanging="540"/>
        <w:rPr>
          <w:color w:val="000000"/>
          <w:sz w:val="20"/>
          <w:szCs w:val="20"/>
        </w:rPr>
      </w:pPr>
      <w:r>
        <w:rPr>
          <w:color w:val="000000"/>
          <w:sz w:val="20"/>
          <w:szCs w:val="20"/>
        </w:rPr>
        <w:t>IMF</w:t>
      </w:r>
      <w:r>
        <w:rPr>
          <w:color w:val="000000"/>
          <w:sz w:val="20"/>
          <w:szCs w:val="20"/>
        </w:rPr>
        <w:tab/>
      </w:r>
      <w:r>
        <w:rPr>
          <w:color w:val="000000"/>
          <w:sz w:val="20"/>
          <w:szCs w:val="20"/>
        </w:rPr>
        <w:tab/>
        <w:t>International Monetary Fund</w:t>
      </w:r>
    </w:p>
    <w:p w14:paraId="3DB9AED8" w14:textId="77777777" w:rsidR="0025614E" w:rsidRDefault="0025614E" w:rsidP="0025614E">
      <w:pPr>
        <w:tabs>
          <w:tab w:val="left" w:pos="720"/>
        </w:tabs>
        <w:ind w:left="540" w:hanging="540"/>
        <w:rPr>
          <w:color w:val="000000"/>
          <w:sz w:val="20"/>
          <w:szCs w:val="20"/>
        </w:rPr>
      </w:pPr>
      <w:r>
        <w:rPr>
          <w:color w:val="000000"/>
          <w:sz w:val="20"/>
          <w:szCs w:val="20"/>
        </w:rPr>
        <w:t>ISR</w:t>
      </w:r>
      <w:r>
        <w:rPr>
          <w:color w:val="000000"/>
          <w:sz w:val="20"/>
          <w:szCs w:val="20"/>
        </w:rPr>
        <w:tab/>
      </w:r>
      <w:r>
        <w:rPr>
          <w:color w:val="000000"/>
          <w:sz w:val="20"/>
          <w:szCs w:val="20"/>
        </w:rPr>
        <w:tab/>
      </w:r>
      <w:r>
        <w:rPr>
          <w:color w:val="000000"/>
          <w:sz w:val="20"/>
          <w:szCs w:val="20"/>
        </w:rPr>
        <w:tab/>
        <w:t>Implementation Status Report</w:t>
      </w:r>
    </w:p>
    <w:p w14:paraId="177561A6" w14:textId="77777777" w:rsidR="0025614E" w:rsidRDefault="0025614E" w:rsidP="0025614E">
      <w:pPr>
        <w:tabs>
          <w:tab w:val="left" w:pos="720"/>
        </w:tabs>
        <w:ind w:left="540" w:hanging="540"/>
        <w:rPr>
          <w:color w:val="000000"/>
          <w:sz w:val="20"/>
          <w:szCs w:val="20"/>
        </w:rPr>
      </w:pPr>
      <w:r>
        <w:rPr>
          <w:color w:val="000000"/>
          <w:sz w:val="20"/>
          <w:szCs w:val="20"/>
        </w:rPr>
        <w:t>JSAN</w:t>
      </w:r>
      <w:r>
        <w:rPr>
          <w:color w:val="000000"/>
          <w:sz w:val="20"/>
          <w:szCs w:val="20"/>
        </w:rPr>
        <w:tab/>
      </w:r>
      <w:r>
        <w:rPr>
          <w:color w:val="000000"/>
          <w:sz w:val="20"/>
          <w:szCs w:val="20"/>
        </w:rPr>
        <w:tab/>
      </w:r>
      <w:r>
        <w:rPr>
          <w:color w:val="000000"/>
          <w:sz w:val="20"/>
          <w:szCs w:val="20"/>
        </w:rPr>
        <w:tab/>
        <w:t>Joint Staff Assessment Note</w:t>
      </w:r>
    </w:p>
    <w:p w14:paraId="0D2FD43B" w14:textId="77777777" w:rsidR="0025614E" w:rsidRDefault="0025614E" w:rsidP="0025614E">
      <w:pPr>
        <w:tabs>
          <w:tab w:val="left" w:pos="720"/>
        </w:tabs>
        <w:ind w:left="540" w:hanging="540"/>
        <w:rPr>
          <w:color w:val="000000"/>
          <w:sz w:val="20"/>
          <w:szCs w:val="20"/>
        </w:rPr>
      </w:pPr>
      <w:r>
        <w:rPr>
          <w:color w:val="000000"/>
          <w:sz w:val="20"/>
          <w:szCs w:val="20"/>
        </w:rPr>
        <w:t>LICUS</w:t>
      </w:r>
      <w:r>
        <w:rPr>
          <w:color w:val="000000"/>
          <w:sz w:val="20"/>
          <w:szCs w:val="20"/>
        </w:rPr>
        <w:tab/>
      </w:r>
      <w:r>
        <w:rPr>
          <w:color w:val="000000"/>
          <w:sz w:val="20"/>
          <w:szCs w:val="20"/>
        </w:rPr>
        <w:tab/>
        <w:t>Low Income Countries Under Stress</w:t>
      </w:r>
    </w:p>
    <w:p w14:paraId="7EED9460" w14:textId="77777777" w:rsidR="0025614E" w:rsidRDefault="0025614E" w:rsidP="0025614E">
      <w:pPr>
        <w:tabs>
          <w:tab w:val="left" w:pos="720"/>
        </w:tabs>
        <w:ind w:left="540" w:hanging="540"/>
        <w:rPr>
          <w:color w:val="000000"/>
          <w:sz w:val="20"/>
          <w:szCs w:val="20"/>
        </w:rPr>
      </w:pPr>
      <w:r>
        <w:rPr>
          <w:color w:val="000000"/>
          <w:sz w:val="20"/>
          <w:szCs w:val="20"/>
        </w:rPr>
        <w:t>M&amp;E</w:t>
      </w:r>
      <w:r>
        <w:rPr>
          <w:color w:val="000000"/>
          <w:sz w:val="20"/>
          <w:szCs w:val="20"/>
        </w:rPr>
        <w:tab/>
      </w:r>
      <w:r>
        <w:rPr>
          <w:color w:val="000000"/>
          <w:sz w:val="20"/>
          <w:szCs w:val="20"/>
        </w:rPr>
        <w:tab/>
      </w:r>
      <w:r>
        <w:rPr>
          <w:color w:val="000000"/>
          <w:sz w:val="20"/>
          <w:szCs w:val="20"/>
        </w:rPr>
        <w:tab/>
        <w:t>Monitoring and evaluation</w:t>
      </w:r>
    </w:p>
    <w:p w14:paraId="7B6228DF" w14:textId="77777777" w:rsidR="0025614E" w:rsidRDefault="0025614E" w:rsidP="0025614E">
      <w:pPr>
        <w:tabs>
          <w:tab w:val="left" w:pos="720"/>
        </w:tabs>
        <w:ind w:left="864" w:hanging="864"/>
        <w:rPr>
          <w:color w:val="000000"/>
          <w:sz w:val="20"/>
          <w:szCs w:val="20"/>
        </w:rPr>
      </w:pPr>
      <w:r>
        <w:rPr>
          <w:color w:val="000000"/>
          <w:sz w:val="20"/>
          <w:szCs w:val="20"/>
        </w:rPr>
        <w:t>MDRI</w:t>
      </w:r>
      <w:r>
        <w:rPr>
          <w:color w:val="000000"/>
          <w:sz w:val="20"/>
          <w:szCs w:val="20"/>
        </w:rPr>
        <w:tab/>
      </w:r>
      <w:r>
        <w:rPr>
          <w:color w:val="000000"/>
          <w:sz w:val="20"/>
          <w:szCs w:val="20"/>
        </w:rPr>
        <w:tab/>
        <w:t>Multilateral Debt Relief Initiative</w:t>
      </w:r>
    </w:p>
    <w:p w14:paraId="7FC6F8E8" w14:textId="77777777" w:rsidR="0025614E" w:rsidRDefault="0025614E" w:rsidP="0025614E">
      <w:pPr>
        <w:tabs>
          <w:tab w:val="left" w:pos="720"/>
        </w:tabs>
        <w:ind w:left="864" w:hanging="864"/>
        <w:rPr>
          <w:color w:val="000000"/>
          <w:sz w:val="20"/>
          <w:szCs w:val="20"/>
          <w:lang w:val="fr-FR"/>
        </w:rPr>
      </w:pPr>
      <w:r>
        <w:rPr>
          <w:color w:val="000000"/>
          <w:sz w:val="20"/>
          <w:szCs w:val="20"/>
          <w:lang w:val="fr-FR"/>
        </w:rPr>
        <w:t>NSCT</w:t>
      </w:r>
      <w:r>
        <w:rPr>
          <w:color w:val="000000"/>
          <w:sz w:val="20"/>
          <w:szCs w:val="20"/>
          <w:lang w:val="fr-FR"/>
        </w:rPr>
        <w:tab/>
      </w:r>
      <w:r>
        <w:rPr>
          <w:color w:val="000000"/>
          <w:sz w:val="20"/>
          <w:szCs w:val="20"/>
          <w:lang w:val="fr-FR"/>
        </w:rPr>
        <w:tab/>
      </w:r>
      <w:r>
        <w:rPr>
          <w:i/>
          <w:color w:val="000000"/>
          <w:sz w:val="20"/>
          <w:szCs w:val="20"/>
          <w:lang w:val="fr-FR"/>
        </w:rPr>
        <w:t>La Nouvelle Société Cotonnière du Togo/</w:t>
      </w:r>
      <w:r>
        <w:rPr>
          <w:color w:val="000000"/>
          <w:sz w:val="20"/>
          <w:szCs w:val="20"/>
          <w:lang w:val="fr-FR"/>
        </w:rPr>
        <w:t>The New Cotton Society of Togo</w:t>
      </w:r>
    </w:p>
    <w:p w14:paraId="0F47CCE7" w14:textId="77777777" w:rsidR="0025614E" w:rsidRDefault="0025614E" w:rsidP="0025614E">
      <w:pPr>
        <w:tabs>
          <w:tab w:val="left" w:pos="720"/>
        </w:tabs>
        <w:ind w:left="540" w:hanging="540"/>
        <w:rPr>
          <w:color w:val="000000"/>
          <w:sz w:val="20"/>
          <w:szCs w:val="20"/>
        </w:rPr>
      </w:pPr>
      <w:r>
        <w:rPr>
          <w:color w:val="000000"/>
          <w:sz w:val="20"/>
          <w:szCs w:val="20"/>
        </w:rPr>
        <w:t>PBA</w:t>
      </w:r>
      <w:r>
        <w:rPr>
          <w:color w:val="000000"/>
          <w:sz w:val="20"/>
          <w:szCs w:val="20"/>
        </w:rPr>
        <w:tab/>
      </w:r>
      <w:r>
        <w:rPr>
          <w:color w:val="000000"/>
          <w:sz w:val="20"/>
          <w:szCs w:val="20"/>
        </w:rPr>
        <w:tab/>
      </w:r>
      <w:r>
        <w:rPr>
          <w:color w:val="000000"/>
          <w:sz w:val="20"/>
          <w:szCs w:val="20"/>
        </w:rPr>
        <w:tab/>
        <w:t>Performance Based Allocation</w:t>
      </w:r>
    </w:p>
    <w:p w14:paraId="508C6DB1" w14:textId="77777777" w:rsidR="0025614E" w:rsidRDefault="0025614E" w:rsidP="0025614E">
      <w:pPr>
        <w:tabs>
          <w:tab w:val="left" w:pos="720"/>
        </w:tabs>
        <w:ind w:left="860" w:hanging="860"/>
        <w:rPr>
          <w:color w:val="000000"/>
          <w:sz w:val="20"/>
          <w:szCs w:val="20"/>
        </w:rPr>
      </w:pPr>
      <w:r>
        <w:rPr>
          <w:color w:val="000000"/>
          <w:sz w:val="20"/>
          <w:szCs w:val="20"/>
        </w:rPr>
        <w:t>PEM</w:t>
      </w:r>
      <w:r>
        <w:rPr>
          <w:color w:val="000000"/>
          <w:sz w:val="20"/>
          <w:szCs w:val="20"/>
        </w:rPr>
        <w:tab/>
      </w:r>
      <w:r>
        <w:rPr>
          <w:color w:val="000000"/>
          <w:sz w:val="20"/>
          <w:szCs w:val="20"/>
        </w:rPr>
        <w:tab/>
        <w:t>Public Expenditure Management</w:t>
      </w:r>
    </w:p>
    <w:p w14:paraId="36590CD9" w14:textId="77777777" w:rsidR="0025614E" w:rsidRDefault="0025614E" w:rsidP="0025614E">
      <w:pPr>
        <w:tabs>
          <w:tab w:val="left" w:pos="720"/>
        </w:tabs>
        <w:ind w:left="860" w:hanging="860"/>
        <w:rPr>
          <w:color w:val="000000"/>
          <w:sz w:val="20"/>
          <w:szCs w:val="20"/>
        </w:rPr>
      </w:pPr>
      <w:r>
        <w:rPr>
          <w:color w:val="000000"/>
          <w:sz w:val="20"/>
          <w:szCs w:val="20"/>
        </w:rPr>
        <w:t>PEMFAR</w:t>
      </w:r>
      <w:r>
        <w:rPr>
          <w:color w:val="000000"/>
          <w:sz w:val="20"/>
          <w:szCs w:val="20"/>
        </w:rPr>
        <w:tab/>
        <w:t xml:space="preserve">Public Expenditure Management and Financial Accountability Review </w:t>
      </w:r>
    </w:p>
    <w:p w14:paraId="114EA9BE" w14:textId="77777777" w:rsidR="0025614E" w:rsidRDefault="0025614E" w:rsidP="0025614E">
      <w:pPr>
        <w:tabs>
          <w:tab w:val="left" w:pos="720"/>
        </w:tabs>
        <w:ind w:left="540" w:hanging="540"/>
        <w:rPr>
          <w:color w:val="000000"/>
          <w:sz w:val="20"/>
          <w:szCs w:val="20"/>
        </w:rPr>
      </w:pPr>
      <w:r>
        <w:rPr>
          <w:color w:val="000000"/>
          <w:sz w:val="20"/>
          <w:szCs w:val="20"/>
        </w:rPr>
        <w:t>PER</w:t>
      </w:r>
      <w:r>
        <w:rPr>
          <w:color w:val="000000"/>
          <w:sz w:val="20"/>
          <w:szCs w:val="20"/>
        </w:rPr>
        <w:tab/>
      </w:r>
      <w:r>
        <w:rPr>
          <w:color w:val="000000"/>
          <w:sz w:val="20"/>
          <w:szCs w:val="20"/>
        </w:rPr>
        <w:tab/>
      </w:r>
      <w:r>
        <w:rPr>
          <w:color w:val="000000"/>
          <w:sz w:val="20"/>
          <w:szCs w:val="20"/>
        </w:rPr>
        <w:tab/>
        <w:t>Public Expenditure Review</w:t>
      </w:r>
    </w:p>
    <w:p w14:paraId="11D28763" w14:textId="77777777" w:rsidR="0025614E" w:rsidRDefault="0025614E" w:rsidP="0025614E">
      <w:pPr>
        <w:tabs>
          <w:tab w:val="left" w:pos="720"/>
        </w:tabs>
        <w:ind w:left="540" w:hanging="540"/>
        <w:rPr>
          <w:color w:val="000000"/>
          <w:sz w:val="20"/>
          <w:szCs w:val="20"/>
        </w:rPr>
      </w:pPr>
      <w:r>
        <w:rPr>
          <w:color w:val="000000"/>
          <w:sz w:val="20"/>
          <w:szCs w:val="20"/>
        </w:rPr>
        <w:t>PFM</w:t>
      </w:r>
      <w:r>
        <w:rPr>
          <w:color w:val="000000"/>
          <w:sz w:val="20"/>
          <w:szCs w:val="20"/>
        </w:rPr>
        <w:tab/>
      </w:r>
      <w:r>
        <w:rPr>
          <w:color w:val="000000"/>
          <w:sz w:val="20"/>
          <w:szCs w:val="20"/>
        </w:rPr>
        <w:tab/>
      </w:r>
      <w:r>
        <w:rPr>
          <w:color w:val="000000"/>
          <w:sz w:val="20"/>
          <w:szCs w:val="20"/>
        </w:rPr>
        <w:tab/>
        <w:t>Public Financial Management</w:t>
      </w:r>
    </w:p>
    <w:p w14:paraId="54A09EA1" w14:textId="77777777" w:rsidR="0025614E" w:rsidRDefault="0025614E" w:rsidP="0025614E">
      <w:pPr>
        <w:tabs>
          <w:tab w:val="left" w:pos="720"/>
        </w:tabs>
        <w:ind w:left="540" w:hanging="540"/>
        <w:rPr>
          <w:color w:val="000000"/>
          <w:sz w:val="20"/>
          <w:szCs w:val="20"/>
        </w:rPr>
      </w:pPr>
      <w:r>
        <w:rPr>
          <w:color w:val="000000"/>
          <w:sz w:val="20"/>
          <w:szCs w:val="20"/>
        </w:rPr>
        <w:t>PPP</w:t>
      </w:r>
      <w:r>
        <w:rPr>
          <w:color w:val="000000"/>
          <w:sz w:val="20"/>
          <w:szCs w:val="20"/>
        </w:rPr>
        <w:tab/>
      </w:r>
      <w:r>
        <w:rPr>
          <w:color w:val="000000"/>
          <w:sz w:val="20"/>
          <w:szCs w:val="20"/>
        </w:rPr>
        <w:tab/>
      </w:r>
      <w:r>
        <w:rPr>
          <w:color w:val="000000"/>
          <w:sz w:val="20"/>
          <w:szCs w:val="20"/>
        </w:rPr>
        <w:tab/>
        <w:t>Public Private Partnership</w:t>
      </w:r>
    </w:p>
    <w:p w14:paraId="30F27323" w14:textId="77777777" w:rsidR="0025614E" w:rsidRDefault="0025614E" w:rsidP="0025614E">
      <w:pPr>
        <w:tabs>
          <w:tab w:val="left" w:pos="720"/>
        </w:tabs>
        <w:ind w:left="540" w:hanging="540"/>
        <w:rPr>
          <w:color w:val="000000"/>
          <w:sz w:val="20"/>
          <w:szCs w:val="20"/>
        </w:rPr>
      </w:pPr>
      <w:r>
        <w:rPr>
          <w:color w:val="000000"/>
          <w:sz w:val="20"/>
          <w:szCs w:val="20"/>
        </w:rPr>
        <w:t>PRSC</w:t>
      </w:r>
      <w:r>
        <w:rPr>
          <w:color w:val="000000"/>
          <w:sz w:val="20"/>
          <w:szCs w:val="20"/>
        </w:rPr>
        <w:tab/>
      </w:r>
      <w:r>
        <w:rPr>
          <w:color w:val="000000"/>
          <w:sz w:val="20"/>
          <w:szCs w:val="20"/>
        </w:rPr>
        <w:tab/>
      </w:r>
      <w:r>
        <w:rPr>
          <w:color w:val="000000"/>
          <w:sz w:val="20"/>
          <w:szCs w:val="20"/>
        </w:rPr>
        <w:tab/>
        <w:t>Poverty Reduction Support Credit</w:t>
      </w:r>
    </w:p>
    <w:p w14:paraId="6037C7BA" w14:textId="77777777" w:rsidR="0025614E" w:rsidRDefault="0025614E" w:rsidP="0025614E">
      <w:pPr>
        <w:tabs>
          <w:tab w:val="left" w:pos="720"/>
        </w:tabs>
        <w:ind w:left="540" w:hanging="540"/>
        <w:rPr>
          <w:color w:val="000000"/>
          <w:sz w:val="20"/>
          <w:szCs w:val="20"/>
        </w:rPr>
      </w:pPr>
      <w:r>
        <w:rPr>
          <w:color w:val="000000"/>
          <w:sz w:val="20"/>
          <w:szCs w:val="20"/>
        </w:rPr>
        <w:t>PRSP</w:t>
      </w:r>
      <w:r>
        <w:rPr>
          <w:color w:val="000000"/>
          <w:sz w:val="20"/>
          <w:szCs w:val="20"/>
        </w:rPr>
        <w:tab/>
      </w:r>
      <w:r>
        <w:rPr>
          <w:color w:val="000000"/>
          <w:sz w:val="20"/>
          <w:szCs w:val="20"/>
        </w:rPr>
        <w:tab/>
      </w:r>
      <w:r>
        <w:rPr>
          <w:color w:val="000000"/>
          <w:sz w:val="20"/>
          <w:szCs w:val="20"/>
        </w:rPr>
        <w:tab/>
        <w:t>Poverty Reduction Strategy Paper</w:t>
      </w:r>
    </w:p>
    <w:p w14:paraId="56F60562" w14:textId="77777777" w:rsidR="0025614E" w:rsidRDefault="0025614E" w:rsidP="0025614E">
      <w:pPr>
        <w:tabs>
          <w:tab w:val="left" w:pos="720"/>
        </w:tabs>
        <w:ind w:left="860" w:hanging="860"/>
        <w:rPr>
          <w:color w:val="000000"/>
          <w:sz w:val="20"/>
          <w:szCs w:val="20"/>
        </w:rPr>
      </w:pPr>
      <w:r>
        <w:rPr>
          <w:color w:val="000000"/>
          <w:sz w:val="20"/>
          <w:szCs w:val="20"/>
        </w:rPr>
        <w:t>PRSP PR</w:t>
      </w:r>
      <w:r>
        <w:rPr>
          <w:color w:val="000000"/>
          <w:sz w:val="20"/>
          <w:szCs w:val="20"/>
        </w:rPr>
        <w:tab/>
        <w:t>Poverty Reduction Strategy Paper Progress Report</w:t>
      </w:r>
    </w:p>
    <w:p w14:paraId="37396023" w14:textId="77777777" w:rsidR="0025614E" w:rsidRDefault="0025614E" w:rsidP="0025614E">
      <w:pPr>
        <w:tabs>
          <w:tab w:val="left" w:pos="720"/>
        </w:tabs>
        <w:ind w:left="860" w:hanging="860"/>
        <w:rPr>
          <w:color w:val="000000"/>
          <w:sz w:val="20"/>
          <w:szCs w:val="20"/>
          <w:lang w:val="fr-FR"/>
        </w:rPr>
      </w:pPr>
      <w:r>
        <w:rPr>
          <w:color w:val="000000"/>
          <w:sz w:val="20"/>
          <w:szCs w:val="20"/>
          <w:lang w:val="fr-FR"/>
        </w:rPr>
        <w:t>QUIBB</w:t>
      </w:r>
      <w:r>
        <w:rPr>
          <w:color w:val="000000"/>
          <w:sz w:val="20"/>
          <w:szCs w:val="20"/>
          <w:lang w:val="fr-FR"/>
        </w:rPr>
        <w:tab/>
      </w:r>
      <w:r>
        <w:rPr>
          <w:color w:val="000000"/>
          <w:sz w:val="20"/>
          <w:szCs w:val="20"/>
          <w:lang w:val="fr-FR"/>
        </w:rPr>
        <w:tab/>
      </w:r>
      <w:r>
        <w:rPr>
          <w:i/>
          <w:color w:val="000000"/>
          <w:sz w:val="20"/>
          <w:szCs w:val="20"/>
          <w:lang w:val="fr-FR"/>
        </w:rPr>
        <w:t>Questionnaire des Indicateurs de Base du Bien-être</w:t>
      </w:r>
      <w:r>
        <w:rPr>
          <w:color w:val="000000"/>
          <w:sz w:val="20"/>
          <w:szCs w:val="20"/>
          <w:lang w:val="fr-FR"/>
        </w:rPr>
        <w:t>/household welfare – and consumption survey</w:t>
      </w:r>
    </w:p>
    <w:p w14:paraId="2F29E8E5" w14:textId="77777777" w:rsidR="0025614E" w:rsidRDefault="0025614E" w:rsidP="0025614E">
      <w:pPr>
        <w:tabs>
          <w:tab w:val="left" w:pos="720"/>
        </w:tabs>
        <w:ind w:left="860" w:hanging="860"/>
        <w:rPr>
          <w:color w:val="000000"/>
          <w:sz w:val="20"/>
          <w:szCs w:val="20"/>
          <w:lang w:val="fr-FR"/>
        </w:rPr>
      </w:pPr>
      <w:r>
        <w:rPr>
          <w:color w:val="000000"/>
          <w:sz w:val="20"/>
          <w:szCs w:val="20"/>
          <w:lang w:val="fr-FR"/>
        </w:rPr>
        <w:t>SCAPE</w:t>
      </w:r>
      <w:r>
        <w:rPr>
          <w:color w:val="000000"/>
          <w:sz w:val="20"/>
          <w:szCs w:val="20"/>
          <w:lang w:val="fr-FR"/>
        </w:rPr>
        <w:tab/>
      </w:r>
      <w:r>
        <w:rPr>
          <w:color w:val="000000"/>
          <w:sz w:val="20"/>
          <w:szCs w:val="20"/>
          <w:lang w:val="fr-FR"/>
        </w:rPr>
        <w:tab/>
      </w:r>
      <w:r>
        <w:rPr>
          <w:i/>
          <w:sz w:val="20"/>
          <w:szCs w:val="20"/>
          <w:lang w:val="fr-FR"/>
        </w:rPr>
        <w:t>Stratégie de Croissance Accélérée et de Promotion de l’Emploi/Strategy for accelerated growth and job creation</w:t>
      </w:r>
    </w:p>
    <w:p w14:paraId="75D86C49" w14:textId="77777777" w:rsidR="0025614E" w:rsidRDefault="0025614E" w:rsidP="0025614E">
      <w:pPr>
        <w:tabs>
          <w:tab w:val="left" w:pos="720"/>
        </w:tabs>
        <w:ind w:left="540" w:hanging="540"/>
        <w:rPr>
          <w:color w:val="000000"/>
          <w:sz w:val="20"/>
          <w:szCs w:val="20"/>
        </w:rPr>
      </w:pPr>
      <w:r>
        <w:rPr>
          <w:color w:val="000000"/>
          <w:sz w:val="20"/>
          <w:szCs w:val="20"/>
        </w:rPr>
        <w:t>SDR</w:t>
      </w:r>
      <w:r>
        <w:rPr>
          <w:color w:val="000000"/>
          <w:sz w:val="20"/>
          <w:szCs w:val="20"/>
        </w:rPr>
        <w:tab/>
      </w:r>
      <w:r>
        <w:rPr>
          <w:color w:val="000000"/>
          <w:sz w:val="20"/>
          <w:szCs w:val="20"/>
        </w:rPr>
        <w:tab/>
      </w:r>
      <w:r>
        <w:rPr>
          <w:color w:val="000000"/>
          <w:sz w:val="20"/>
          <w:szCs w:val="20"/>
        </w:rPr>
        <w:tab/>
        <w:t>Special Drawing Rights</w:t>
      </w:r>
    </w:p>
    <w:p w14:paraId="0ABF1739" w14:textId="77777777" w:rsidR="0025614E" w:rsidRDefault="0025614E" w:rsidP="0025614E">
      <w:pPr>
        <w:tabs>
          <w:tab w:val="left" w:pos="720"/>
        </w:tabs>
        <w:ind w:left="860" w:hanging="860"/>
        <w:rPr>
          <w:color w:val="000000"/>
          <w:sz w:val="20"/>
          <w:szCs w:val="20"/>
        </w:rPr>
      </w:pPr>
      <w:r>
        <w:rPr>
          <w:color w:val="000000"/>
          <w:sz w:val="20"/>
          <w:szCs w:val="20"/>
        </w:rPr>
        <w:t>SIGFIP</w:t>
      </w:r>
      <w:r>
        <w:rPr>
          <w:color w:val="000000"/>
          <w:sz w:val="20"/>
          <w:szCs w:val="20"/>
        </w:rPr>
        <w:tab/>
      </w:r>
      <w:r>
        <w:rPr>
          <w:color w:val="000000"/>
          <w:sz w:val="20"/>
          <w:szCs w:val="20"/>
        </w:rPr>
        <w:tab/>
        <w:t xml:space="preserve">Integrated System of Public Finance Management </w:t>
      </w:r>
    </w:p>
    <w:p w14:paraId="5FEA8BFE" w14:textId="77777777" w:rsidR="0025614E" w:rsidRDefault="0025614E" w:rsidP="0025614E">
      <w:pPr>
        <w:tabs>
          <w:tab w:val="left" w:pos="720"/>
        </w:tabs>
        <w:ind w:left="860" w:hanging="860"/>
        <w:rPr>
          <w:color w:val="000000"/>
          <w:sz w:val="20"/>
          <w:szCs w:val="20"/>
          <w:lang w:val="fr-FR"/>
        </w:rPr>
      </w:pPr>
      <w:r>
        <w:rPr>
          <w:color w:val="000000"/>
          <w:sz w:val="20"/>
          <w:szCs w:val="20"/>
          <w:lang w:val="fr-FR"/>
        </w:rPr>
        <w:t>SNPT</w:t>
      </w:r>
      <w:r>
        <w:rPr>
          <w:color w:val="000000"/>
          <w:sz w:val="20"/>
          <w:szCs w:val="20"/>
          <w:lang w:val="fr-FR"/>
        </w:rPr>
        <w:tab/>
      </w:r>
      <w:r>
        <w:rPr>
          <w:color w:val="000000"/>
          <w:sz w:val="20"/>
          <w:szCs w:val="20"/>
          <w:lang w:val="fr-FR"/>
        </w:rPr>
        <w:tab/>
      </w:r>
      <w:r>
        <w:rPr>
          <w:i/>
          <w:color w:val="000000"/>
          <w:sz w:val="20"/>
          <w:szCs w:val="20"/>
          <w:lang w:val="fr-FR"/>
        </w:rPr>
        <w:t>Société Nationale des Phosphates du Togo/</w:t>
      </w:r>
      <w:r>
        <w:rPr>
          <w:color w:val="000000"/>
          <w:sz w:val="20"/>
          <w:szCs w:val="20"/>
          <w:lang w:val="fr-FR"/>
        </w:rPr>
        <w:t>Togo National Company of Phosphates</w:t>
      </w:r>
    </w:p>
    <w:p w14:paraId="44098882" w14:textId="77777777" w:rsidR="0025614E" w:rsidRDefault="0025614E" w:rsidP="0025614E">
      <w:pPr>
        <w:tabs>
          <w:tab w:val="left" w:pos="720"/>
        </w:tabs>
        <w:ind w:left="860" w:hanging="860"/>
        <w:rPr>
          <w:color w:val="000000"/>
          <w:sz w:val="20"/>
          <w:szCs w:val="20"/>
          <w:lang w:val="fr-FR"/>
        </w:rPr>
      </w:pPr>
      <w:r>
        <w:rPr>
          <w:color w:val="000000"/>
          <w:sz w:val="20"/>
          <w:szCs w:val="20"/>
          <w:lang w:val="fr-FR"/>
        </w:rPr>
        <w:t>SOTOCO</w:t>
      </w:r>
      <w:r>
        <w:rPr>
          <w:color w:val="000000"/>
          <w:sz w:val="20"/>
          <w:szCs w:val="20"/>
          <w:lang w:val="fr-FR"/>
        </w:rPr>
        <w:tab/>
      </w:r>
      <w:r>
        <w:rPr>
          <w:i/>
          <w:color w:val="000000"/>
          <w:sz w:val="20"/>
          <w:szCs w:val="20"/>
          <w:lang w:val="fr-FR"/>
        </w:rPr>
        <w:t>Société Togolaise de Coton</w:t>
      </w:r>
      <w:r>
        <w:rPr>
          <w:color w:val="000000"/>
          <w:sz w:val="20"/>
          <w:szCs w:val="20"/>
          <w:lang w:val="fr-FR"/>
        </w:rPr>
        <w:t xml:space="preserve">/Togolese Cotton Enterprise </w:t>
      </w:r>
    </w:p>
    <w:p w14:paraId="3CC6B905" w14:textId="77777777" w:rsidR="0025614E" w:rsidRDefault="0025614E" w:rsidP="0025614E">
      <w:pPr>
        <w:tabs>
          <w:tab w:val="left" w:pos="720"/>
        </w:tabs>
        <w:ind w:left="540" w:hanging="540"/>
        <w:rPr>
          <w:color w:val="000000"/>
          <w:sz w:val="20"/>
          <w:szCs w:val="20"/>
        </w:rPr>
      </w:pPr>
      <w:r>
        <w:rPr>
          <w:color w:val="000000"/>
          <w:sz w:val="20"/>
          <w:szCs w:val="20"/>
        </w:rPr>
        <w:t>TA</w:t>
      </w:r>
      <w:r>
        <w:rPr>
          <w:color w:val="000000"/>
          <w:sz w:val="20"/>
          <w:szCs w:val="20"/>
        </w:rPr>
        <w:tab/>
      </w:r>
      <w:r>
        <w:rPr>
          <w:color w:val="000000"/>
          <w:sz w:val="20"/>
          <w:szCs w:val="20"/>
        </w:rPr>
        <w:tab/>
      </w:r>
      <w:r>
        <w:rPr>
          <w:color w:val="000000"/>
          <w:sz w:val="20"/>
          <w:szCs w:val="20"/>
        </w:rPr>
        <w:tab/>
        <w:t>Technical Assistance</w:t>
      </w:r>
    </w:p>
    <w:p w14:paraId="2EB4CDD5" w14:textId="77777777" w:rsidR="0025614E" w:rsidRDefault="0025614E" w:rsidP="0025614E">
      <w:pPr>
        <w:tabs>
          <w:tab w:val="left" w:pos="720"/>
        </w:tabs>
        <w:ind w:left="540" w:hanging="540"/>
        <w:rPr>
          <w:color w:val="000000"/>
          <w:sz w:val="20"/>
          <w:szCs w:val="20"/>
        </w:rPr>
      </w:pPr>
      <w:r>
        <w:rPr>
          <w:color w:val="000000"/>
          <w:sz w:val="20"/>
          <w:szCs w:val="20"/>
        </w:rPr>
        <w:t>TF</w:t>
      </w:r>
      <w:r>
        <w:rPr>
          <w:color w:val="000000"/>
          <w:sz w:val="20"/>
          <w:szCs w:val="20"/>
        </w:rPr>
        <w:tab/>
      </w:r>
      <w:r>
        <w:rPr>
          <w:color w:val="000000"/>
          <w:sz w:val="20"/>
          <w:szCs w:val="20"/>
        </w:rPr>
        <w:tab/>
      </w:r>
      <w:r>
        <w:rPr>
          <w:color w:val="000000"/>
          <w:sz w:val="20"/>
          <w:szCs w:val="20"/>
        </w:rPr>
        <w:tab/>
        <w:t>Trust Fund</w:t>
      </w:r>
    </w:p>
    <w:p w14:paraId="69493620" w14:textId="77777777" w:rsidR="0025614E" w:rsidRDefault="0025614E" w:rsidP="0025614E">
      <w:pPr>
        <w:tabs>
          <w:tab w:val="left" w:pos="720"/>
        </w:tabs>
        <w:ind w:left="540" w:hanging="540"/>
        <w:rPr>
          <w:color w:val="000000"/>
          <w:sz w:val="20"/>
          <w:szCs w:val="20"/>
        </w:rPr>
      </w:pPr>
      <w:r>
        <w:rPr>
          <w:color w:val="000000"/>
          <w:sz w:val="20"/>
          <w:szCs w:val="20"/>
        </w:rPr>
        <w:t>VAT</w:t>
      </w:r>
      <w:r>
        <w:rPr>
          <w:color w:val="000000"/>
          <w:sz w:val="20"/>
          <w:szCs w:val="20"/>
        </w:rPr>
        <w:tab/>
      </w:r>
      <w:r>
        <w:rPr>
          <w:color w:val="000000"/>
          <w:sz w:val="20"/>
          <w:szCs w:val="20"/>
        </w:rPr>
        <w:tab/>
      </w:r>
      <w:r>
        <w:rPr>
          <w:color w:val="000000"/>
          <w:sz w:val="20"/>
          <w:szCs w:val="20"/>
        </w:rPr>
        <w:tab/>
        <w:t>Value Added Tax</w:t>
      </w:r>
    </w:p>
    <w:p w14:paraId="38AE49FC" w14:textId="77777777" w:rsidR="0025614E" w:rsidRDefault="0025614E" w:rsidP="0025614E">
      <w:pPr>
        <w:tabs>
          <w:tab w:val="left" w:pos="720"/>
        </w:tabs>
        <w:ind w:left="540" w:hanging="540"/>
        <w:rPr>
          <w:color w:val="000000"/>
          <w:sz w:val="20"/>
          <w:szCs w:val="20"/>
        </w:rPr>
      </w:pPr>
      <w:r>
        <w:rPr>
          <w:color w:val="000000"/>
          <w:sz w:val="20"/>
          <w:szCs w:val="20"/>
        </w:rPr>
        <w:t>WB</w:t>
      </w:r>
      <w:r>
        <w:rPr>
          <w:color w:val="000000"/>
          <w:sz w:val="20"/>
          <w:szCs w:val="20"/>
        </w:rPr>
        <w:tab/>
      </w:r>
      <w:r>
        <w:rPr>
          <w:color w:val="000000"/>
          <w:sz w:val="20"/>
          <w:szCs w:val="20"/>
        </w:rPr>
        <w:tab/>
      </w:r>
      <w:r>
        <w:rPr>
          <w:color w:val="000000"/>
          <w:sz w:val="20"/>
          <w:szCs w:val="20"/>
        </w:rPr>
        <w:tab/>
        <w:t>World Bank</w:t>
      </w:r>
    </w:p>
    <w:p w14:paraId="115912A7" w14:textId="77777777" w:rsidR="0025614E" w:rsidRDefault="0025614E" w:rsidP="0025614E">
      <w:pPr>
        <w:tabs>
          <w:tab w:val="left" w:pos="720"/>
        </w:tabs>
        <w:rPr>
          <w:color w:val="000000"/>
          <w:sz w:val="20"/>
          <w:szCs w:val="20"/>
        </w:rPr>
      </w:pPr>
    </w:p>
    <w:p w14:paraId="212D5CCC" w14:textId="77777777" w:rsidR="0025614E" w:rsidRDefault="0025614E" w:rsidP="0025614E">
      <w:pPr>
        <w:rPr>
          <w:color w:val="000000"/>
          <w:sz w:val="20"/>
          <w:szCs w:val="20"/>
        </w:rPr>
        <w:sectPr w:rsidR="0025614E">
          <w:type w:val="continuous"/>
          <w:pgSz w:w="12240" w:h="15840"/>
          <w:pgMar w:top="1080" w:right="1440" w:bottom="1080" w:left="1440" w:header="720" w:footer="720" w:gutter="0"/>
          <w:cols w:num="2" w:space="288"/>
        </w:sectPr>
      </w:pPr>
    </w:p>
    <w:p w14:paraId="644DC690" w14:textId="77777777" w:rsidR="0025614E" w:rsidRDefault="0025614E" w:rsidP="0025614E">
      <w:pPr>
        <w:ind w:left="360" w:hanging="360"/>
        <w:rPr>
          <w:color w:val="000000"/>
          <w:sz w:val="20"/>
          <w:szCs w:val="20"/>
        </w:rPr>
      </w:pPr>
    </w:p>
    <w:p w14:paraId="16C774F5" w14:textId="77777777" w:rsidR="0025614E" w:rsidRDefault="0025614E" w:rsidP="0025614E">
      <w:pPr>
        <w:ind w:left="360" w:hanging="360"/>
        <w:rPr>
          <w:color w:val="000000"/>
          <w:sz w:val="20"/>
          <w:szCs w:val="20"/>
        </w:rPr>
      </w:pPr>
    </w:p>
    <w:p w14:paraId="7CDE8B08" w14:textId="77777777" w:rsidR="0025614E" w:rsidRDefault="0025614E" w:rsidP="0025614E">
      <w:pPr>
        <w:ind w:left="360" w:hanging="360"/>
        <w:rPr>
          <w:color w:val="000000"/>
          <w:sz w:val="20"/>
          <w:szCs w:val="20"/>
        </w:rPr>
      </w:pPr>
      <w:r>
        <w:rPr>
          <w:color w:val="000000"/>
          <w:sz w:val="20"/>
          <w:szCs w:val="20"/>
        </w:rPr>
        <w:t>$ refers to the US dollar.</w:t>
      </w:r>
    </w:p>
    <w:p w14:paraId="00889C4F" w14:textId="77777777" w:rsidR="0025614E" w:rsidRDefault="0025614E" w:rsidP="0025614E">
      <w:pPr>
        <w:ind w:left="360" w:hanging="360"/>
        <w:rPr>
          <w:color w:val="000000"/>
          <w:sz w:val="20"/>
          <w:szCs w:val="20"/>
        </w:rPr>
      </w:pPr>
    </w:p>
    <w:p w14:paraId="13E1337B" w14:textId="77777777" w:rsidR="0025614E" w:rsidRDefault="0025614E" w:rsidP="0025614E">
      <w:pPr>
        <w:ind w:left="360" w:hanging="360"/>
        <w:rPr>
          <w:color w:val="000000"/>
          <w:sz w:val="20"/>
          <w:szCs w:val="20"/>
        </w:rPr>
      </w:pPr>
    </w:p>
    <w:p w14:paraId="4180B2AD" w14:textId="77777777" w:rsidR="0025614E" w:rsidRDefault="0025614E" w:rsidP="0025614E">
      <w:pPr>
        <w:rPr>
          <w:color w:val="000000"/>
          <w:sz w:val="20"/>
          <w:szCs w:val="20"/>
        </w:rPr>
        <w:sectPr w:rsidR="0025614E">
          <w:type w:val="continuous"/>
          <w:pgSz w:w="12240" w:h="15840"/>
          <w:pgMar w:top="1080" w:right="1440" w:bottom="1080" w:left="1440" w:header="720" w:footer="720" w:gutter="0"/>
          <w:cols w:num="2" w:space="288"/>
        </w:sectPr>
      </w:pPr>
    </w:p>
    <w:p w14:paraId="015376A6" w14:textId="77777777" w:rsidR="0025614E" w:rsidRDefault="0025614E" w:rsidP="0025614E">
      <w:pPr>
        <w:ind w:left="360" w:hanging="360"/>
        <w:rPr>
          <w:color w:val="000000"/>
          <w:sz w:val="20"/>
          <w:szCs w:val="20"/>
        </w:rPr>
      </w:pPr>
    </w:p>
    <w:p w14:paraId="79FB675D" w14:textId="77777777" w:rsidR="0025614E" w:rsidRDefault="0025614E" w:rsidP="0025614E">
      <w:pPr>
        <w:ind w:left="360" w:hanging="360"/>
        <w:rPr>
          <w:color w:val="000000"/>
          <w:sz w:val="20"/>
          <w:szCs w:val="20"/>
        </w:rPr>
      </w:pPr>
    </w:p>
    <w:p w14:paraId="3CB9494E" w14:textId="77777777" w:rsidR="0025614E" w:rsidRDefault="0025614E" w:rsidP="0025614E">
      <w:pPr>
        <w:ind w:left="360" w:hanging="360"/>
        <w:rPr>
          <w:color w:val="000000"/>
          <w:sz w:val="16"/>
          <w:szCs w:val="24"/>
        </w:rPr>
      </w:pPr>
    </w:p>
    <w:p w14:paraId="2B3E17B8" w14:textId="77777777" w:rsidR="0025614E" w:rsidRDefault="0025614E" w:rsidP="0025614E">
      <w:pPr>
        <w:rPr>
          <w:color w:val="000000"/>
          <w:sz w:val="16"/>
        </w:rPr>
        <w:sectPr w:rsidR="0025614E">
          <w:type w:val="continuous"/>
          <w:pgSz w:w="12240" w:h="15840"/>
          <w:pgMar w:top="1080" w:right="1440" w:bottom="1080" w:left="1440" w:header="720" w:footer="720" w:gutter="0"/>
          <w:cols w:num="2" w:space="720"/>
        </w:sectPr>
      </w:pPr>
    </w:p>
    <w:p w14:paraId="0820B448" w14:textId="77777777" w:rsidR="0025614E" w:rsidRPr="008B4B5A" w:rsidRDefault="0025614E" w:rsidP="008B4B5A">
      <w:pPr>
        <w:pStyle w:val="ListParagraph"/>
        <w:numPr>
          <w:ilvl w:val="0"/>
          <w:numId w:val="36"/>
        </w:numPr>
        <w:jc w:val="center"/>
        <w:rPr>
          <w:rFonts w:ascii="Times New Roman Bold" w:eastAsia="Calibri" w:hAnsi="Times New Roman Bold" w:cs="Times New Roman"/>
          <w:b/>
          <w:caps/>
          <w:color w:val="000000"/>
          <w:sz w:val="24"/>
          <w:szCs w:val="24"/>
        </w:rPr>
      </w:pPr>
      <w:bookmarkStart w:id="44" w:name="_Toc477430681"/>
      <w:r w:rsidRPr="008B4B5A">
        <w:rPr>
          <w:rFonts w:ascii="Times New Roman Bold" w:eastAsia="Calibri" w:hAnsi="Times New Roman Bold" w:cs="Times New Roman"/>
          <w:b/>
          <w:caps/>
          <w:color w:val="000000"/>
          <w:sz w:val="24"/>
          <w:szCs w:val="24"/>
        </w:rPr>
        <w:lastRenderedPageBreak/>
        <w:t>Introduction</w:t>
      </w:r>
      <w:bookmarkEnd w:id="44"/>
    </w:p>
    <w:p w14:paraId="24721095" w14:textId="77777777" w:rsidR="008B4B5A" w:rsidRPr="008B4B5A" w:rsidRDefault="008B4B5A" w:rsidP="008B4B5A">
      <w:pPr>
        <w:ind w:left="360" w:hanging="360"/>
        <w:jc w:val="center"/>
        <w:rPr>
          <w:rFonts w:ascii="Times New Roman Bold" w:eastAsia="Calibri" w:hAnsi="Times New Roman Bold" w:cs="Times New Roman"/>
          <w:b/>
          <w:caps/>
          <w:color w:val="000000"/>
          <w:sz w:val="24"/>
          <w:szCs w:val="24"/>
        </w:rPr>
      </w:pPr>
    </w:p>
    <w:p w14:paraId="69B0D7BD" w14:textId="77777777" w:rsidR="0025614E" w:rsidRDefault="0025614E" w:rsidP="0025614E">
      <w:pPr>
        <w:pStyle w:val="ListParagraph"/>
        <w:numPr>
          <w:ilvl w:val="0"/>
          <w:numId w:val="18"/>
        </w:numPr>
        <w:spacing w:after="240"/>
        <w:contextualSpacing w:val="0"/>
        <w:jc w:val="both"/>
      </w:pPr>
      <w:r>
        <w:rPr>
          <w:b/>
          <w:i/>
        </w:rPr>
        <w:t xml:space="preserve">This Completion and Learning Review (CLR) evaluates World Bank Group (WBG) programs and performance in the Republic of Togo from fiscal year (FY) 2008 to the present. </w:t>
      </w:r>
      <w:r>
        <w:t>The most recent WBG Country Assistance Strategy for the Republic of Togo was prepared in 1995. In 2008, following a six-year suspension in International Development Association (IDA) financing, the WBG fully reengaged in Togo and prepared two successive Interim Strategy Notes (ISNs) for FY2008–10 and for FY2012–13. Based on a review of the operational support, technical assistance, and knowledge and coordination services provided by the WBG under the two ISNs,</w:t>
      </w:r>
      <w:r>
        <w:rPr>
          <w:rStyle w:val="FootnoteReference"/>
          <w:color w:val="000000"/>
        </w:rPr>
        <w:footnoteReference w:id="16"/>
      </w:r>
      <w:r>
        <w:t xml:space="preserve"> this CLR assesses the extent to which expected outcomes were achieved, evaluates the WBG’s performance in designing and implementing the ISN programs, and draws lessons for the preparation of the forthcoming Country Partnership Framework for FY2017–20. </w:t>
      </w:r>
    </w:p>
    <w:p w14:paraId="40516698" w14:textId="77777777" w:rsidR="0025614E" w:rsidRDefault="0025614E" w:rsidP="0025614E">
      <w:pPr>
        <w:pStyle w:val="ListParagraph"/>
        <w:numPr>
          <w:ilvl w:val="0"/>
          <w:numId w:val="18"/>
        </w:numPr>
        <w:spacing w:after="240"/>
        <w:contextualSpacing w:val="0"/>
        <w:jc w:val="both"/>
      </w:pPr>
      <w:r>
        <w:rPr>
          <w:b/>
          <w:i/>
        </w:rPr>
        <w:t>The first ISN for FY2008–10 aimed to help Togo recover from a long period of instability and suspension of aid, and to begin laying the foundations for sustained, shared growth over the medium term.</w:t>
      </w:r>
      <w:r>
        <w:t xml:space="preserve"> Following a decade-long political and economic crisis, Togo went into non-accrual status with IDA in 2002, and the WBG suspended operations. A Country Reengagement Note (CRN) was prepared in 2004, paving the way for resumption of analytical and advisory work financed through a Low-Income Countries Under Stress (LICUS) Trust Fund. Presidential and legislative elections were successfully held in 2005 and 2007, respectively, and the government initiated important reforms aimed at economic recovery and long-term growth. In addition, the government demonstrated commitment to implementing governance reforms, improving fiscal and economic management, and addressing weaknesses in key public enterprises. The first ISN was grounded in three interrelated pillars of the government’s program of reforms, as reflected in the Interim Poverty Reduction Strategy Paper (I-PRSP) completed in March 2008: (i) improving economic governance and transparency; (ii) promoting economic recovery and sustainable development; and (iii) addressing urgent social needs. The total IDA allocation under the first ISN amounted to SDR 150.5 million, of which 93.3 million was allocated as exceptional arrears clearance support, 21.2 million as an exceptional IDA reengagement allocation in FY2008, and 36 million to finance the annual lending program for FY2009 and FY2010 (SDR 18 million per fiscal year).</w:t>
      </w:r>
    </w:p>
    <w:p w14:paraId="0DD9B581" w14:textId="77777777" w:rsidR="0025614E" w:rsidRDefault="0025614E" w:rsidP="0025614E">
      <w:pPr>
        <w:pStyle w:val="ListParagraph"/>
        <w:numPr>
          <w:ilvl w:val="0"/>
          <w:numId w:val="18"/>
        </w:numPr>
        <w:spacing w:after="240"/>
        <w:contextualSpacing w:val="0"/>
        <w:jc w:val="both"/>
      </w:pPr>
      <w:r>
        <w:rPr>
          <w:b/>
          <w:i/>
        </w:rPr>
        <w:t>The second ISN for FY2012–13 focused on updating the previous ISN, serving as a bridge until completion of the government’s second Poverty Reduction Strategy Paper (PRSP II).</w:t>
      </w:r>
      <w:r>
        <w:t xml:space="preserve"> The second ISN noted that the interim period would be used to consolidate Togo’s knowledge base, to help build capacity to effectively implement the wide range of recently launched WBG and donor programs, and to show measurable results through improved monitoring and evaluation (M&amp;E) and statistical systems. Support was organized under three pillars that built on the previous ISN: (i) deepening economic recovery and promoting sustainable development; (ii) improving economic governance and state capacity; and (iii) addressing urgent poverty reduction and social needs. The total indicative IDA allocation during the second ISN amounted to SDR 54.7 million (equivalent to $82.1 million) for FY2012 and FY2013, including IDA resources for debt relief under the Highly Indebted Poor Countries (HIPC) initiative.</w:t>
      </w:r>
      <w:r>
        <w:rPr>
          <w:rStyle w:val="FootnoteReference"/>
        </w:rPr>
        <w:footnoteReference w:id="17"/>
      </w:r>
      <w:r>
        <w:t xml:space="preserve"> The ISN program was designed around this financing amount, with about 55 percent of IDA resources available on credit terms and 45 percent on grant terms.</w:t>
      </w:r>
    </w:p>
    <w:p w14:paraId="7414D8FF" w14:textId="77777777" w:rsidR="0025614E" w:rsidRDefault="0025614E" w:rsidP="0025614E">
      <w:pPr>
        <w:pStyle w:val="ListParagraph"/>
        <w:numPr>
          <w:ilvl w:val="0"/>
          <w:numId w:val="18"/>
        </w:numPr>
        <w:spacing w:after="240"/>
        <w:contextualSpacing w:val="0"/>
        <w:jc w:val="both"/>
      </w:pPr>
      <w:r>
        <w:rPr>
          <w:b/>
          <w:i/>
        </w:rPr>
        <w:lastRenderedPageBreak/>
        <w:t>Although every effort has been made to provide a thorough and detailed accounting of progress toward the outcomes foreseen in both ISNs, this CLR has not been able to assign rigorous ratings of program or WBG performance.</w:t>
      </w:r>
      <w:r>
        <w:rPr>
          <w:rStyle w:val="FootnoteReference"/>
        </w:rPr>
        <w:footnoteReference w:id="18"/>
      </w:r>
      <w:r>
        <w:t xml:space="preserve"> Given the political, economic, and aid volatility experienced by Togo in recent years, together with the limited data management capacity in the country and the time that has elapsed since the ISN periods came to a close, this review necessarily relies in part on qualitative or anecdotal evidence to assess progress and does not rigorously distinguish among outcomes that were achieved prior to the end of the ISN periods or afterwards. To the extent possible, therefore, this CLR reports on progress to date, and where the status of ISN outcomes is not known this is indicated in the self-evaluation summary matrix (Appendix 1).</w:t>
      </w:r>
    </w:p>
    <w:p w14:paraId="5ED5A53F" w14:textId="77777777" w:rsidR="0025614E" w:rsidRDefault="0025614E" w:rsidP="008B4B5A">
      <w:pPr>
        <w:pStyle w:val="ListParagraph"/>
        <w:numPr>
          <w:ilvl w:val="0"/>
          <w:numId w:val="36"/>
        </w:numPr>
        <w:jc w:val="center"/>
        <w:rPr>
          <w:rFonts w:ascii="Times New Roman Bold" w:eastAsia="Calibri" w:hAnsi="Times New Roman Bold" w:cs="Times New Roman"/>
          <w:b/>
          <w:caps/>
          <w:color w:val="000000"/>
          <w:sz w:val="24"/>
          <w:szCs w:val="24"/>
        </w:rPr>
      </w:pPr>
      <w:bookmarkStart w:id="45" w:name="_Toc477430682"/>
      <w:r w:rsidRPr="008B4B5A">
        <w:rPr>
          <w:rFonts w:ascii="Times New Roman Bold" w:eastAsia="Calibri" w:hAnsi="Times New Roman Bold" w:cs="Times New Roman"/>
          <w:b/>
          <w:caps/>
          <w:color w:val="000000"/>
          <w:sz w:val="24"/>
          <w:szCs w:val="24"/>
        </w:rPr>
        <w:t>Summary of Key Findings</w:t>
      </w:r>
      <w:bookmarkEnd w:id="45"/>
    </w:p>
    <w:p w14:paraId="4107912E" w14:textId="77777777" w:rsidR="008B4B5A" w:rsidRPr="008B4B5A" w:rsidRDefault="008B4B5A" w:rsidP="008B4B5A">
      <w:pPr>
        <w:pStyle w:val="ListParagraph"/>
        <w:rPr>
          <w:rFonts w:ascii="Times New Roman Bold" w:eastAsia="Calibri" w:hAnsi="Times New Roman Bold" w:cs="Times New Roman"/>
          <w:b/>
          <w:caps/>
          <w:color w:val="000000"/>
          <w:sz w:val="24"/>
          <w:szCs w:val="24"/>
        </w:rPr>
      </w:pPr>
    </w:p>
    <w:p w14:paraId="45315068" w14:textId="77777777" w:rsidR="0025614E" w:rsidRDefault="0025614E" w:rsidP="0025614E">
      <w:pPr>
        <w:pStyle w:val="ListParagraph"/>
        <w:numPr>
          <w:ilvl w:val="0"/>
          <w:numId w:val="18"/>
        </w:numPr>
        <w:spacing w:after="240"/>
        <w:contextualSpacing w:val="0"/>
        <w:jc w:val="both"/>
      </w:pPr>
      <w:r>
        <w:rPr>
          <w:b/>
          <w:i/>
        </w:rPr>
        <w:t xml:space="preserve">Through the ISNs for FY2008–10 and FY2012–13, the WBG has supported the Government of Togo in moving from a state of political and economic volatility and donor disengagement into economic recovery and preparation for medium-term growth and development. </w:t>
      </w:r>
      <w:r>
        <w:t xml:space="preserve">The overarching goal of the first ISN was “to help Togo recover from a long period of instability and suspension of aid and begin laying the foundations for sustained, shared growth over the medium term.” The WBG’s Systematic Country Diagnostic (SCD) for Togo, published in September 2016, points out that in the past decade, the country has pursued reforms that have stabilized the political system and fostered important economic and structural improvements. Togo qualified for debt relief under the HIPC initiative and prepared an Interim Poverty Reduction Strategy Paper (I-PRSP) in March 2008, followed by a full Poverty Reduction Strategy Paper (PRSP) for 2009–11 and then a Strategy for Accelerated Growth and Employment Promotion (SCAPE, by its French acronym) for 2013–17. In line with the government’s first full PRSP and building on what it characterized as “satisfactory” progress under the first ISN, the WBG prepared a second ISN with the aim of implementing a selective program of activities focused on inducing broad-based growth, improving access to basic services, ensuring greater efficiency of public expenditures, and promoting better governance. </w:t>
      </w:r>
    </w:p>
    <w:p w14:paraId="0FE67C8D" w14:textId="77777777" w:rsidR="0025614E" w:rsidRDefault="0025614E" w:rsidP="0025614E">
      <w:pPr>
        <w:pStyle w:val="ListParagraph"/>
        <w:numPr>
          <w:ilvl w:val="0"/>
          <w:numId w:val="18"/>
        </w:numPr>
        <w:spacing w:after="240"/>
        <w:contextualSpacing w:val="0"/>
        <w:jc w:val="both"/>
      </w:pPr>
      <w:r>
        <w:rPr>
          <w:b/>
          <w:i/>
        </w:rPr>
        <w:t xml:space="preserve">The SCD notes that economic growth has been significant at 5 percent over the past five years, with a modest effect on poverty reduction, but these results remain vulnerable. </w:t>
      </w:r>
      <w:r>
        <w:t xml:space="preserve">Togo’s sources of growth are not sustainable, as they are vulnerable to shocks such as economic disruptions among trading partners and environmental degradation. Poverty rates have declined slowly, from 61.7 percent in 2006 to 55.1 percent in 2015, and in the capital city of Lomé, poverty increased from 28.5 percent in 2011 to 34.8 percent in 2015 (after a decline from 30.8 percent in 2006). Whereas growth between 2006 and 2011 did not increase living standards for most poor people, growth in the subsequent four years did, while also reducing the poverty gap and inequality. However, Togo is unlikely to meet the goal of eradicating extreme poverty by 2030. The lack of more significant progress in reducing poverty is the result of an inability to ensure that growth is inclusive in a context of rapid population growth. </w:t>
      </w:r>
    </w:p>
    <w:p w14:paraId="1844EDBD" w14:textId="77777777" w:rsidR="0025614E" w:rsidRDefault="0025614E" w:rsidP="0025614E">
      <w:pPr>
        <w:pStyle w:val="ListParagraph"/>
        <w:numPr>
          <w:ilvl w:val="0"/>
          <w:numId w:val="18"/>
        </w:numPr>
        <w:spacing w:after="240"/>
        <w:contextualSpacing w:val="0"/>
        <w:jc w:val="both"/>
      </w:pPr>
      <w:r>
        <w:rPr>
          <w:b/>
          <w:i/>
        </w:rPr>
        <w:t xml:space="preserve">Overall performance on development outcomes put forward under the two ISNs was mixed. </w:t>
      </w:r>
      <w:r>
        <w:t xml:space="preserve">To date, progress toward stated development goals related to economic governance, transparency, and state capacity has been moderate. There has been solid progress toward privatization and improved efficiency in the management of public resources, and Togo has achieved compliance status with the Extractive Industries Transparency Initiative (EITI). Deviation of actual expenditures continues to be higher than </w:t>
      </w:r>
      <w:r>
        <w:lastRenderedPageBreak/>
        <w:t xml:space="preserve">targeted, however, and the implementation of external controls is not yet complete. Despite the government’s concerted efforts to reform the banking sector, only two of its troubled banks have been privatized while two others continue to hold negative equity without a clear solution in place. Progress toward economic recovery initiatives has been quite strong. Outcome targets on drainage rehabilitation and flood management, access to electricity, and agricultural production have all been met or exceeded. Expected improvements in the enabling environment for starting a business have also been achieved, and Togo’s rank on the joint World Bank–International Finance Corporation (IFC) </w:t>
      </w:r>
      <w:r>
        <w:rPr>
          <w:i/>
        </w:rPr>
        <w:t>Doing Business</w:t>
      </w:r>
      <w:r>
        <w:t xml:space="preserve"> indicators improved from 156</w:t>
      </w:r>
      <w:r>
        <w:rPr>
          <w:vertAlign w:val="superscript"/>
        </w:rPr>
        <w:t>th</w:t>
      </w:r>
      <w:r>
        <w:t xml:space="preserve"> of 185 economies in 2012 to 149</w:t>
      </w:r>
      <w:r>
        <w:rPr>
          <w:vertAlign w:val="superscript"/>
        </w:rPr>
        <w:t>th</w:t>
      </w:r>
      <w:r>
        <w:t xml:space="preserve"> of 189 economies in 2014, leading to its recognition as a top 10 reformer in the 2015 report. Togo also moved forward with a number of investments and reforms to upgrade, simplify, and modernize port and customs procedures and activities. Finally, ISN outcomes on addressing urgent poverty reduction and social needs have been met.</w:t>
      </w:r>
    </w:p>
    <w:p w14:paraId="27612E33" w14:textId="77777777" w:rsidR="0025614E" w:rsidRDefault="0025614E" w:rsidP="0025614E">
      <w:pPr>
        <w:pStyle w:val="ListParagraph"/>
        <w:numPr>
          <w:ilvl w:val="0"/>
          <w:numId w:val="18"/>
        </w:numPr>
        <w:spacing w:after="240"/>
        <w:contextualSpacing w:val="0"/>
        <w:jc w:val="both"/>
      </w:pPr>
      <w:r>
        <w:rPr>
          <w:b/>
          <w:i/>
        </w:rPr>
        <w:t>The remainder of this section will briefly review program performance for each of the two ISNs considered here, organized by the pillars as expressed under the first ISN.</w:t>
      </w:r>
      <w:r>
        <w:t xml:space="preserve"> Where there are intersections between the two ISN programs, like topics are discussed together, thus yielding an integrated discussion of progress over the two interim strategy periods. Details are provided in the self-evaluation summary matrix (Appendix 1), which also presents related pillars together according to their order in the ISN for FY2008–10 (as a result, Pillar II under the ISN for FY2012–13 appears before Pillar I in the matrix). As mentioned above, to the extent possible, this CLR reports on progress to date.</w:t>
      </w:r>
    </w:p>
    <w:p w14:paraId="56361964" w14:textId="77777777" w:rsidR="0025614E" w:rsidRDefault="0025614E" w:rsidP="0025614E">
      <w:pPr>
        <w:pStyle w:val="CLRHeading2"/>
      </w:pPr>
      <w:r>
        <w:t>Improving Economic Governance, Transparency, and State Capacity (Pillar I in ISN for FY2008–10; Pillar II in ISN for FY2012–13)</w:t>
      </w:r>
    </w:p>
    <w:p w14:paraId="7478FA60" w14:textId="77777777" w:rsidR="0025614E" w:rsidRDefault="0025614E" w:rsidP="0025614E">
      <w:pPr>
        <w:pStyle w:val="ListParagraph"/>
        <w:numPr>
          <w:ilvl w:val="0"/>
          <w:numId w:val="18"/>
        </w:numPr>
        <w:spacing w:after="240"/>
        <w:contextualSpacing w:val="0"/>
        <w:jc w:val="both"/>
      </w:pPr>
      <w:r>
        <w:rPr>
          <w:b/>
          <w:i/>
        </w:rPr>
        <w:t>Progress toward public expenditure management outcomes under the first ISN was mixed.</w:t>
      </w:r>
      <w:r>
        <w:t xml:space="preserve"> The WBG prepared a Public Expenditure Management and Financial Accountability Review (PEMFAR)</w:t>
      </w:r>
      <w:r>
        <w:rPr>
          <w:rStyle w:val="FootnoteReference"/>
        </w:rPr>
        <w:footnoteReference w:id="19"/>
      </w:r>
      <w:r>
        <w:t xml:space="preserve"> in 2010 and 2016 to evaluate the management of public expenditures between 2008 and 2014/15. Progress included budgetary accounting and the control mechanisms put in place to improve the reliability of records. However, major variations between forecasts and results of budget execution indicate a low level of credibility owing to low execution rates for investment expenditures; changes made in the initial composition of expenditure during the period under review, particularly through supplementary budgets; and underestimating tax expenditure forecasts. The reasons for low budget execution include: (i) the late start of budget execution; (ii) the length and complexity of the public expenditure chain; (iii) the weak capacity of public procurement officials; and (iv) the failure to take all externally funded investments into account in the integrated public finance management system (SIGFIP).</w:t>
      </w:r>
    </w:p>
    <w:p w14:paraId="602A280A" w14:textId="77777777" w:rsidR="0025614E" w:rsidRDefault="0025614E" w:rsidP="0025614E">
      <w:pPr>
        <w:pStyle w:val="ListParagraph"/>
        <w:numPr>
          <w:ilvl w:val="0"/>
          <w:numId w:val="18"/>
        </w:numPr>
        <w:spacing w:after="240"/>
        <w:contextualSpacing w:val="0"/>
        <w:jc w:val="both"/>
      </w:pPr>
      <w:r>
        <w:rPr>
          <w:b/>
          <w:i/>
        </w:rPr>
        <w:t xml:space="preserve">Public expenditure management targets under the second ISN were largely achieved, although progress toward improved external controls was only partial. </w:t>
      </w:r>
      <w:r>
        <w:t xml:space="preserve">Spending units receive expenditure ceilings in a timely manner. Annual cash flow plans are developed, but they are not systematically updated and are not operational. Procurement audits are conducted within a reasonable time frame, and all procurement notices are published in a newspaper before contracts are awarded. External controls have been strengthened, although not all targets set out in the second ISN were met. The Court of Accounts became operational in 2010 and relevant legislation was passed, but a system is not yet in place to follow up on auditors’ recommendations. Capacity to monitor PRSP outcomes and deliver results has improved through the creation of a national statistical office, together with institutional capacity building, </w:t>
      </w:r>
      <w:r>
        <w:lastRenderedPageBreak/>
        <w:t>improvements in access to and quality of data, and stronger production and dissemination of data analysis.</w:t>
      </w:r>
    </w:p>
    <w:p w14:paraId="4C4EE884" w14:textId="77777777" w:rsidR="0025614E" w:rsidRDefault="0025614E" w:rsidP="0025614E">
      <w:pPr>
        <w:pStyle w:val="ListParagraph"/>
        <w:numPr>
          <w:ilvl w:val="0"/>
          <w:numId w:val="18"/>
        </w:numPr>
        <w:spacing w:after="240"/>
        <w:contextualSpacing w:val="0"/>
        <w:jc w:val="both"/>
      </w:pPr>
      <w:r>
        <w:rPr>
          <w:b/>
          <w:i/>
        </w:rPr>
        <w:t xml:space="preserve">Outcome targets outlined in both ISNs to promote governance and transparency in state-owned enterprises were largely achieved or, in some cases, exceeded. </w:t>
      </w:r>
      <w:r>
        <w:t>Following the creation of a new cotton company with strong farmer participation in its capital and management, seed cotton production levels quickly surpassed the first ISN target of 48,000 tons, rising to 114,800 tons in 2014. Under the second ISN, management of the new cotton company improved through the reduction of unit costs. In the phosphate sector, governance improvements in the national company helped boost phosphate production well above the baseline level set out in the first ISN. Although key milestones highlighted in the second ISN as steps toward improved transparency and accountability in the phosphate sector were not achieved (including adoption of an updated Mining Code and completion of a strategic private partnership in the sector), Togo did achieve EITI compliance status in 2013. In the energy sector, the financial situation of the national electricity company improved significantly, and turnover increased well beyond targets set out in the second ISN.</w:t>
      </w:r>
      <w:r>
        <w:rPr>
          <w:rStyle w:val="FootnoteReference"/>
        </w:rPr>
        <w:footnoteReference w:id="20"/>
      </w:r>
    </w:p>
    <w:p w14:paraId="0A3AE47A" w14:textId="77777777" w:rsidR="0025614E" w:rsidRDefault="0025614E" w:rsidP="0025614E">
      <w:pPr>
        <w:pStyle w:val="ListParagraph"/>
        <w:numPr>
          <w:ilvl w:val="0"/>
          <w:numId w:val="18"/>
        </w:numPr>
        <w:spacing w:after="240"/>
        <w:contextualSpacing w:val="0"/>
        <w:jc w:val="both"/>
      </w:pPr>
      <w:r>
        <w:rPr>
          <w:b/>
          <w:i/>
        </w:rPr>
        <w:t xml:space="preserve">Efforts to strengthen the financial sector made good progress, but ultimately fell short of expectations. </w:t>
      </w:r>
      <w:r>
        <w:t xml:space="preserve">The first ISN aimed to ensure the credible restructuring of three of Togo’s largest banks with negative equity, while the second ISN envisioned that these banks would enter into partnerships with strategic banking investors. Of these, two (BTD and BIA) were successfully privatized in 2012 and 2013, respectively. Privatization efforts did not go forward for the other two (BTCI and UTB), however, and these two banks continue to have negative equity. </w:t>
      </w:r>
    </w:p>
    <w:p w14:paraId="105BCB9A" w14:textId="77777777" w:rsidR="0025614E" w:rsidRDefault="0025614E" w:rsidP="0025614E">
      <w:pPr>
        <w:pStyle w:val="ListParagraph"/>
        <w:numPr>
          <w:ilvl w:val="0"/>
          <w:numId w:val="18"/>
        </w:numPr>
        <w:spacing w:after="240"/>
        <w:contextualSpacing w:val="0"/>
        <w:jc w:val="both"/>
      </w:pPr>
      <w:r>
        <w:rPr>
          <w:b/>
          <w:i/>
        </w:rPr>
        <w:t>Activities under this pillar helped Togo strengthen its macroeconomic and fiscal framework</w:t>
      </w:r>
      <w:r>
        <w:rPr>
          <w:b/>
        </w:rPr>
        <w:t>.</w:t>
      </w:r>
      <w:r>
        <w:t xml:space="preserve"> Although not an explicit objective under the ISNs, the various reforms supported under the economic governance pillars enabled Togo to reach the HIPC Initiative Decision Point in 2008 and the Completion Point in 2010, and thereby reduce its public debt to sustainable levels. The WBG and International Monetary Fund (IMF) supported the preparation of the country’s PRSP in FY2010 and PRSP II in FY2013, which provided a road map for policies and investments to promote human development and help productive sectors achieve economic growth and poverty reduction objectives.</w:t>
      </w:r>
    </w:p>
    <w:p w14:paraId="2C9E9E06" w14:textId="77777777" w:rsidR="0025614E" w:rsidRDefault="0025614E" w:rsidP="0025614E">
      <w:pPr>
        <w:pStyle w:val="CLRHeading2"/>
      </w:pPr>
      <w:r>
        <w:t>Deepening Economic Recovery and Promoting Sustainable Development (Pillar II in ISN for FY2008–10; Pillar I in ISN for FY2012–13)</w:t>
      </w:r>
    </w:p>
    <w:p w14:paraId="5C21262B" w14:textId="77777777" w:rsidR="0025614E" w:rsidRDefault="0025614E" w:rsidP="0025614E">
      <w:pPr>
        <w:pStyle w:val="ListParagraph"/>
        <w:numPr>
          <w:ilvl w:val="0"/>
          <w:numId w:val="18"/>
        </w:numPr>
        <w:spacing w:after="240"/>
        <w:contextualSpacing w:val="0"/>
        <w:jc w:val="both"/>
      </w:pPr>
      <w:r>
        <w:rPr>
          <w:b/>
          <w:i/>
        </w:rPr>
        <w:t>Progress toward infrastructure development targets was highly satisfactory.</w:t>
      </w:r>
      <w:r>
        <w:t xml:space="preserve"> Through IDA and IFC support, significant improvements were made in port infrastructure and services. IFC provided support for the construction, development, and operation of the Lomé Container Terminal (LCT), an extension of the Lomé Port, with the capability of receiving three to four larger container ships simultaneously. The LCT, completed in 2014 and inaugurated in 2015, is the first modern container transshipment hub in West and Central Africa. In the border zone between Togo and Benin, a large parking space for trucks transporting goods toward Benin and the Sahel reduced congestion at the border post in Aneho. Traffic flow was improved through the rehabilitation and expansion of road and bridge infrastructure and a station and commercial platform at the border with Benin. Reforms included installing the SYDONIA++ customs management system and strengthening control services and other functions to modernize and simplify customs procedures and transactions, thereby reducing the time that ships spend registering </w:t>
      </w:r>
      <w:r>
        <w:lastRenderedPageBreak/>
        <w:t>their manifestos from 4 days in 2011 to 24 hours in 2013; and the time to dispatch their cargo from 23 days in 2010 to 7 days in 2013. Over 70 percent of declarations were treated the same day by 2013, compared to 40 percent in 2011. Customs receipts increased by 31 percent between 2012 and 2013. In 2014, Togo launched a one-stop-shop for external commerce (</w:t>
      </w:r>
      <w:r>
        <w:rPr>
          <w:i/>
        </w:rPr>
        <w:t>Guichet Unique pour le Commerce Extérieure, SEGUCE-Togo</w:t>
      </w:r>
      <w:r>
        <w:t xml:space="preserve">), a private concession to manage a single virtual platform for all transactions related to port activities. The implementation of SEGUCE contributed significantly to reducing the time it takes to handle and deliver containers from the port—from 11 days to 3 hours. </w:t>
      </w:r>
    </w:p>
    <w:p w14:paraId="7EC21F3A" w14:textId="77777777" w:rsidR="0025614E" w:rsidRDefault="0025614E" w:rsidP="0025614E">
      <w:pPr>
        <w:pStyle w:val="ListParagraph"/>
        <w:numPr>
          <w:ilvl w:val="0"/>
          <w:numId w:val="18"/>
        </w:numPr>
        <w:spacing w:after="240"/>
        <w:contextualSpacing w:val="0"/>
        <w:jc w:val="both"/>
      </w:pPr>
      <w:r>
        <w:rPr>
          <w:b/>
          <w:i/>
        </w:rPr>
        <w:t>Interventions to reduce flooding risks in the Bé community of Lomé were more extensive than foreseen in the first ISN, and 50,000 more residents were protected against flooding in 2011 than in 2009.</w:t>
      </w:r>
      <w:r>
        <w:t xml:space="preserve"> Overall, more than 1.55 million people throughout the city of Lomé have benefited from these efforts, well over initial estimates of 1.1 million. Drainage rehabilitation targets foreseen under the second ISN were achieved. An early warning system was delayed but eventually procured and installed in 2016 as part of disaster mitigation efforts. </w:t>
      </w:r>
    </w:p>
    <w:p w14:paraId="7834EB94" w14:textId="77777777" w:rsidR="0025614E" w:rsidRDefault="0025614E" w:rsidP="0025614E">
      <w:pPr>
        <w:pStyle w:val="ListParagraph"/>
        <w:numPr>
          <w:ilvl w:val="0"/>
          <w:numId w:val="18"/>
        </w:numPr>
        <w:spacing w:after="240"/>
        <w:contextualSpacing w:val="0"/>
        <w:jc w:val="both"/>
      </w:pPr>
      <w:r>
        <w:rPr>
          <w:b/>
          <w:i/>
        </w:rPr>
        <w:t>Targets for improved access to electricity under the second ISN were achieved as part of the rehabilitation of transformer stations and extension of the electricity supply network.</w:t>
      </w:r>
      <w:r>
        <w:t xml:space="preserve"> In 2010, IFC invested in Contour Global, one of the few large independent power producers (IPPs) in Togo, to establish a 100 MW tri-fuel plant (it can dispatch gas, heavy fuel oil, or diesel). This plant was fully dispatched by 2016. </w:t>
      </w:r>
    </w:p>
    <w:p w14:paraId="213E822E" w14:textId="77777777" w:rsidR="0025614E" w:rsidRDefault="0025614E" w:rsidP="0025614E">
      <w:pPr>
        <w:pStyle w:val="ListParagraph"/>
        <w:numPr>
          <w:ilvl w:val="0"/>
          <w:numId w:val="18"/>
        </w:numPr>
        <w:spacing w:after="240"/>
        <w:contextualSpacing w:val="0"/>
        <w:jc w:val="both"/>
      </w:pPr>
      <w:r>
        <w:rPr>
          <w:b/>
          <w:i/>
        </w:rPr>
        <w:t xml:space="preserve">Agriculture development outcomes were met. </w:t>
      </w:r>
      <w:r>
        <w:t>As part of a strategic effort to re-launch the agricultural and rural economy, an agreement was reached between the government and professional organizations in the cocoa and coffee sectors on a rehabilitation plan to increase production. Following the completion of a diagnostic study in 2011, the Agricultural Sector Support Project (PASA) supported the development of a sector rehabilitation plan that has been under implementation since 2013. This plan has helped boost production of key crops, and production targets in the second ISN were exceeded.</w:t>
      </w:r>
    </w:p>
    <w:p w14:paraId="7614EA76" w14:textId="6A186455" w:rsidR="0025614E" w:rsidRDefault="0025614E" w:rsidP="0025614E">
      <w:pPr>
        <w:pStyle w:val="ListParagraph"/>
        <w:numPr>
          <w:ilvl w:val="0"/>
          <w:numId w:val="18"/>
        </w:numPr>
        <w:spacing w:after="240"/>
        <w:contextualSpacing w:val="0"/>
        <w:jc w:val="both"/>
      </w:pPr>
      <w:r>
        <w:rPr>
          <w:b/>
          <w:i/>
        </w:rPr>
        <w:t>Moderate progress was made toward private sector development outcomes.</w:t>
      </w:r>
      <w:r>
        <w:t xml:space="preserve"> Domestic arrears were cleared, as envisioned under the first ISN, and a Country Economic Memorandum on sources of growth, </w:t>
      </w:r>
      <w:r>
        <w:rPr>
          <w:i/>
        </w:rPr>
        <w:t>Reviving the Traditional Sectors and Preparing for the Future: An Export-Led Growth Strategy</w:t>
      </w:r>
      <w:r>
        <w:t xml:space="preserve">, was completed and disseminated widely in 2009 to provide a road map for improving productivity and competitiveness. The targeted reduction in the number of procedures required to start a business was also achieved. Reforms included reducing: (i) the number of procedures to start a business (from seven to three); (ii) the number of days (from 17 to seven); and (iii) the cost (from </w:t>
      </w:r>
      <w:r w:rsidR="003A6CA1">
        <w:t>FCFA</w:t>
      </w:r>
      <w:r w:rsidR="002130CB">
        <w:t xml:space="preserve"> </w:t>
      </w:r>
      <w:r>
        <w:t xml:space="preserve">102,000 to </w:t>
      </w:r>
      <w:r w:rsidR="003A6CA1">
        <w:t>FCFA</w:t>
      </w:r>
      <w:r w:rsidR="002130CB">
        <w:t xml:space="preserve"> </w:t>
      </w:r>
      <w:r>
        <w:t>61,000). Outcomes under the Private Sector Development Support Project (PADSP) were not fully satisfactory, however, with notably little progress made in revamping the free zone and implementing the investment code that was adopted in 2012. In addition, the framework to promote public-private partnerships (PPPs) was only partially completed, and work on this was still underway in 2017. IFC staff assigned to the Togo program provided advisory services to support and achieve reform objectives promoted by the Organization for the Harmonization of Business Laws in Africa (OHADA). Together with IDA, IFC supported the adoption of a new decree to simplify the licensing of construction permits and significantly reduce the time required to obtain them.</w:t>
      </w:r>
    </w:p>
    <w:p w14:paraId="1B73A336" w14:textId="77777777" w:rsidR="0025614E" w:rsidRDefault="0025614E" w:rsidP="0025614E">
      <w:pPr>
        <w:pStyle w:val="CLRHeading2"/>
      </w:pPr>
      <w:r>
        <w:t>Addressing Urgent Poverty Reduction and Social Needs (Pillar III under Both ISNs)</w:t>
      </w:r>
    </w:p>
    <w:p w14:paraId="3E490949" w14:textId="77777777" w:rsidR="0025614E" w:rsidRDefault="0025614E" w:rsidP="0025614E">
      <w:pPr>
        <w:pStyle w:val="ListParagraph"/>
        <w:numPr>
          <w:ilvl w:val="0"/>
          <w:numId w:val="18"/>
        </w:numPr>
        <w:spacing w:after="240"/>
        <w:contextualSpacing w:val="0"/>
        <w:jc w:val="both"/>
      </w:pPr>
      <w:r>
        <w:rPr>
          <w:b/>
          <w:i/>
        </w:rPr>
        <w:t>Access to improved basic social services such as health, education, and water improved under the ISN programs.</w:t>
      </w:r>
      <w:r>
        <w:t xml:space="preserve"> Although baseline data are not available for 2008, it appears that enrollment ratios and </w:t>
      </w:r>
      <w:r>
        <w:lastRenderedPageBreak/>
        <w:t xml:space="preserve">health center visits have improved in areas targeted by the community-driven development (CDD) programs supported by the first ISN. Targeted completion of community subprojects was exceeded under the first ISN. CDD activities under the second ISN focused on improving access to and quality of primary education through the Education For All/Global Program for Education project administered by the WBG, helping to support a significant improvement in the primary completion rate with the construction of nearly 1,000 primary schools, the construction and equipping of three National Teachers’ Institutions (ENIs), and distribution of over 3 million reading and math textbooks (180 percent of the original target). </w:t>
      </w:r>
    </w:p>
    <w:p w14:paraId="12F617FA" w14:textId="77777777" w:rsidR="0025614E" w:rsidRDefault="0025614E" w:rsidP="0025614E">
      <w:pPr>
        <w:pStyle w:val="ListParagraph"/>
        <w:numPr>
          <w:ilvl w:val="0"/>
          <w:numId w:val="18"/>
        </w:numPr>
        <w:spacing w:after="240"/>
        <w:contextualSpacing w:val="0"/>
        <w:jc w:val="both"/>
      </w:pPr>
      <w:r>
        <w:rPr>
          <w:b/>
          <w:i/>
        </w:rPr>
        <w:t>Social protection improved under the second ISN.</w:t>
      </w:r>
      <w:r>
        <w:t xml:space="preserve"> Social protection policies were reviewed and streamlined, and a revised social protection policy is slated for adoption by the government in the next year. School feeding, labor-intensive public works, and cash transfer programs have reached some 77,012 beneficiaries, surpassing the target of 70,000. The cash transfer program supported by the Community Development and Safety Nets (PDC+) project has provided a model for a social protection program that the government plans to scale up to the national level. Community mobilization schemes have been implemented in 633 villages since 2012. </w:t>
      </w:r>
    </w:p>
    <w:p w14:paraId="06029F3A" w14:textId="77777777" w:rsidR="0025614E" w:rsidRDefault="0025614E" w:rsidP="0025614E">
      <w:pPr>
        <w:pStyle w:val="ListParagraph"/>
        <w:numPr>
          <w:ilvl w:val="0"/>
          <w:numId w:val="18"/>
        </w:numPr>
        <w:spacing w:after="240"/>
        <w:contextualSpacing w:val="0"/>
        <w:jc w:val="both"/>
      </w:pPr>
      <w:r>
        <w:rPr>
          <w:b/>
          <w:i/>
        </w:rPr>
        <w:t xml:space="preserve">Under the first ISN, outcomes with regard to minimizing the threat of avian influenza were achieved, although planning documents and an inter-ministerial committee have not yet been operationalized. </w:t>
      </w:r>
      <w:r>
        <w:t>Interdepartmental meetings were held monthly during outbreaks. A centralized crisis management unit was created and, despite the lack of an official inter-ministerial committee, a 2016 outbreak was managed jointly by the health and agriculture ministries. Togo will participate in a regional program to strengthen surveillance of epidemics to be presented to the World Bank’s board in 2017.</w:t>
      </w:r>
    </w:p>
    <w:p w14:paraId="2DA31989" w14:textId="77777777" w:rsidR="0025614E" w:rsidRDefault="0025614E" w:rsidP="008B4B5A">
      <w:pPr>
        <w:pStyle w:val="ListParagraph"/>
        <w:numPr>
          <w:ilvl w:val="0"/>
          <w:numId w:val="36"/>
        </w:numPr>
        <w:jc w:val="center"/>
        <w:rPr>
          <w:rFonts w:ascii="Times New Roman Bold" w:eastAsia="Calibri" w:hAnsi="Times New Roman Bold" w:cs="Times New Roman"/>
          <w:b/>
          <w:caps/>
          <w:color w:val="000000"/>
          <w:sz w:val="24"/>
          <w:szCs w:val="24"/>
        </w:rPr>
      </w:pPr>
      <w:bookmarkStart w:id="46" w:name="_Toc477430683"/>
      <w:r w:rsidRPr="008B4B5A">
        <w:rPr>
          <w:rFonts w:ascii="Times New Roman Bold" w:eastAsia="Calibri" w:hAnsi="Times New Roman Bold" w:cs="Times New Roman"/>
          <w:b/>
          <w:caps/>
          <w:color w:val="000000"/>
          <w:sz w:val="24"/>
          <w:szCs w:val="24"/>
        </w:rPr>
        <w:t>World Bank Group Performance</w:t>
      </w:r>
      <w:bookmarkEnd w:id="46"/>
    </w:p>
    <w:p w14:paraId="35A64617" w14:textId="77777777" w:rsidR="008B4B5A" w:rsidRPr="008B4B5A" w:rsidRDefault="008B4B5A" w:rsidP="008B4B5A">
      <w:pPr>
        <w:pStyle w:val="ListParagraph"/>
        <w:rPr>
          <w:rFonts w:ascii="Times New Roman Bold" w:eastAsia="Calibri" w:hAnsi="Times New Roman Bold" w:cs="Times New Roman"/>
          <w:b/>
          <w:caps/>
          <w:color w:val="000000"/>
          <w:sz w:val="24"/>
          <w:szCs w:val="24"/>
        </w:rPr>
      </w:pPr>
    </w:p>
    <w:p w14:paraId="65176FB7" w14:textId="77777777" w:rsidR="0025614E" w:rsidRDefault="0025614E" w:rsidP="0025614E">
      <w:pPr>
        <w:pStyle w:val="ListParagraph"/>
        <w:numPr>
          <w:ilvl w:val="0"/>
          <w:numId w:val="18"/>
        </w:numPr>
        <w:spacing w:after="240"/>
        <w:contextualSpacing w:val="0"/>
        <w:jc w:val="both"/>
      </w:pPr>
      <w:r>
        <w:rPr>
          <w:b/>
          <w:i/>
        </w:rPr>
        <w:t>Design of the ISNs was well aligned with Togo’s key planning documents.</w:t>
      </w:r>
      <w:r>
        <w:t xml:space="preserve"> Togo’s I-PRSP and PRSP—around which the pillars and outcomes of each ISN were built—were formulated in a broad-based consultative manner with civil society and other nongovernment stakeholders, including international partners. The I-PRSP focused on: (i) strengthening political and economic governance, with a focus on institutional reform and fiscal governance; (ii) promoting economic recovery and sustainable development, with measures to reform state-owned enterprises and financial institutions and boost the sources of growth; and (iii) developing social sectors, human resources, and employment, with a focus on improving access to and quality of basic education and health services. Togo’s first full PRSP expanded on these priorities, focusing on four main areas: (i) </w:t>
      </w:r>
      <w:r>
        <w:rPr>
          <w:bCs/>
          <w:iCs/>
        </w:rPr>
        <w:t>improvement of governance;</w:t>
      </w:r>
      <w:r>
        <w:t xml:space="preserve"> (ii) </w:t>
      </w:r>
      <w:r>
        <w:rPr>
          <w:bCs/>
          <w:iCs/>
        </w:rPr>
        <w:t>consolidation of the foundations of strong and sustainable growth;</w:t>
      </w:r>
      <w:r>
        <w:t xml:space="preserve"> (iii) </w:t>
      </w:r>
      <w:r>
        <w:rPr>
          <w:bCs/>
          <w:iCs/>
        </w:rPr>
        <w:t xml:space="preserve">development of human capital; and (iv) reduction of regional imbalances and community development. </w:t>
      </w:r>
    </w:p>
    <w:p w14:paraId="4F259C3E" w14:textId="77777777" w:rsidR="0025614E" w:rsidRDefault="0025614E" w:rsidP="0025614E">
      <w:pPr>
        <w:pStyle w:val="ListParagraph"/>
        <w:numPr>
          <w:ilvl w:val="0"/>
          <w:numId w:val="18"/>
        </w:numPr>
        <w:spacing w:after="240"/>
        <w:contextualSpacing w:val="0"/>
        <w:jc w:val="both"/>
      </w:pPr>
      <w:r>
        <w:rPr>
          <w:b/>
          <w:i/>
        </w:rPr>
        <w:t xml:space="preserve">The ISN programs were implemented through annual development policy operations (DPOs) focusing on economic recovery and governance, underpinned by sector interventions in areas that were deemed critical to growth and poverty reduction. </w:t>
      </w:r>
      <w:r>
        <w:t xml:space="preserve">Budget support was delivered through the Economic Recovery and Governance Grant (ERGG), implemented annually between FY2008 and FY2012. Following a large initial investment of $164.4 million under the first ERGG, the subsequent operations ranged in size from $14 million to $28 million. All five operations were rated satisfactory or moderately satisfactory on outcome performance as well as WBG and borrower performance, citing in particular the demonstrated government ownership and commitment to reform in the context of a fragile and complex situation. The ERGG series yielded a number of critical policy reforms, including structural reform in key sectors (such as cotton, phosphates, and energy), securitization and restructuring of key banks, normalization of relations with multilateral creditors, and implementation of procurement reform. The series also supported </w:t>
      </w:r>
      <w:r>
        <w:lastRenderedPageBreak/>
        <w:t xml:space="preserve">spending in key poverty reduction areas, including meeting civil service salary obligations, reducing arrears in pensions and payments to about 300,000 farmers, and supporting basic social services. </w:t>
      </w:r>
    </w:p>
    <w:p w14:paraId="70E7CB6A" w14:textId="77777777" w:rsidR="0025614E" w:rsidRDefault="0025614E" w:rsidP="0025614E">
      <w:pPr>
        <w:pStyle w:val="ListParagraph"/>
        <w:numPr>
          <w:ilvl w:val="0"/>
          <w:numId w:val="18"/>
        </w:numPr>
        <w:spacing w:after="240"/>
        <w:contextualSpacing w:val="0"/>
        <w:jc w:val="both"/>
      </w:pPr>
      <w:r>
        <w:t xml:space="preserve">. </w:t>
      </w:r>
      <w:r>
        <w:rPr>
          <w:b/>
          <w:i/>
        </w:rPr>
        <w:t xml:space="preserve">Despite this broadly satisfactory implementation, however, reform momentum seems to have waned in 2014. </w:t>
      </w:r>
      <w:r>
        <w:t xml:space="preserve">This resulted in unfinished reforms under the Financial Sector and Governance Project (FSGP), including initiatives to reform the CRT (social security institution) and to address the crisis of insolvent and distressed microfinance institutions. The PADSP experienced difficulties in implementing a complex agenda with many moving pieces in a context of limited institutional and human resources capacity and lack of a clear commitment to needed reforms. Implementation of the ongoing West Africa Regional Communications Infrastructure Project was delayed in part by the lack of progress on reforms to improve regulations and to restructure the telecommunications sector. Togo experienced multiple exogenous shocks during the ERGG series, including rising petroleum and food prices, major flooding (which affected infrastructure and agricultural output), and the global economic slowdown. Other signs of reform fatigue and reversal of gains included despecification of state-owned enterprises identified for privatization and PPPs. While privatization has taken place, key segments of the economy (including telecommunications, phosphates, and utilities) remain under state control. </w:t>
      </w:r>
    </w:p>
    <w:p w14:paraId="077399FF" w14:textId="77777777" w:rsidR="0025614E" w:rsidRDefault="0025614E" w:rsidP="0025614E">
      <w:pPr>
        <w:pStyle w:val="ListParagraph"/>
        <w:numPr>
          <w:ilvl w:val="0"/>
          <w:numId w:val="18"/>
        </w:numPr>
        <w:spacing w:after="240"/>
        <w:contextualSpacing w:val="0"/>
        <w:jc w:val="both"/>
      </w:pPr>
      <w:r>
        <w:rPr>
          <w:b/>
          <w:i/>
        </w:rPr>
        <w:t xml:space="preserve">A new DPO series, the Economic Growth and Governance Credit, was approved in 2013 but then cancelled after disbursement of the first operation. </w:t>
      </w:r>
      <w:r>
        <w:t>The WBG’s Board approved the first operation, the Sixth Economic Growth and Governance Credit (EGGC6), on the basis of a 2014 budget that was presented to and accepted by both the WBG and the IMF. The budget that was subsequently adopted was different, however, and overly optimistic, with a projected revenue increase of more than 30 percent compared to the approved budget for 2013. In early 2014, a WBG mission concluded that the approved 2014 budget was not conducive to macroeconomic stability and against disbursement of EGGC6. Other issues related to economic mismanagement, such as the use of prefinancing mechanisms to finance the public infrastructure program and poor debt management, further held back disbursement. Only after revision of the 2014 budget, including the incorporation of prefinanced investments, was EGGC6 disbursed (in November 2014, after an 11-month delay). However, with economic mismanagement continuing and a perceived lack of commitment to reform, subsequent operations of the series were cancelled.</w:t>
      </w:r>
    </w:p>
    <w:p w14:paraId="78E7821B" w14:textId="77777777" w:rsidR="0025614E" w:rsidRDefault="0025614E" w:rsidP="0025614E">
      <w:pPr>
        <w:pStyle w:val="ListParagraph"/>
        <w:numPr>
          <w:ilvl w:val="0"/>
          <w:numId w:val="18"/>
        </w:numPr>
        <w:spacing w:after="240"/>
        <w:contextualSpacing w:val="0"/>
        <w:jc w:val="both"/>
      </w:pPr>
      <w:r>
        <w:rPr>
          <w:b/>
          <w:i/>
        </w:rPr>
        <w:t>Performance in implementing investment operations was generally satisfactory.</w:t>
      </w:r>
      <w:r>
        <w:t xml:space="preserve"> The Togo portfolio grew from four IDA investment operations in 2010, representing commitments of $81 million, to eight active IDA operations by 2014, representing commitments of $184 million. The portfolio consistently maintained a good disbursement ratio—at greater than 24 percent, this ratio remained above the regional average of 20 percent. To support the IDA program, the country team successfully mobilized significant amounts of trust fund financing, which came to represent half of the Bank’s Togo portfolio by 2014, with overall IDA and trust fund commitments reaching nearly $350 million. Two problem projects emerged in 2014/15. The FSGP and the PADSP continued to experience delays in implementation of key activities. These operations both closed with unsatisfactory performance ratings in 2016, having only partially achieved their objectives. Other operations, notably those favoring CDD approaches—including the Community Development Project (PDC), PDC+, the first Education and Institutional Strengthening Project (PERI I), and the Integrated Disaster and Land Management Project (PGICT)—maintained satisfactory performance throughout their lifetime. The Emergency Infrastructure and Electricity Rehabilitation Project (EIREP) achieved good results, exceeding many of its targets, and closed with a satisfactory performance rating. </w:t>
      </w:r>
    </w:p>
    <w:p w14:paraId="64774808" w14:textId="77777777" w:rsidR="0025614E" w:rsidRDefault="0025614E" w:rsidP="0025614E">
      <w:pPr>
        <w:pStyle w:val="ListParagraph"/>
        <w:numPr>
          <w:ilvl w:val="0"/>
          <w:numId w:val="18"/>
        </w:numPr>
        <w:spacing w:after="240"/>
        <w:contextualSpacing w:val="0"/>
        <w:jc w:val="both"/>
      </w:pPr>
      <w:r>
        <w:rPr>
          <w:b/>
          <w:i/>
        </w:rPr>
        <w:t>Delays in procurement represented a binding constraint to the timely and effective execution of investment operations.</w:t>
      </w:r>
      <w:r>
        <w:rPr>
          <w:b/>
        </w:rPr>
        <w:t xml:space="preserve"> </w:t>
      </w:r>
      <w:r>
        <w:t xml:space="preserve">Sources of delay included: (i) limited use of multi-year contracts, requiring </w:t>
      </w:r>
      <w:r>
        <w:lastRenderedPageBreak/>
        <w:t>contracts to be launched every year for the same services; (ii) an</w:t>
      </w:r>
      <w:r>
        <w:rPr>
          <w:bCs/>
          <w:lang w:eastAsia="fr-FR"/>
        </w:rPr>
        <w:t xml:space="preserve"> overly restrictive application of the procurement code, leading to requests for proposals being prepared and launched only after the availability of IDA grants/credits was confirmed; (iii) regular rejection of requests for no objection by the National Procurement Commission due to their poor quality; (iv) delays in the tender and approval of bids for a variety of reasons; (v) extremely limited procurement capacity in ministries; and (vi) weak information and communications systems (to be rectified by the rollout of an integrated procurement system, SIGMAP).</w:t>
      </w:r>
    </w:p>
    <w:p w14:paraId="4F134F6B" w14:textId="77777777" w:rsidR="0025614E" w:rsidRDefault="0025614E" w:rsidP="0025614E">
      <w:pPr>
        <w:rPr>
          <w:rFonts w:eastAsia="SimSun"/>
          <w:b/>
          <w:sz w:val="20"/>
          <w:szCs w:val="20"/>
        </w:rPr>
      </w:pPr>
      <w:r>
        <w:br w:type="page"/>
      </w:r>
    </w:p>
    <w:p w14:paraId="32DAA705" w14:textId="77777777" w:rsidR="0025614E" w:rsidRDefault="0025614E" w:rsidP="0025614E">
      <w:pPr>
        <w:pStyle w:val="CLRTableHeading"/>
      </w:pPr>
      <w:r>
        <w:lastRenderedPageBreak/>
        <w:t>Table 1: Togo Portfolio Highlights, FY2008–16 (as of December 2016)</w:t>
      </w:r>
    </w:p>
    <w:tbl>
      <w:tblPr>
        <w:tblStyle w:val="TableGrid"/>
        <w:tblW w:w="9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68"/>
        <w:gridCol w:w="734"/>
        <w:gridCol w:w="831"/>
        <w:gridCol w:w="810"/>
        <w:gridCol w:w="810"/>
        <w:gridCol w:w="720"/>
        <w:gridCol w:w="810"/>
        <w:gridCol w:w="882"/>
      </w:tblGrid>
      <w:tr w:rsidR="0025614E" w14:paraId="5DA1274B" w14:textId="77777777" w:rsidTr="0025614E">
        <w:trPr>
          <w:jc w:val="center"/>
        </w:trPr>
        <w:tc>
          <w:tcPr>
            <w:tcW w:w="3870" w:type="dxa"/>
            <w:tcBorders>
              <w:top w:val="single" w:sz="4" w:space="0" w:color="auto"/>
              <w:left w:val="nil"/>
              <w:bottom w:val="single" w:sz="4" w:space="0" w:color="auto"/>
              <w:right w:val="nil"/>
            </w:tcBorders>
            <w:vAlign w:val="center"/>
            <w:hideMark/>
          </w:tcPr>
          <w:p w14:paraId="09463AEB" w14:textId="77777777" w:rsidR="0025614E" w:rsidRDefault="0025614E">
            <w:pPr>
              <w:jc w:val="center"/>
              <w:rPr>
                <w:b/>
                <w:sz w:val="18"/>
                <w:szCs w:val="18"/>
              </w:rPr>
            </w:pPr>
            <w:r>
              <w:rPr>
                <w:b/>
                <w:sz w:val="18"/>
                <w:szCs w:val="18"/>
              </w:rPr>
              <w:t>Indicator</w:t>
            </w:r>
          </w:p>
        </w:tc>
        <w:tc>
          <w:tcPr>
            <w:tcW w:w="735" w:type="dxa"/>
            <w:tcBorders>
              <w:top w:val="single" w:sz="4" w:space="0" w:color="auto"/>
              <w:left w:val="nil"/>
              <w:bottom w:val="single" w:sz="4" w:space="0" w:color="auto"/>
              <w:right w:val="nil"/>
            </w:tcBorders>
            <w:vAlign w:val="center"/>
            <w:hideMark/>
          </w:tcPr>
          <w:p w14:paraId="664F0383" w14:textId="77777777" w:rsidR="0025614E" w:rsidRDefault="0025614E">
            <w:pPr>
              <w:jc w:val="center"/>
              <w:rPr>
                <w:b/>
                <w:sz w:val="18"/>
                <w:szCs w:val="18"/>
              </w:rPr>
            </w:pPr>
            <w:r>
              <w:rPr>
                <w:b/>
                <w:sz w:val="18"/>
                <w:szCs w:val="18"/>
              </w:rPr>
              <w:t>FY10</w:t>
            </w:r>
          </w:p>
        </w:tc>
        <w:tc>
          <w:tcPr>
            <w:tcW w:w="831" w:type="dxa"/>
            <w:tcBorders>
              <w:top w:val="single" w:sz="4" w:space="0" w:color="auto"/>
              <w:left w:val="nil"/>
              <w:bottom w:val="single" w:sz="4" w:space="0" w:color="auto"/>
              <w:right w:val="nil"/>
            </w:tcBorders>
            <w:vAlign w:val="center"/>
            <w:hideMark/>
          </w:tcPr>
          <w:p w14:paraId="0046B700" w14:textId="77777777" w:rsidR="0025614E" w:rsidRDefault="0025614E">
            <w:pPr>
              <w:jc w:val="center"/>
              <w:rPr>
                <w:b/>
                <w:sz w:val="18"/>
                <w:szCs w:val="18"/>
              </w:rPr>
            </w:pPr>
            <w:r>
              <w:rPr>
                <w:b/>
                <w:sz w:val="18"/>
                <w:szCs w:val="18"/>
              </w:rPr>
              <w:t>FY11</w:t>
            </w:r>
          </w:p>
        </w:tc>
        <w:tc>
          <w:tcPr>
            <w:tcW w:w="810" w:type="dxa"/>
            <w:tcBorders>
              <w:top w:val="single" w:sz="4" w:space="0" w:color="auto"/>
              <w:left w:val="nil"/>
              <w:bottom w:val="single" w:sz="4" w:space="0" w:color="auto"/>
              <w:right w:val="nil"/>
            </w:tcBorders>
            <w:vAlign w:val="center"/>
            <w:hideMark/>
          </w:tcPr>
          <w:p w14:paraId="33E71886" w14:textId="77777777" w:rsidR="0025614E" w:rsidRDefault="0025614E">
            <w:pPr>
              <w:jc w:val="center"/>
              <w:rPr>
                <w:b/>
                <w:sz w:val="18"/>
                <w:szCs w:val="18"/>
              </w:rPr>
            </w:pPr>
            <w:r>
              <w:rPr>
                <w:b/>
                <w:sz w:val="18"/>
                <w:szCs w:val="18"/>
              </w:rPr>
              <w:t>FY12</w:t>
            </w:r>
          </w:p>
        </w:tc>
        <w:tc>
          <w:tcPr>
            <w:tcW w:w="810" w:type="dxa"/>
            <w:tcBorders>
              <w:top w:val="single" w:sz="4" w:space="0" w:color="auto"/>
              <w:left w:val="nil"/>
              <w:bottom w:val="single" w:sz="4" w:space="0" w:color="auto"/>
              <w:right w:val="nil"/>
            </w:tcBorders>
            <w:vAlign w:val="center"/>
            <w:hideMark/>
          </w:tcPr>
          <w:p w14:paraId="43A495E3" w14:textId="77777777" w:rsidR="0025614E" w:rsidRDefault="0025614E">
            <w:pPr>
              <w:jc w:val="center"/>
              <w:rPr>
                <w:b/>
                <w:sz w:val="18"/>
                <w:szCs w:val="18"/>
              </w:rPr>
            </w:pPr>
            <w:r>
              <w:rPr>
                <w:b/>
                <w:sz w:val="18"/>
                <w:szCs w:val="18"/>
              </w:rPr>
              <w:t>FY13</w:t>
            </w:r>
          </w:p>
        </w:tc>
        <w:tc>
          <w:tcPr>
            <w:tcW w:w="720" w:type="dxa"/>
            <w:tcBorders>
              <w:top w:val="single" w:sz="4" w:space="0" w:color="auto"/>
              <w:left w:val="nil"/>
              <w:bottom w:val="single" w:sz="4" w:space="0" w:color="auto"/>
              <w:right w:val="nil"/>
            </w:tcBorders>
            <w:vAlign w:val="center"/>
            <w:hideMark/>
          </w:tcPr>
          <w:p w14:paraId="1C16F916" w14:textId="77777777" w:rsidR="0025614E" w:rsidRDefault="0025614E">
            <w:pPr>
              <w:jc w:val="center"/>
              <w:rPr>
                <w:b/>
                <w:sz w:val="18"/>
                <w:szCs w:val="18"/>
              </w:rPr>
            </w:pPr>
            <w:r>
              <w:rPr>
                <w:b/>
                <w:sz w:val="18"/>
                <w:szCs w:val="18"/>
              </w:rPr>
              <w:t>FY14</w:t>
            </w:r>
          </w:p>
        </w:tc>
        <w:tc>
          <w:tcPr>
            <w:tcW w:w="810" w:type="dxa"/>
            <w:tcBorders>
              <w:top w:val="single" w:sz="4" w:space="0" w:color="auto"/>
              <w:left w:val="nil"/>
              <w:bottom w:val="single" w:sz="4" w:space="0" w:color="auto"/>
              <w:right w:val="nil"/>
            </w:tcBorders>
            <w:vAlign w:val="center"/>
            <w:hideMark/>
          </w:tcPr>
          <w:p w14:paraId="385E8FBE" w14:textId="77777777" w:rsidR="0025614E" w:rsidRDefault="0025614E">
            <w:pPr>
              <w:jc w:val="center"/>
              <w:rPr>
                <w:b/>
                <w:sz w:val="18"/>
                <w:szCs w:val="18"/>
              </w:rPr>
            </w:pPr>
            <w:r>
              <w:rPr>
                <w:b/>
                <w:sz w:val="18"/>
                <w:szCs w:val="18"/>
              </w:rPr>
              <w:t>FY15</w:t>
            </w:r>
          </w:p>
        </w:tc>
        <w:tc>
          <w:tcPr>
            <w:tcW w:w="882" w:type="dxa"/>
            <w:tcBorders>
              <w:top w:val="single" w:sz="4" w:space="0" w:color="auto"/>
              <w:left w:val="nil"/>
              <w:bottom w:val="single" w:sz="4" w:space="0" w:color="auto"/>
              <w:right w:val="nil"/>
            </w:tcBorders>
            <w:vAlign w:val="center"/>
            <w:hideMark/>
          </w:tcPr>
          <w:p w14:paraId="1EBD4231" w14:textId="77777777" w:rsidR="0025614E" w:rsidRDefault="0025614E">
            <w:pPr>
              <w:jc w:val="center"/>
              <w:rPr>
                <w:b/>
                <w:sz w:val="18"/>
                <w:szCs w:val="18"/>
              </w:rPr>
            </w:pPr>
            <w:r>
              <w:rPr>
                <w:b/>
                <w:sz w:val="18"/>
                <w:szCs w:val="18"/>
              </w:rPr>
              <w:t>FY16</w:t>
            </w:r>
          </w:p>
        </w:tc>
      </w:tr>
      <w:tr w:rsidR="0025614E" w14:paraId="1DFFE6FC" w14:textId="77777777" w:rsidTr="0025614E">
        <w:trPr>
          <w:jc w:val="center"/>
        </w:trPr>
        <w:tc>
          <w:tcPr>
            <w:tcW w:w="9468" w:type="dxa"/>
            <w:gridSpan w:val="8"/>
            <w:tcBorders>
              <w:top w:val="single" w:sz="4" w:space="0" w:color="auto"/>
              <w:left w:val="nil"/>
              <w:bottom w:val="nil"/>
              <w:right w:val="nil"/>
            </w:tcBorders>
            <w:vAlign w:val="center"/>
            <w:hideMark/>
          </w:tcPr>
          <w:p w14:paraId="0A6D4BC1" w14:textId="77777777" w:rsidR="0025614E" w:rsidRDefault="0025614E">
            <w:pPr>
              <w:rPr>
                <w:b/>
                <w:sz w:val="18"/>
                <w:szCs w:val="18"/>
              </w:rPr>
            </w:pPr>
            <w:r>
              <w:rPr>
                <w:b/>
                <w:sz w:val="18"/>
                <w:szCs w:val="18"/>
              </w:rPr>
              <w:t>PORTFOLIO AND DISBURSEMENTS</w:t>
            </w:r>
          </w:p>
        </w:tc>
      </w:tr>
      <w:tr w:rsidR="0025614E" w14:paraId="0C32E1CF" w14:textId="77777777" w:rsidTr="0025614E">
        <w:trPr>
          <w:jc w:val="center"/>
        </w:trPr>
        <w:tc>
          <w:tcPr>
            <w:tcW w:w="3870" w:type="dxa"/>
            <w:tcBorders>
              <w:top w:val="single" w:sz="4" w:space="0" w:color="auto"/>
              <w:left w:val="nil"/>
              <w:bottom w:val="nil"/>
              <w:right w:val="nil"/>
            </w:tcBorders>
            <w:vAlign w:val="center"/>
            <w:hideMark/>
          </w:tcPr>
          <w:p w14:paraId="7D4D0A0A" w14:textId="77777777" w:rsidR="0025614E" w:rsidRDefault="0025614E">
            <w:pPr>
              <w:rPr>
                <w:sz w:val="18"/>
                <w:szCs w:val="18"/>
              </w:rPr>
            </w:pPr>
            <w:r>
              <w:rPr>
                <w:sz w:val="18"/>
                <w:szCs w:val="18"/>
              </w:rPr>
              <w:t>Active projects (number)</w:t>
            </w:r>
          </w:p>
        </w:tc>
        <w:tc>
          <w:tcPr>
            <w:tcW w:w="735" w:type="dxa"/>
            <w:tcBorders>
              <w:top w:val="single" w:sz="4" w:space="0" w:color="auto"/>
              <w:left w:val="nil"/>
              <w:bottom w:val="nil"/>
              <w:right w:val="nil"/>
            </w:tcBorders>
            <w:vAlign w:val="center"/>
            <w:hideMark/>
          </w:tcPr>
          <w:p w14:paraId="0F872031" w14:textId="77777777" w:rsidR="0025614E" w:rsidRDefault="0025614E">
            <w:pPr>
              <w:jc w:val="center"/>
              <w:rPr>
                <w:sz w:val="18"/>
                <w:szCs w:val="18"/>
              </w:rPr>
            </w:pPr>
            <w:r>
              <w:rPr>
                <w:sz w:val="18"/>
                <w:szCs w:val="18"/>
              </w:rPr>
              <w:t xml:space="preserve">        4</w:t>
            </w:r>
          </w:p>
        </w:tc>
        <w:tc>
          <w:tcPr>
            <w:tcW w:w="831" w:type="dxa"/>
            <w:tcBorders>
              <w:top w:val="single" w:sz="4" w:space="0" w:color="auto"/>
              <w:left w:val="nil"/>
              <w:bottom w:val="nil"/>
              <w:right w:val="nil"/>
            </w:tcBorders>
            <w:vAlign w:val="center"/>
            <w:hideMark/>
          </w:tcPr>
          <w:p w14:paraId="4DEAA355" w14:textId="77777777" w:rsidR="0025614E" w:rsidRDefault="0025614E">
            <w:pPr>
              <w:jc w:val="center"/>
              <w:rPr>
                <w:sz w:val="18"/>
                <w:szCs w:val="18"/>
              </w:rPr>
            </w:pPr>
            <w:r>
              <w:rPr>
                <w:sz w:val="18"/>
                <w:szCs w:val="18"/>
              </w:rPr>
              <w:t xml:space="preserve">          7</w:t>
            </w:r>
          </w:p>
        </w:tc>
        <w:tc>
          <w:tcPr>
            <w:tcW w:w="810" w:type="dxa"/>
            <w:tcBorders>
              <w:top w:val="single" w:sz="4" w:space="0" w:color="auto"/>
              <w:left w:val="nil"/>
              <w:bottom w:val="nil"/>
              <w:right w:val="nil"/>
            </w:tcBorders>
            <w:vAlign w:val="center"/>
            <w:hideMark/>
          </w:tcPr>
          <w:p w14:paraId="3D88E22C" w14:textId="77777777" w:rsidR="0025614E" w:rsidRDefault="0025614E">
            <w:pPr>
              <w:jc w:val="center"/>
              <w:rPr>
                <w:sz w:val="18"/>
                <w:szCs w:val="18"/>
              </w:rPr>
            </w:pPr>
            <w:r>
              <w:rPr>
                <w:sz w:val="18"/>
                <w:szCs w:val="18"/>
              </w:rPr>
              <w:t xml:space="preserve">          8</w:t>
            </w:r>
          </w:p>
        </w:tc>
        <w:tc>
          <w:tcPr>
            <w:tcW w:w="810" w:type="dxa"/>
            <w:tcBorders>
              <w:top w:val="single" w:sz="4" w:space="0" w:color="auto"/>
              <w:left w:val="nil"/>
              <w:bottom w:val="nil"/>
              <w:right w:val="nil"/>
            </w:tcBorders>
            <w:vAlign w:val="center"/>
            <w:hideMark/>
          </w:tcPr>
          <w:p w14:paraId="47599A36" w14:textId="77777777" w:rsidR="0025614E" w:rsidRDefault="0025614E">
            <w:pPr>
              <w:jc w:val="center"/>
              <w:rPr>
                <w:sz w:val="18"/>
                <w:szCs w:val="18"/>
              </w:rPr>
            </w:pPr>
            <w:r>
              <w:rPr>
                <w:sz w:val="18"/>
                <w:szCs w:val="18"/>
              </w:rPr>
              <w:t xml:space="preserve">          8</w:t>
            </w:r>
          </w:p>
        </w:tc>
        <w:tc>
          <w:tcPr>
            <w:tcW w:w="720" w:type="dxa"/>
            <w:tcBorders>
              <w:top w:val="single" w:sz="4" w:space="0" w:color="auto"/>
              <w:left w:val="nil"/>
              <w:bottom w:val="nil"/>
              <w:right w:val="nil"/>
            </w:tcBorders>
            <w:vAlign w:val="center"/>
            <w:hideMark/>
          </w:tcPr>
          <w:p w14:paraId="537DD67E" w14:textId="77777777" w:rsidR="0025614E" w:rsidRDefault="0025614E">
            <w:pPr>
              <w:jc w:val="center"/>
              <w:rPr>
                <w:sz w:val="18"/>
                <w:szCs w:val="18"/>
              </w:rPr>
            </w:pPr>
            <w:r>
              <w:rPr>
                <w:sz w:val="18"/>
                <w:szCs w:val="18"/>
              </w:rPr>
              <w:t xml:space="preserve">          8</w:t>
            </w:r>
          </w:p>
        </w:tc>
        <w:tc>
          <w:tcPr>
            <w:tcW w:w="810" w:type="dxa"/>
            <w:tcBorders>
              <w:top w:val="single" w:sz="4" w:space="0" w:color="auto"/>
              <w:left w:val="nil"/>
              <w:bottom w:val="nil"/>
              <w:right w:val="nil"/>
            </w:tcBorders>
            <w:vAlign w:val="center"/>
            <w:hideMark/>
          </w:tcPr>
          <w:p w14:paraId="1D9A878D" w14:textId="77777777" w:rsidR="0025614E" w:rsidRDefault="0025614E">
            <w:pPr>
              <w:jc w:val="center"/>
              <w:rPr>
                <w:sz w:val="18"/>
                <w:szCs w:val="18"/>
              </w:rPr>
            </w:pPr>
            <w:r>
              <w:rPr>
                <w:sz w:val="18"/>
                <w:szCs w:val="18"/>
              </w:rPr>
              <w:t xml:space="preserve">          8</w:t>
            </w:r>
          </w:p>
        </w:tc>
        <w:tc>
          <w:tcPr>
            <w:tcW w:w="882" w:type="dxa"/>
            <w:tcBorders>
              <w:top w:val="single" w:sz="4" w:space="0" w:color="auto"/>
              <w:left w:val="nil"/>
              <w:bottom w:val="nil"/>
              <w:right w:val="nil"/>
            </w:tcBorders>
            <w:vAlign w:val="center"/>
            <w:hideMark/>
          </w:tcPr>
          <w:p w14:paraId="4C4EF5A7" w14:textId="77777777" w:rsidR="0025614E" w:rsidRDefault="0025614E">
            <w:pPr>
              <w:jc w:val="center"/>
              <w:rPr>
                <w:sz w:val="18"/>
                <w:szCs w:val="18"/>
              </w:rPr>
            </w:pPr>
            <w:r>
              <w:rPr>
                <w:sz w:val="18"/>
                <w:szCs w:val="18"/>
              </w:rPr>
              <w:t xml:space="preserve">          6</w:t>
            </w:r>
          </w:p>
        </w:tc>
      </w:tr>
      <w:tr w:rsidR="0025614E" w14:paraId="1AA73CF3" w14:textId="77777777" w:rsidTr="0025614E">
        <w:trPr>
          <w:jc w:val="center"/>
        </w:trPr>
        <w:tc>
          <w:tcPr>
            <w:tcW w:w="3870" w:type="dxa"/>
            <w:vAlign w:val="center"/>
            <w:hideMark/>
          </w:tcPr>
          <w:p w14:paraId="170D8962" w14:textId="77777777" w:rsidR="0025614E" w:rsidRDefault="0025614E">
            <w:pPr>
              <w:rPr>
                <w:sz w:val="18"/>
                <w:szCs w:val="18"/>
              </w:rPr>
            </w:pPr>
            <w:r>
              <w:rPr>
                <w:sz w:val="18"/>
                <w:szCs w:val="18"/>
              </w:rPr>
              <w:t>Net commitments ($ millions)</w:t>
            </w:r>
          </w:p>
        </w:tc>
        <w:tc>
          <w:tcPr>
            <w:tcW w:w="735" w:type="dxa"/>
            <w:vAlign w:val="center"/>
            <w:hideMark/>
          </w:tcPr>
          <w:p w14:paraId="7D5C3D81" w14:textId="77777777" w:rsidR="0025614E" w:rsidRDefault="0025614E">
            <w:pPr>
              <w:jc w:val="center"/>
              <w:rPr>
                <w:bCs/>
                <w:sz w:val="18"/>
                <w:szCs w:val="18"/>
              </w:rPr>
            </w:pPr>
            <w:r>
              <w:rPr>
                <w:rFonts w:eastAsia="Times New Roman" w:cs="Tahoma"/>
                <w:color w:val="333333"/>
                <w:sz w:val="18"/>
                <w:szCs w:val="18"/>
              </w:rPr>
              <w:t>81.02</w:t>
            </w:r>
          </w:p>
        </w:tc>
        <w:tc>
          <w:tcPr>
            <w:tcW w:w="831" w:type="dxa"/>
            <w:vAlign w:val="center"/>
            <w:hideMark/>
          </w:tcPr>
          <w:p w14:paraId="56B073F3" w14:textId="77777777" w:rsidR="0025614E" w:rsidRDefault="0025614E">
            <w:pPr>
              <w:jc w:val="center"/>
              <w:rPr>
                <w:bCs/>
                <w:sz w:val="18"/>
                <w:szCs w:val="18"/>
              </w:rPr>
            </w:pPr>
            <w:r>
              <w:rPr>
                <w:rFonts w:eastAsia="Times New Roman" w:cs="Tahoma"/>
                <w:color w:val="333333"/>
                <w:sz w:val="18"/>
                <w:szCs w:val="18"/>
              </w:rPr>
              <w:t>174.72</w:t>
            </w:r>
          </w:p>
        </w:tc>
        <w:tc>
          <w:tcPr>
            <w:tcW w:w="810" w:type="dxa"/>
            <w:vAlign w:val="center"/>
            <w:hideMark/>
          </w:tcPr>
          <w:p w14:paraId="4A5D154E" w14:textId="77777777" w:rsidR="0025614E" w:rsidRDefault="0025614E">
            <w:pPr>
              <w:jc w:val="center"/>
              <w:rPr>
                <w:bCs/>
                <w:sz w:val="18"/>
                <w:szCs w:val="18"/>
              </w:rPr>
            </w:pPr>
            <w:r>
              <w:rPr>
                <w:rFonts w:eastAsia="Times New Roman" w:cs="Tahoma"/>
                <w:color w:val="333333"/>
                <w:sz w:val="18"/>
                <w:szCs w:val="18"/>
              </w:rPr>
              <w:t>178.42</w:t>
            </w:r>
          </w:p>
        </w:tc>
        <w:tc>
          <w:tcPr>
            <w:tcW w:w="810" w:type="dxa"/>
            <w:vAlign w:val="center"/>
            <w:hideMark/>
          </w:tcPr>
          <w:p w14:paraId="70073DFB" w14:textId="77777777" w:rsidR="0025614E" w:rsidRDefault="0025614E">
            <w:pPr>
              <w:jc w:val="center"/>
              <w:rPr>
                <w:bCs/>
                <w:sz w:val="18"/>
                <w:szCs w:val="18"/>
              </w:rPr>
            </w:pPr>
            <w:r>
              <w:rPr>
                <w:rFonts w:eastAsia="Times New Roman" w:cs="Tahoma"/>
                <w:color w:val="333333"/>
                <w:sz w:val="18"/>
                <w:szCs w:val="18"/>
              </w:rPr>
              <w:t>185.87</w:t>
            </w:r>
          </w:p>
        </w:tc>
        <w:tc>
          <w:tcPr>
            <w:tcW w:w="720" w:type="dxa"/>
            <w:vAlign w:val="center"/>
            <w:hideMark/>
          </w:tcPr>
          <w:p w14:paraId="60E1AE8F" w14:textId="77777777" w:rsidR="0025614E" w:rsidRDefault="0025614E">
            <w:pPr>
              <w:jc w:val="center"/>
              <w:rPr>
                <w:bCs/>
                <w:sz w:val="18"/>
                <w:szCs w:val="18"/>
              </w:rPr>
            </w:pPr>
            <w:r>
              <w:rPr>
                <w:rFonts w:eastAsia="Times New Roman" w:cs="Tahoma"/>
                <w:color w:val="333333"/>
                <w:sz w:val="18"/>
                <w:szCs w:val="18"/>
              </w:rPr>
              <w:t>183.15</w:t>
            </w:r>
          </w:p>
        </w:tc>
        <w:tc>
          <w:tcPr>
            <w:tcW w:w="810" w:type="dxa"/>
            <w:vAlign w:val="center"/>
            <w:hideMark/>
          </w:tcPr>
          <w:p w14:paraId="4CF27ED6" w14:textId="77777777" w:rsidR="0025614E" w:rsidRDefault="0025614E">
            <w:pPr>
              <w:jc w:val="center"/>
              <w:rPr>
                <w:bCs/>
                <w:sz w:val="18"/>
                <w:szCs w:val="18"/>
              </w:rPr>
            </w:pPr>
            <w:r>
              <w:rPr>
                <w:rFonts w:eastAsia="Times New Roman" w:cs="Tahoma"/>
                <w:color w:val="333333"/>
                <w:sz w:val="18"/>
                <w:szCs w:val="18"/>
              </w:rPr>
              <w:t>168.94</w:t>
            </w:r>
          </w:p>
        </w:tc>
        <w:tc>
          <w:tcPr>
            <w:tcW w:w="882" w:type="dxa"/>
            <w:vAlign w:val="center"/>
            <w:hideMark/>
          </w:tcPr>
          <w:p w14:paraId="0DF8BE3F" w14:textId="77777777" w:rsidR="0025614E" w:rsidRDefault="0025614E">
            <w:pPr>
              <w:jc w:val="center"/>
              <w:rPr>
                <w:bCs/>
                <w:sz w:val="18"/>
                <w:szCs w:val="18"/>
              </w:rPr>
            </w:pPr>
            <w:r>
              <w:rPr>
                <w:rFonts w:eastAsia="Times New Roman" w:cs="Tahoma"/>
                <w:color w:val="333333"/>
                <w:sz w:val="18"/>
                <w:szCs w:val="18"/>
              </w:rPr>
              <w:t>108.84</w:t>
            </w:r>
          </w:p>
        </w:tc>
      </w:tr>
      <w:tr w:rsidR="0025614E" w14:paraId="0336093B" w14:textId="77777777" w:rsidTr="0025614E">
        <w:trPr>
          <w:jc w:val="center"/>
        </w:trPr>
        <w:tc>
          <w:tcPr>
            <w:tcW w:w="3870" w:type="dxa"/>
            <w:vAlign w:val="center"/>
            <w:hideMark/>
          </w:tcPr>
          <w:p w14:paraId="1CD9E363" w14:textId="77777777" w:rsidR="0025614E" w:rsidRDefault="0025614E">
            <w:pPr>
              <w:rPr>
                <w:sz w:val="18"/>
                <w:szCs w:val="18"/>
              </w:rPr>
            </w:pPr>
            <w:r>
              <w:rPr>
                <w:sz w:val="18"/>
                <w:szCs w:val="18"/>
              </w:rPr>
              <w:t>Total disbursements ($ millions)</w:t>
            </w:r>
          </w:p>
        </w:tc>
        <w:tc>
          <w:tcPr>
            <w:tcW w:w="735" w:type="dxa"/>
            <w:vAlign w:val="center"/>
            <w:hideMark/>
          </w:tcPr>
          <w:p w14:paraId="6DF50DC6" w14:textId="77777777" w:rsidR="0025614E" w:rsidRDefault="0025614E">
            <w:pPr>
              <w:jc w:val="center"/>
              <w:rPr>
                <w:bCs/>
                <w:sz w:val="18"/>
                <w:szCs w:val="18"/>
              </w:rPr>
            </w:pPr>
            <w:r>
              <w:rPr>
                <w:rFonts w:eastAsia="Times New Roman" w:cs="Tahoma"/>
                <w:color w:val="333333"/>
                <w:sz w:val="18"/>
                <w:szCs w:val="18"/>
              </w:rPr>
              <w:t>14.40</w:t>
            </w:r>
          </w:p>
        </w:tc>
        <w:tc>
          <w:tcPr>
            <w:tcW w:w="831" w:type="dxa"/>
            <w:vAlign w:val="center"/>
            <w:hideMark/>
          </w:tcPr>
          <w:p w14:paraId="6D1E69B3" w14:textId="77777777" w:rsidR="0025614E" w:rsidRDefault="0025614E">
            <w:pPr>
              <w:jc w:val="center"/>
              <w:rPr>
                <w:bCs/>
                <w:sz w:val="18"/>
                <w:szCs w:val="18"/>
              </w:rPr>
            </w:pPr>
            <w:r>
              <w:rPr>
                <w:rFonts w:eastAsia="Times New Roman" w:cs="Tahoma"/>
                <w:color w:val="333333"/>
                <w:sz w:val="18"/>
                <w:szCs w:val="18"/>
              </w:rPr>
              <w:t xml:space="preserve">   65.98</w:t>
            </w:r>
          </w:p>
        </w:tc>
        <w:tc>
          <w:tcPr>
            <w:tcW w:w="810" w:type="dxa"/>
            <w:vAlign w:val="center"/>
            <w:hideMark/>
          </w:tcPr>
          <w:p w14:paraId="42C9F322" w14:textId="77777777" w:rsidR="0025614E" w:rsidRDefault="0025614E">
            <w:pPr>
              <w:jc w:val="center"/>
              <w:rPr>
                <w:bCs/>
                <w:sz w:val="18"/>
                <w:szCs w:val="18"/>
              </w:rPr>
            </w:pPr>
            <w:r>
              <w:rPr>
                <w:rFonts w:eastAsia="Times New Roman" w:cs="Tahoma"/>
                <w:color w:val="333333"/>
                <w:sz w:val="18"/>
                <w:szCs w:val="18"/>
              </w:rPr>
              <w:t xml:space="preserve">  64.69</w:t>
            </w:r>
          </w:p>
        </w:tc>
        <w:tc>
          <w:tcPr>
            <w:tcW w:w="810" w:type="dxa"/>
            <w:vAlign w:val="center"/>
            <w:hideMark/>
          </w:tcPr>
          <w:p w14:paraId="588149F9" w14:textId="77777777" w:rsidR="0025614E" w:rsidRDefault="0025614E">
            <w:pPr>
              <w:jc w:val="center"/>
              <w:rPr>
                <w:bCs/>
                <w:sz w:val="18"/>
                <w:szCs w:val="18"/>
              </w:rPr>
            </w:pPr>
            <w:r>
              <w:rPr>
                <w:rFonts w:eastAsia="Times New Roman" w:cs="Tahoma"/>
                <w:color w:val="333333"/>
                <w:sz w:val="18"/>
                <w:szCs w:val="18"/>
              </w:rPr>
              <w:t xml:space="preserve">  91.21</w:t>
            </w:r>
          </w:p>
        </w:tc>
        <w:tc>
          <w:tcPr>
            <w:tcW w:w="720" w:type="dxa"/>
            <w:vAlign w:val="center"/>
            <w:hideMark/>
          </w:tcPr>
          <w:p w14:paraId="72FFC180" w14:textId="77777777" w:rsidR="0025614E" w:rsidRDefault="0025614E">
            <w:pPr>
              <w:jc w:val="center"/>
              <w:rPr>
                <w:bCs/>
                <w:sz w:val="18"/>
                <w:szCs w:val="18"/>
              </w:rPr>
            </w:pPr>
            <w:r>
              <w:rPr>
                <w:rFonts w:eastAsia="Times New Roman" w:cs="Tahoma"/>
                <w:color w:val="333333"/>
                <w:sz w:val="18"/>
                <w:szCs w:val="18"/>
              </w:rPr>
              <w:t>100.70</w:t>
            </w:r>
          </w:p>
        </w:tc>
        <w:tc>
          <w:tcPr>
            <w:tcW w:w="810" w:type="dxa"/>
            <w:vAlign w:val="center"/>
            <w:hideMark/>
          </w:tcPr>
          <w:p w14:paraId="58AF48DB" w14:textId="77777777" w:rsidR="0025614E" w:rsidRDefault="0025614E">
            <w:pPr>
              <w:jc w:val="center"/>
              <w:rPr>
                <w:bCs/>
                <w:sz w:val="18"/>
                <w:szCs w:val="18"/>
              </w:rPr>
            </w:pPr>
            <w:r>
              <w:rPr>
                <w:rFonts w:eastAsia="Times New Roman" w:cs="Tahoma"/>
                <w:color w:val="333333"/>
                <w:sz w:val="18"/>
                <w:szCs w:val="18"/>
              </w:rPr>
              <w:t xml:space="preserve">  81.19</w:t>
            </w:r>
          </w:p>
        </w:tc>
        <w:tc>
          <w:tcPr>
            <w:tcW w:w="882" w:type="dxa"/>
            <w:vAlign w:val="center"/>
            <w:hideMark/>
          </w:tcPr>
          <w:p w14:paraId="578ACF0D" w14:textId="77777777" w:rsidR="0025614E" w:rsidRDefault="0025614E">
            <w:pPr>
              <w:jc w:val="center"/>
              <w:rPr>
                <w:bCs/>
                <w:sz w:val="18"/>
                <w:szCs w:val="18"/>
              </w:rPr>
            </w:pPr>
            <w:r>
              <w:rPr>
                <w:rFonts w:eastAsia="Times New Roman" w:cs="Tahoma"/>
                <w:color w:val="333333"/>
                <w:sz w:val="18"/>
                <w:szCs w:val="18"/>
              </w:rPr>
              <w:t xml:space="preserve">  48.06</w:t>
            </w:r>
          </w:p>
        </w:tc>
      </w:tr>
      <w:tr w:rsidR="0025614E" w14:paraId="205480A1" w14:textId="77777777" w:rsidTr="0025614E">
        <w:trPr>
          <w:jc w:val="center"/>
        </w:trPr>
        <w:tc>
          <w:tcPr>
            <w:tcW w:w="3870" w:type="dxa"/>
            <w:vAlign w:val="center"/>
            <w:hideMark/>
          </w:tcPr>
          <w:p w14:paraId="4B0CD84D" w14:textId="77777777" w:rsidR="0025614E" w:rsidRDefault="0025614E">
            <w:pPr>
              <w:rPr>
                <w:sz w:val="18"/>
                <w:szCs w:val="18"/>
              </w:rPr>
            </w:pPr>
            <w:r>
              <w:rPr>
                <w:sz w:val="18"/>
                <w:szCs w:val="18"/>
              </w:rPr>
              <w:t>Total undisbursed balance ($ millions)</w:t>
            </w:r>
          </w:p>
        </w:tc>
        <w:tc>
          <w:tcPr>
            <w:tcW w:w="735" w:type="dxa"/>
            <w:vAlign w:val="center"/>
            <w:hideMark/>
          </w:tcPr>
          <w:p w14:paraId="46D2E0D6" w14:textId="77777777" w:rsidR="0025614E" w:rsidRDefault="0025614E">
            <w:pPr>
              <w:jc w:val="center"/>
              <w:rPr>
                <w:bCs/>
                <w:sz w:val="18"/>
                <w:szCs w:val="18"/>
              </w:rPr>
            </w:pPr>
            <w:r>
              <w:rPr>
                <w:rFonts w:eastAsia="Times New Roman" w:cs="Tahoma"/>
                <w:color w:val="333333"/>
                <w:sz w:val="18"/>
                <w:szCs w:val="18"/>
              </w:rPr>
              <w:t>64.01</w:t>
            </w:r>
          </w:p>
        </w:tc>
        <w:tc>
          <w:tcPr>
            <w:tcW w:w="831" w:type="dxa"/>
            <w:vAlign w:val="center"/>
            <w:hideMark/>
          </w:tcPr>
          <w:p w14:paraId="23083A93" w14:textId="77777777" w:rsidR="0025614E" w:rsidRDefault="0025614E">
            <w:pPr>
              <w:jc w:val="center"/>
              <w:rPr>
                <w:bCs/>
                <w:sz w:val="18"/>
                <w:szCs w:val="18"/>
              </w:rPr>
            </w:pPr>
            <w:r>
              <w:rPr>
                <w:rFonts w:eastAsia="Times New Roman" w:cs="Tahoma"/>
                <w:color w:val="333333"/>
                <w:sz w:val="18"/>
                <w:szCs w:val="18"/>
              </w:rPr>
              <w:t>110.43</w:t>
            </w:r>
          </w:p>
        </w:tc>
        <w:tc>
          <w:tcPr>
            <w:tcW w:w="810" w:type="dxa"/>
            <w:vAlign w:val="center"/>
            <w:hideMark/>
          </w:tcPr>
          <w:p w14:paraId="0DBBE229" w14:textId="77777777" w:rsidR="0025614E" w:rsidRDefault="0025614E">
            <w:pPr>
              <w:jc w:val="center"/>
              <w:rPr>
                <w:bCs/>
                <w:sz w:val="18"/>
                <w:szCs w:val="18"/>
              </w:rPr>
            </w:pPr>
            <w:r>
              <w:rPr>
                <w:rFonts w:eastAsia="Times New Roman" w:cs="Tahoma"/>
                <w:color w:val="333333"/>
                <w:sz w:val="18"/>
                <w:szCs w:val="18"/>
              </w:rPr>
              <w:t>107.27</w:t>
            </w:r>
          </w:p>
        </w:tc>
        <w:tc>
          <w:tcPr>
            <w:tcW w:w="810" w:type="dxa"/>
            <w:vAlign w:val="center"/>
            <w:hideMark/>
          </w:tcPr>
          <w:p w14:paraId="7BE000AE" w14:textId="77777777" w:rsidR="0025614E" w:rsidRDefault="0025614E">
            <w:pPr>
              <w:jc w:val="center"/>
              <w:rPr>
                <w:bCs/>
                <w:sz w:val="18"/>
                <w:szCs w:val="18"/>
              </w:rPr>
            </w:pPr>
            <w:r>
              <w:rPr>
                <w:rFonts w:eastAsia="Times New Roman" w:cs="Tahoma"/>
                <w:color w:val="333333"/>
                <w:sz w:val="18"/>
                <w:szCs w:val="18"/>
              </w:rPr>
              <w:t xml:space="preserve">  97.85</w:t>
            </w:r>
          </w:p>
        </w:tc>
        <w:tc>
          <w:tcPr>
            <w:tcW w:w="720" w:type="dxa"/>
            <w:vAlign w:val="center"/>
            <w:hideMark/>
          </w:tcPr>
          <w:p w14:paraId="5B86FF7B" w14:textId="77777777" w:rsidR="0025614E" w:rsidRDefault="0025614E">
            <w:pPr>
              <w:jc w:val="center"/>
              <w:rPr>
                <w:bCs/>
                <w:sz w:val="18"/>
                <w:szCs w:val="18"/>
              </w:rPr>
            </w:pPr>
            <w:r>
              <w:rPr>
                <w:rFonts w:eastAsia="Times New Roman" w:cs="Tahoma"/>
                <w:color w:val="333333"/>
                <w:sz w:val="18"/>
                <w:szCs w:val="18"/>
              </w:rPr>
              <w:t xml:space="preserve">  88.22</w:t>
            </w:r>
          </w:p>
        </w:tc>
        <w:tc>
          <w:tcPr>
            <w:tcW w:w="810" w:type="dxa"/>
            <w:vAlign w:val="center"/>
            <w:hideMark/>
          </w:tcPr>
          <w:p w14:paraId="6503FDA7" w14:textId="77777777" w:rsidR="0025614E" w:rsidRDefault="0025614E">
            <w:pPr>
              <w:jc w:val="center"/>
              <w:rPr>
                <w:bCs/>
                <w:sz w:val="18"/>
                <w:szCs w:val="18"/>
              </w:rPr>
            </w:pPr>
            <w:r>
              <w:rPr>
                <w:rFonts w:eastAsia="Times New Roman" w:cs="Tahoma"/>
                <w:color w:val="333333"/>
                <w:sz w:val="18"/>
                <w:szCs w:val="18"/>
              </w:rPr>
              <w:t xml:space="preserve">  59.09</w:t>
            </w:r>
          </w:p>
        </w:tc>
        <w:tc>
          <w:tcPr>
            <w:tcW w:w="882" w:type="dxa"/>
            <w:vAlign w:val="center"/>
            <w:hideMark/>
          </w:tcPr>
          <w:p w14:paraId="6526E60D" w14:textId="77777777" w:rsidR="0025614E" w:rsidRDefault="0025614E">
            <w:pPr>
              <w:jc w:val="center"/>
              <w:rPr>
                <w:bCs/>
                <w:sz w:val="18"/>
                <w:szCs w:val="18"/>
              </w:rPr>
            </w:pPr>
            <w:r>
              <w:rPr>
                <w:rFonts w:eastAsia="Times New Roman" w:cs="Tahoma"/>
                <w:color w:val="333333"/>
                <w:sz w:val="18"/>
                <w:szCs w:val="18"/>
              </w:rPr>
              <w:t xml:space="preserve">  57.94</w:t>
            </w:r>
          </w:p>
        </w:tc>
      </w:tr>
      <w:tr w:rsidR="0025614E" w14:paraId="156DCE80" w14:textId="77777777" w:rsidTr="0025614E">
        <w:trPr>
          <w:jc w:val="center"/>
        </w:trPr>
        <w:tc>
          <w:tcPr>
            <w:tcW w:w="3870" w:type="dxa"/>
            <w:vAlign w:val="center"/>
            <w:hideMark/>
          </w:tcPr>
          <w:p w14:paraId="64D75649" w14:textId="77777777" w:rsidR="0025614E" w:rsidRDefault="0025614E">
            <w:pPr>
              <w:rPr>
                <w:sz w:val="18"/>
                <w:szCs w:val="18"/>
              </w:rPr>
            </w:pPr>
            <w:r>
              <w:rPr>
                <w:sz w:val="18"/>
                <w:szCs w:val="18"/>
              </w:rPr>
              <w:t>Disbursements in FY ($ millions)</w:t>
            </w:r>
          </w:p>
        </w:tc>
        <w:tc>
          <w:tcPr>
            <w:tcW w:w="735" w:type="dxa"/>
            <w:vAlign w:val="center"/>
            <w:hideMark/>
          </w:tcPr>
          <w:p w14:paraId="34161865" w14:textId="77777777" w:rsidR="0025614E" w:rsidRDefault="0025614E">
            <w:pPr>
              <w:jc w:val="center"/>
              <w:rPr>
                <w:bCs/>
                <w:sz w:val="18"/>
                <w:szCs w:val="18"/>
              </w:rPr>
            </w:pPr>
            <w:r>
              <w:rPr>
                <w:rFonts w:eastAsia="Times New Roman" w:cs="Tahoma"/>
                <w:color w:val="333333"/>
                <w:sz w:val="18"/>
                <w:szCs w:val="18"/>
              </w:rPr>
              <w:t>12.51</w:t>
            </w:r>
          </w:p>
        </w:tc>
        <w:tc>
          <w:tcPr>
            <w:tcW w:w="831" w:type="dxa"/>
            <w:vAlign w:val="center"/>
            <w:hideMark/>
          </w:tcPr>
          <w:p w14:paraId="4EB2A76B" w14:textId="77777777" w:rsidR="0025614E" w:rsidRDefault="0025614E">
            <w:pPr>
              <w:jc w:val="center"/>
              <w:rPr>
                <w:bCs/>
                <w:sz w:val="18"/>
                <w:szCs w:val="18"/>
              </w:rPr>
            </w:pPr>
            <w:r>
              <w:rPr>
                <w:rFonts w:eastAsia="Times New Roman" w:cs="Tahoma"/>
                <w:color w:val="333333"/>
                <w:sz w:val="18"/>
                <w:szCs w:val="18"/>
              </w:rPr>
              <w:t xml:space="preserve">  51.58</w:t>
            </w:r>
          </w:p>
        </w:tc>
        <w:tc>
          <w:tcPr>
            <w:tcW w:w="810" w:type="dxa"/>
            <w:vAlign w:val="center"/>
            <w:hideMark/>
          </w:tcPr>
          <w:p w14:paraId="36CD8DB6" w14:textId="77777777" w:rsidR="0025614E" w:rsidRDefault="0025614E">
            <w:pPr>
              <w:jc w:val="center"/>
              <w:rPr>
                <w:bCs/>
                <w:sz w:val="18"/>
                <w:szCs w:val="18"/>
              </w:rPr>
            </w:pPr>
            <w:r>
              <w:rPr>
                <w:rFonts w:eastAsia="Times New Roman" w:cs="Tahoma"/>
                <w:color w:val="333333"/>
                <w:sz w:val="18"/>
                <w:szCs w:val="18"/>
              </w:rPr>
              <w:t xml:space="preserve">  27.27</w:t>
            </w:r>
          </w:p>
        </w:tc>
        <w:tc>
          <w:tcPr>
            <w:tcW w:w="810" w:type="dxa"/>
            <w:vAlign w:val="center"/>
            <w:hideMark/>
          </w:tcPr>
          <w:p w14:paraId="06C250CB" w14:textId="77777777" w:rsidR="0025614E" w:rsidRDefault="0025614E">
            <w:pPr>
              <w:jc w:val="center"/>
              <w:rPr>
                <w:bCs/>
                <w:sz w:val="18"/>
                <w:szCs w:val="18"/>
              </w:rPr>
            </w:pPr>
            <w:r>
              <w:rPr>
                <w:rFonts w:eastAsia="Times New Roman" w:cs="Tahoma"/>
                <w:color w:val="333333"/>
                <w:sz w:val="18"/>
                <w:szCs w:val="18"/>
              </w:rPr>
              <w:t xml:space="preserve">  26.52</w:t>
            </w:r>
          </w:p>
        </w:tc>
        <w:tc>
          <w:tcPr>
            <w:tcW w:w="720" w:type="dxa"/>
            <w:vAlign w:val="center"/>
            <w:hideMark/>
          </w:tcPr>
          <w:p w14:paraId="67A22EC5" w14:textId="77777777" w:rsidR="0025614E" w:rsidRDefault="0025614E">
            <w:pPr>
              <w:jc w:val="center"/>
              <w:rPr>
                <w:bCs/>
                <w:sz w:val="18"/>
                <w:szCs w:val="18"/>
              </w:rPr>
            </w:pPr>
            <w:r>
              <w:rPr>
                <w:rFonts w:eastAsia="Times New Roman" w:cs="Tahoma"/>
                <w:color w:val="333333"/>
                <w:sz w:val="18"/>
                <w:szCs w:val="18"/>
              </w:rPr>
              <w:t xml:space="preserve">  34.76</w:t>
            </w:r>
          </w:p>
        </w:tc>
        <w:tc>
          <w:tcPr>
            <w:tcW w:w="810" w:type="dxa"/>
            <w:vAlign w:val="center"/>
            <w:hideMark/>
          </w:tcPr>
          <w:p w14:paraId="53E93027" w14:textId="77777777" w:rsidR="0025614E" w:rsidRDefault="0025614E">
            <w:pPr>
              <w:jc w:val="center"/>
              <w:rPr>
                <w:bCs/>
                <w:sz w:val="18"/>
                <w:szCs w:val="18"/>
              </w:rPr>
            </w:pPr>
            <w:r>
              <w:rPr>
                <w:rFonts w:eastAsia="Times New Roman" w:cs="Tahoma"/>
                <w:color w:val="333333"/>
                <w:sz w:val="18"/>
                <w:szCs w:val="18"/>
              </w:rPr>
              <w:t xml:space="preserve">  23.94</w:t>
            </w:r>
          </w:p>
        </w:tc>
        <w:tc>
          <w:tcPr>
            <w:tcW w:w="882" w:type="dxa"/>
            <w:vAlign w:val="center"/>
            <w:hideMark/>
          </w:tcPr>
          <w:p w14:paraId="33E93A49" w14:textId="77777777" w:rsidR="0025614E" w:rsidRDefault="0025614E">
            <w:pPr>
              <w:jc w:val="center"/>
              <w:rPr>
                <w:bCs/>
                <w:sz w:val="18"/>
                <w:szCs w:val="18"/>
              </w:rPr>
            </w:pPr>
            <w:r>
              <w:rPr>
                <w:rFonts w:eastAsia="Times New Roman" w:cs="Tahoma"/>
                <w:color w:val="333333"/>
                <w:sz w:val="18"/>
                <w:szCs w:val="18"/>
              </w:rPr>
              <w:t xml:space="preserve">  22.15</w:t>
            </w:r>
          </w:p>
        </w:tc>
      </w:tr>
      <w:tr w:rsidR="0025614E" w14:paraId="2EB6C9A6" w14:textId="77777777" w:rsidTr="0025614E">
        <w:trPr>
          <w:jc w:val="center"/>
        </w:trPr>
        <w:tc>
          <w:tcPr>
            <w:tcW w:w="3870" w:type="dxa"/>
            <w:vAlign w:val="center"/>
            <w:hideMark/>
          </w:tcPr>
          <w:p w14:paraId="3097BF05" w14:textId="77777777" w:rsidR="0025614E" w:rsidRDefault="0025614E">
            <w:pPr>
              <w:rPr>
                <w:sz w:val="18"/>
                <w:szCs w:val="18"/>
              </w:rPr>
            </w:pPr>
            <w:r>
              <w:rPr>
                <w:sz w:val="18"/>
                <w:szCs w:val="18"/>
              </w:rPr>
              <w:t>Disbursement ratio, IPF (investment projects) only (%)</w:t>
            </w:r>
          </w:p>
        </w:tc>
        <w:tc>
          <w:tcPr>
            <w:tcW w:w="735" w:type="dxa"/>
            <w:vAlign w:val="center"/>
            <w:hideMark/>
          </w:tcPr>
          <w:p w14:paraId="4887F756" w14:textId="77777777" w:rsidR="0025614E" w:rsidRDefault="0025614E">
            <w:pPr>
              <w:jc w:val="center"/>
              <w:rPr>
                <w:bCs/>
                <w:sz w:val="18"/>
                <w:szCs w:val="18"/>
              </w:rPr>
            </w:pPr>
            <w:r>
              <w:rPr>
                <w:rFonts w:eastAsia="Times New Roman" w:cs="Tahoma"/>
                <w:color w:val="333333"/>
                <w:sz w:val="18"/>
                <w:szCs w:val="18"/>
              </w:rPr>
              <w:t xml:space="preserve">  24.2</w:t>
            </w:r>
          </w:p>
        </w:tc>
        <w:tc>
          <w:tcPr>
            <w:tcW w:w="831" w:type="dxa"/>
            <w:vAlign w:val="center"/>
            <w:hideMark/>
          </w:tcPr>
          <w:p w14:paraId="232873E3" w14:textId="77777777" w:rsidR="0025614E" w:rsidRDefault="0025614E">
            <w:pPr>
              <w:jc w:val="center"/>
              <w:rPr>
                <w:bCs/>
                <w:sz w:val="18"/>
                <w:szCs w:val="18"/>
              </w:rPr>
            </w:pPr>
            <w:r>
              <w:rPr>
                <w:rFonts w:eastAsia="Times New Roman" w:cs="Tahoma"/>
                <w:color w:val="333333"/>
                <w:sz w:val="18"/>
                <w:szCs w:val="18"/>
              </w:rPr>
              <w:t xml:space="preserve">    45.6</w:t>
            </w:r>
          </w:p>
        </w:tc>
        <w:tc>
          <w:tcPr>
            <w:tcW w:w="810" w:type="dxa"/>
            <w:vAlign w:val="center"/>
            <w:hideMark/>
          </w:tcPr>
          <w:p w14:paraId="61F2968B" w14:textId="77777777" w:rsidR="0025614E" w:rsidRDefault="0025614E">
            <w:pPr>
              <w:jc w:val="center"/>
              <w:rPr>
                <w:bCs/>
                <w:sz w:val="18"/>
                <w:szCs w:val="18"/>
              </w:rPr>
            </w:pPr>
            <w:r>
              <w:rPr>
                <w:rFonts w:eastAsia="Times New Roman" w:cs="Tahoma"/>
                <w:color w:val="333333"/>
                <w:sz w:val="18"/>
                <w:szCs w:val="18"/>
              </w:rPr>
              <w:t xml:space="preserve">    25.5</w:t>
            </w:r>
          </w:p>
        </w:tc>
        <w:tc>
          <w:tcPr>
            <w:tcW w:w="810" w:type="dxa"/>
            <w:vAlign w:val="center"/>
            <w:hideMark/>
          </w:tcPr>
          <w:p w14:paraId="32862C7C" w14:textId="77777777" w:rsidR="0025614E" w:rsidRDefault="0025614E">
            <w:pPr>
              <w:jc w:val="center"/>
              <w:rPr>
                <w:bCs/>
                <w:sz w:val="18"/>
                <w:szCs w:val="18"/>
              </w:rPr>
            </w:pPr>
            <w:r>
              <w:rPr>
                <w:rFonts w:eastAsia="Times New Roman" w:cs="Tahoma"/>
                <w:color w:val="333333"/>
                <w:sz w:val="18"/>
                <w:szCs w:val="18"/>
              </w:rPr>
              <w:t xml:space="preserve">    25.9</w:t>
            </w:r>
          </w:p>
        </w:tc>
        <w:tc>
          <w:tcPr>
            <w:tcW w:w="720" w:type="dxa"/>
            <w:vAlign w:val="center"/>
            <w:hideMark/>
          </w:tcPr>
          <w:p w14:paraId="606570A7" w14:textId="77777777" w:rsidR="0025614E" w:rsidRDefault="0025614E">
            <w:pPr>
              <w:jc w:val="center"/>
              <w:rPr>
                <w:bCs/>
                <w:sz w:val="18"/>
                <w:szCs w:val="18"/>
              </w:rPr>
            </w:pPr>
            <w:r>
              <w:rPr>
                <w:rFonts w:eastAsia="Times New Roman" w:cs="Tahoma"/>
                <w:color w:val="333333"/>
                <w:sz w:val="18"/>
                <w:szCs w:val="18"/>
              </w:rPr>
              <w:t xml:space="preserve">    34.9</w:t>
            </w:r>
          </w:p>
        </w:tc>
        <w:tc>
          <w:tcPr>
            <w:tcW w:w="810" w:type="dxa"/>
            <w:vAlign w:val="center"/>
            <w:hideMark/>
          </w:tcPr>
          <w:p w14:paraId="2E9FAE2E" w14:textId="77777777" w:rsidR="0025614E" w:rsidRDefault="0025614E">
            <w:pPr>
              <w:jc w:val="center"/>
              <w:rPr>
                <w:bCs/>
                <w:sz w:val="18"/>
                <w:szCs w:val="18"/>
              </w:rPr>
            </w:pPr>
            <w:r>
              <w:rPr>
                <w:rFonts w:eastAsia="Times New Roman" w:cs="Tahoma"/>
                <w:color w:val="333333"/>
                <w:sz w:val="18"/>
                <w:szCs w:val="18"/>
              </w:rPr>
              <w:t xml:space="preserve">    28.8</w:t>
            </w:r>
          </w:p>
        </w:tc>
        <w:tc>
          <w:tcPr>
            <w:tcW w:w="882" w:type="dxa"/>
            <w:vAlign w:val="center"/>
            <w:hideMark/>
          </w:tcPr>
          <w:p w14:paraId="3EE9E9B0" w14:textId="77777777" w:rsidR="0025614E" w:rsidRDefault="0025614E">
            <w:pPr>
              <w:jc w:val="center"/>
              <w:rPr>
                <w:bCs/>
                <w:sz w:val="18"/>
                <w:szCs w:val="18"/>
              </w:rPr>
            </w:pPr>
            <w:r>
              <w:rPr>
                <w:rFonts w:eastAsia="Times New Roman" w:cs="Tahoma"/>
                <w:color w:val="333333"/>
                <w:sz w:val="18"/>
                <w:szCs w:val="18"/>
              </w:rPr>
              <w:t xml:space="preserve">    34.0</w:t>
            </w:r>
          </w:p>
        </w:tc>
      </w:tr>
      <w:tr w:rsidR="0025614E" w14:paraId="124A2D5A" w14:textId="77777777" w:rsidTr="0025614E">
        <w:trPr>
          <w:jc w:val="center"/>
        </w:trPr>
        <w:tc>
          <w:tcPr>
            <w:tcW w:w="3870" w:type="dxa"/>
            <w:tcBorders>
              <w:top w:val="nil"/>
              <w:left w:val="nil"/>
              <w:bottom w:val="single" w:sz="4" w:space="0" w:color="auto"/>
              <w:right w:val="nil"/>
            </w:tcBorders>
            <w:vAlign w:val="center"/>
            <w:hideMark/>
          </w:tcPr>
          <w:p w14:paraId="3562AE70" w14:textId="77777777" w:rsidR="0025614E" w:rsidRDefault="0025614E">
            <w:pPr>
              <w:rPr>
                <w:sz w:val="18"/>
                <w:szCs w:val="18"/>
              </w:rPr>
            </w:pPr>
            <w:r>
              <w:rPr>
                <w:sz w:val="18"/>
                <w:szCs w:val="18"/>
              </w:rPr>
              <w:t>Disbursement ratio, IBRD/IDA (%)</w:t>
            </w:r>
          </w:p>
        </w:tc>
        <w:tc>
          <w:tcPr>
            <w:tcW w:w="735" w:type="dxa"/>
            <w:tcBorders>
              <w:top w:val="nil"/>
              <w:left w:val="nil"/>
              <w:bottom w:val="single" w:sz="4" w:space="0" w:color="auto"/>
              <w:right w:val="nil"/>
            </w:tcBorders>
            <w:vAlign w:val="center"/>
            <w:hideMark/>
          </w:tcPr>
          <w:p w14:paraId="25CABCF4" w14:textId="77777777" w:rsidR="0025614E" w:rsidRDefault="0025614E">
            <w:pPr>
              <w:jc w:val="center"/>
              <w:rPr>
                <w:bCs/>
                <w:sz w:val="18"/>
                <w:szCs w:val="18"/>
              </w:rPr>
            </w:pPr>
            <w:r>
              <w:rPr>
                <w:rFonts w:eastAsia="Times New Roman" w:cs="Tahoma"/>
                <w:color w:val="333333"/>
                <w:sz w:val="18"/>
                <w:szCs w:val="18"/>
              </w:rPr>
              <w:t xml:space="preserve">  24.2</w:t>
            </w:r>
          </w:p>
        </w:tc>
        <w:tc>
          <w:tcPr>
            <w:tcW w:w="831" w:type="dxa"/>
            <w:tcBorders>
              <w:top w:val="nil"/>
              <w:left w:val="nil"/>
              <w:bottom w:val="single" w:sz="4" w:space="0" w:color="auto"/>
              <w:right w:val="nil"/>
            </w:tcBorders>
            <w:vAlign w:val="center"/>
            <w:hideMark/>
          </w:tcPr>
          <w:p w14:paraId="6DBFB44E" w14:textId="77777777" w:rsidR="0025614E" w:rsidRDefault="0025614E">
            <w:pPr>
              <w:jc w:val="center"/>
              <w:rPr>
                <w:bCs/>
                <w:sz w:val="18"/>
                <w:szCs w:val="18"/>
              </w:rPr>
            </w:pPr>
            <w:r>
              <w:rPr>
                <w:rFonts w:eastAsia="Times New Roman" w:cs="Tahoma"/>
                <w:color w:val="333333"/>
                <w:sz w:val="18"/>
                <w:szCs w:val="18"/>
              </w:rPr>
              <w:t xml:space="preserve">    29.3</w:t>
            </w:r>
          </w:p>
        </w:tc>
        <w:tc>
          <w:tcPr>
            <w:tcW w:w="810" w:type="dxa"/>
            <w:tcBorders>
              <w:top w:val="nil"/>
              <w:left w:val="nil"/>
              <w:bottom w:val="single" w:sz="4" w:space="0" w:color="auto"/>
              <w:right w:val="nil"/>
            </w:tcBorders>
            <w:vAlign w:val="center"/>
            <w:hideMark/>
          </w:tcPr>
          <w:p w14:paraId="6E75021A" w14:textId="77777777" w:rsidR="0025614E" w:rsidRDefault="0025614E">
            <w:pPr>
              <w:jc w:val="center"/>
              <w:rPr>
                <w:bCs/>
                <w:sz w:val="18"/>
                <w:szCs w:val="18"/>
              </w:rPr>
            </w:pPr>
            <w:r>
              <w:rPr>
                <w:rFonts w:eastAsia="Times New Roman" w:cs="Tahoma"/>
                <w:color w:val="333333"/>
                <w:sz w:val="18"/>
                <w:szCs w:val="18"/>
              </w:rPr>
              <w:t xml:space="preserve">    30.5</w:t>
            </w:r>
          </w:p>
        </w:tc>
        <w:tc>
          <w:tcPr>
            <w:tcW w:w="810" w:type="dxa"/>
            <w:tcBorders>
              <w:top w:val="nil"/>
              <w:left w:val="nil"/>
              <w:bottom w:val="single" w:sz="4" w:space="0" w:color="auto"/>
              <w:right w:val="nil"/>
            </w:tcBorders>
            <w:vAlign w:val="center"/>
            <w:hideMark/>
          </w:tcPr>
          <w:p w14:paraId="19DEA3B2" w14:textId="77777777" w:rsidR="0025614E" w:rsidRDefault="0025614E">
            <w:pPr>
              <w:jc w:val="center"/>
              <w:rPr>
                <w:bCs/>
                <w:sz w:val="18"/>
                <w:szCs w:val="18"/>
              </w:rPr>
            </w:pPr>
            <w:r>
              <w:rPr>
                <w:rFonts w:eastAsia="Times New Roman" w:cs="Tahoma"/>
                <w:color w:val="333333"/>
                <w:sz w:val="18"/>
                <w:szCs w:val="18"/>
              </w:rPr>
              <w:t xml:space="preserve">    24.0</w:t>
            </w:r>
          </w:p>
        </w:tc>
        <w:tc>
          <w:tcPr>
            <w:tcW w:w="720" w:type="dxa"/>
            <w:tcBorders>
              <w:top w:val="nil"/>
              <w:left w:val="nil"/>
              <w:bottom w:val="single" w:sz="4" w:space="0" w:color="auto"/>
              <w:right w:val="nil"/>
            </w:tcBorders>
            <w:vAlign w:val="center"/>
            <w:hideMark/>
          </w:tcPr>
          <w:p w14:paraId="0D3AAE12" w14:textId="77777777" w:rsidR="0025614E" w:rsidRDefault="0025614E">
            <w:pPr>
              <w:jc w:val="center"/>
              <w:rPr>
                <w:bCs/>
                <w:sz w:val="18"/>
                <w:szCs w:val="18"/>
              </w:rPr>
            </w:pPr>
            <w:r>
              <w:rPr>
                <w:rFonts w:eastAsia="Times New Roman" w:cs="Tahoma"/>
                <w:color w:val="333333"/>
                <w:sz w:val="18"/>
                <w:szCs w:val="18"/>
              </w:rPr>
              <w:t xml:space="preserve">    23.0</w:t>
            </w:r>
          </w:p>
        </w:tc>
        <w:tc>
          <w:tcPr>
            <w:tcW w:w="810" w:type="dxa"/>
            <w:tcBorders>
              <w:top w:val="nil"/>
              <w:left w:val="nil"/>
              <w:bottom w:val="single" w:sz="4" w:space="0" w:color="auto"/>
              <w:right w:val="nil"/>
            </w:tcBorders>
            <w:vAlign w:val="center"/>
            <w:hideMark/>
          </w:tcPr>
          <w:p w14:paraId="1F34AA2E" w14:textId="77777777" w:rsidR="0025614E" w:rsidRDefault="0025614E">
            <w:pPr>
              <w:jc w:val="center"/>
              <w:rPr>
                <w:bCs/>
                <w:sz w:val="18"/>
                <w:szCs w:val="18"/>
              </w:rPr>
            </w:pPr>
            <w:r>
              <w:rPr>
                <w:rFonts w:eastAsia="Times New Roman" w:cs="Tahoma"/>
                <w:color w:val="333333"/>
                <w:sz w:val="18"/>
                <w:szCs w:val="18"/>
              </w:rPr>
              <w:t xml:space="preserve">    32.9</w:t>
            </w:r>
          </w:p>
        </w:tc>
        <w:tc>
          <w:tcPr>
            <w:tcW w:w="882" w:type="dxa"/>
            <w:tcBorders>
              <w:top w:val="nil"/>
              <w:left w:val="nil"/>
              <w:bottom w:val="single" w:sz="4" w:space="0" w:color="auto"/>
              <w:right w:val="nil"/>
            </w:tcBorders>
            <w:vAlign w:val="center"/>
            <w:hideMark/>
          </w:tcPr>
          <w:p w14:paraId="42715EAF" w14:textId="77777777" w:rsidR="0025614E" w:rsidRDefault="0025614E">
            <w:pPr>
              <w:jc w:val="center"/>
              <w:rPr>
                <w:bCs/>
                <w:sz w:val="18"/>
                <w:szCs w:val="18"/>
              </w:rPr>
            </w:pPr>
            <w:r>
              <w:rPr>
                <w:rFonts w:eastAsia="Times New Roman" w:cs="Tahoma"/>
                <w:color w:val="333333"/>
                <w:sz w:val="18"/>
                <w:szCs w:val="18"/>
              </w:rPr>
              <w:t xml:space="preserve">    41.1</w:t>
            </w:r>
          </w:p>
        </w:tc>
      </w:tr>
      <w:tr w:rsidR="0025614E" w14:paraId="0C4C4AB5" w14:textId="77777777" w:rsidTr="0025614E">
        <w:trPr>
          <w:jc w:val="center"/>
        </w:trPr>
        <w:tc>
          <w:tcPr>
            <w:tcW w:w="9468" w:type="dxa"/>
            <w:gridSpan w:val="8"/>
            <w:tcBorders>
              <w:top w:val="single" w:sz="4" w:space="0" w:color="auto"/>
              <w:left w:val="nil"/>
              <w:bottom w:val="nil"/>
              <w:right w:val="nil"/>
            </w:tcBorders>
            <w:vAlign w:val="center"/>
            <w:hideMark/>
          </w:tcPr>
          <w:p w14:paraId="42BA9E00" w14:textId="77777777" w:rsidR="0025614E" w:rsidRDefault="0025614E">
            <w:pPr>
              <w:rPr>
                <w:bCs/>
                <w:sz w:val="18"/>
                <w:szCs w:val="18"/>
              </w:rPr>
            </w:pPr>
            <w:r>
              <w:rPr>
                <w:b/>
                <w:sz w:val="18"/>
                <w:szCs w:val="18"/>
              </w:rPr>
              <w:t>PORTFOLIO RISKINESS</w:t>
            </w:r>
          </w:p>
        </w:tc>
      </w:tr>
      <w:tr w:rsidR="0025614E" w14:paraId="433CF997" w14:textId="77777777" w:rsidTr="0025614E">
        <w:trPr>
          <w:jc w:val="center"/>
        </w:trPr>
        <w:tc>
          <w:tcPr>
            <w:tcW w:w="3870" w:type="dxa"/>
            <w:vAlign w:val="center"/>
            <w:hideMark/>
          </w:tcPr>
          <w:p w14:paraId="65DABA06" w14:textId="77777777" w:rsidR="0025614E" w:rsidRDefault="0025614E">
            <w:pPr>
              <w:rPr>
                <w:sz w:val="18"/>
                <w:szCs w:val="18"/>
              </w:rPr>
            </w:pPr>
            <w:r>
              <w:rPr>
                <w:sz w:val="18"/>
                <w:szCs w:val="18"/>
              </w:rPr>
              <w:t>Actual problem projects (% of number)</w:t>
            </w:r>
          </w:p>
        </w:tc>
        <w:tc>
          <w:tcPr>
            <w:tcW w:w="735" w:type="dxa"/>
            <w:vAlign w:val="center"/>
            <w:hideMark/>
          </w:tcPr>
          <w:p w14:paraId="131F61D5" w14:textId="77777777" w:rsidR="0025614E" w:rsidRDefault="0025614E">
            <w:pPr>
              <w:jc w:val="center"/>
              <w:rPr>
                <w:bCs/>
                <w:sz w:val="18"/>
                <w:szCs w:val="18"/>
              </w:rPr>
            </w:pPr>
            <w:r>
              <w:rPr>
                <w:rFonts w:eastAsia="Times New Roman" w:cs="Tahoma"/>
                <w:color w:val="333333"/>
                <w:sz w:val="18"/>
                <w:szCs w:val="18"/>
              </w:rPr>
              <w:t xml:space="preserve">    0.0</w:t>
            </w:r>
          </w:p>
        </w:tc>
        <w:tc>
          <w:tcPr>
            <w:tcW w:w="831" w:type="dxa"/>
            <w:vAlign w:val="center"/>
            <w:hideMark/>
          </w:tcPr>
          <w:p w14:paraId="35F8E034" w14:textId="77777777" w:rsidR="0025614E" w:rsidRDefault="0025614E">
            <w:pPr>
              <w:jc w:val="center"/>
              <w:rPr>
                <w:bCs/>
                <w:sz w:val="18"/>
                <w:szCs w:val="18"/>
              </w:rPr>
            </w:pPr>
            <w:r>
              <w:rPr>
                <w:rFonts w:eastAsia="Times New Roman" w:cs="Tahoma"/>
                <w:color w:val="333333"/>
                <w:sz w:val="18"/>
                <w:szCs w:val="18"/>
              </w:rPr>
              <w:t xml:space="preserve">      0.0</w:t>
            </w:r>
          </w:p>
        </w:tc>
        <w:tc>
          <w:tcPr>
            <w:tcW w:w="810" w:type="dxa"/>
            <w:vAlign w:val="center"/>
            <w:hideMark/>
          </w:tcPr>
          <w:p w14:paraId="27BDEABB" w14:textId="77777777" w:rsidR="0025614E" w:rsidRDefault="0025614E">
            <w:pPr>
              <w:jc w:val="center"/>
              <w:rPr>
                <w:bCs/>
                <w:sz w:val="18"/>
                <w:szCs w:val="18"/>
              </w:rPr>
            </w:pPr>
            <w:r>
              <w:rPr>
                <w:rFonts w:eastAsia="Times New Roman" w:cs="Tahoma"/>
                <w:color w:val="333333"/>
                <w:sz w:val="18"/>
                <w:szCs w:val="18"/>
              </w:rPr>
              <w:t xml:space="preserve">       0.0</w:t>
            </w:r>
          </w:p>
        </w:tc>
        <w:tc>
          <w:tcPr>
            <w:tcW w:w="810" w:type="dxa"/>
            <w:vAlign w:val="center"/>
            <w:hideMark/>
          </w:tcPr>
          <w:p w14:paraId="3BE2D87B" w14:textId="77777777" w:rsidR="0025614E" w:rsidRDefault="0025614E">
            <w:pPr>
              <w:jc w:val="center"/>
              <w:rPr>
                <w:bCs/>
                <w:sz w:val="18"/>
                <w:szCs w:val="18"/>
              </w:rPr>
            </w:pPr>
            <w:r>
              <w:rPr>
                <w:rFonts w:eastAsia="Times New Roman" w:cs="Tahoma"/>
                <w:color w:val="333333"/>
                <w:sz w:val="18"/>
                <w:szCs w:val="18"/>
              </w:rPr>
              <w:t xml:space="preserve">       0.0</w:t>
            </w:r>
          </w:p>
        </w:tc>
        <w:tc>
          <w:tcPr>
            <w:tcW w:w="720" w:type="dxa"/>
            <w:vAlign w:val="center"/>
            <w:hideMark/>
          </w:tcPr>
          <w:p w14:paraId="0897CAA4" w14:textId="77777777" w:rsidR="0025614E" w:rsidRDefault="0025614E">
            <w:pPr>
              <w:jc w:val="center"/>
              <w:rPr>
                <w:bCs/>
                <w:sz w:val="18"/>
                <w:szCs w:val="18"/>
              </w:rPr>
            </w:pPr>
            <w:r>
              <w:rPr>
                <w:rFonts w:eastAsia="Times New Roman" w:cs="Tahoma"/>
                <w:color w:val="333333"/>
                <w:sz w:val="18"/>
                <w:szCs w:val="18"/>
              </w:rPr>
              <w:t xml:space="preserve">    12.5</w:t>
            </w:r>
          </w:p>
        </w:tc>
        <w:tc>
          <w:tcPr>
            <w:tcW w:w="810" w:type="dxa"/>
            <w:vAlign w:val="center"/>
            <w:hideMark/>
          </w:tcPr>
          <w:p w14:paraId="4245B4E5" w14:textId="77777777" w:rsidR="0025614E" w:rsidRDefault="0025614E">
            <w:pPr>
              <w:jc w:val="center"/>
              <w:rPr>
                <w:bCs/>
                <w:sz w:val="18"/>
                <w:szCs w:val="18"/>
              </w:rPr>
            </w:pPr>
            <w:r>
              <w:rPr>
                <w:rFonts w:eastAsia="Times New Roman" w:cs="Tahoma"/>
                <w:color w:val="333333"/>
                <w:sz w:val="18"/>
                <w:szCs w:val="18"/>
              </w:rPr>
              <w:t xml:space="preserve">    25.0</w:t>
            </w:r>
          </w:p>
        </w:tc>
        <w:tc>
          <w:tcPr>
            <w:tcW w:w="882" w:type="dxa"/>
            <w:vAlign w:val="center"/>
            <w:hideMark/>
          </w:tcPr>
          <w:p w14:paraId="07397B54" w14:textId="77777777" w:rsidR="0025614E" w:rsidRDefault="0025614E">
            <w:pPr>
              <w:jc w:val="center"/>
              <w:rPr>
                <w:bCs/>
                <w:sz w:val="18"/>
                <w:szCs w:val="18"/>
              </w:rPr>
            </w:pPr>
            <w:r>
              <w:rPr>
                <w:rFonts w:eastAsia="Times New Roman" w:cs="Tahoma"/>
                <w:color w:val="333333"/>
                <w:sz w:val="18"/>
                <w:szCs w:val="18"/>
              </w:rPr>
              <w:t xml:space="preserve">    16.7</w:t>
            </w:r>
          </w:p>
        </w:tc>
      </w:tr>
      <w:tr w:rsidR="0025614E" w14:paraId="55031C80" w14:textId="77777777" w:rsidTr="0025614E">
        <w:trPr>
          <w:jc w:val="center"/>
        </w:trPr>
        <w:tc>
          <w:tcPr>
            <w:tcW w:w="3870" w:type="dxa"/>
            <w:vAlign w:val="center"/>
            <w:hideMark/>
          </w:tcPr>
          <w:p w14:paraId="153FF8EA" w14:textId="77777777" w:rsidR="0025614E" w:rsidRDefault="0025614E">
            <w:pPr>
              <w:rPr>
                <w:sz w:val="18"/>
                <w:szCs w:val="18"/>
              </w:rPr>
            </w:pPr>
            <w:r>
              <w:rPr>
                <w:sz w:val="18"/>
                <w:szCs w:val="18"/>
              </w:rPr>
              <w:t>Potential problem projects (number)</w:t>
            </w:r>
          </w:p>
        </w:tc>
        <w:tc>
          <w:tcPr>
            <w:tcW w:w="735" w:type="dxa"/>
            <w:vAlign w:val="center"/>
            <w:hideMark/>
          </w:tcPr>
          <w:p w14:paraId="523CE16E" w14:textId="77777777" w:rsidR="0025614E" w:rsidRDefault="0025614E">
            <w:pPr>
              <w:jc w:val="center"/>
              <w:rPr>
                <w:bCs/>
                <w:sz w:val="18"/>
                <w:szCs w:val="18"/>
              </w:rPr>
            </w:pPr>
            <w:r>
              <w:rPr>
                <w:rFonts w:eastAsia="Times New Roman" w:cs="Tahoma"/>
                <w:color w:val="333333"/>
                <w:sz w:val="18"/>
                <w:szCs w:val="18"/>
              </w:rPr>
              <w:t xml:space="preserve">       0</w:t>
            </w:r>
          </w:p>
        </w:tc>
        <w:tc>
          <w:tcPr>
            <w:tcW w:w="831" w:type="dxa"/>
            <w:vAlign w:val="center"/>
            <w:hideMark/>
          </w:tcPr>
          <w:p w14:paraId="04A10A30" w14:textId="77777777" w:rsidR="0025614E" w:rsidRDefault="0025614E">
            <w:pPr>
              <w:jc w:val="center"/>
              <w:rPr>
                <w:bCs/>
                <w:sz w:val="18"/>
                <w:szCs w:val="18"/>
              </w:rPr>
            </w:pPr>
            <w:r>
              <w:rPr>
                <w:rFonts w:eastAsia="Times New Roman" w:cs="Tahoma"/>
                <w:color w:val="333333"/>
                <w:sz w:val="18"/>
                <w:szCs w:val="18"/>
              </w:rPr>
              <w:t xml:space="preserve">         1</w:t>
            </w:r>
          </w:p>
        </w:tc>
        <w:tc>
          <w:tcPr>
            <w:tcW w:w="810" w:type="dxa"/>
            <w:vAlign w:val="center"/>
            <w:hideMark/>
          </w:tcPr>
          <w:p w14:paraId="31108305" w14:textId="77777777" w:rsidR="0025614E" w:rsidRDefault="0025614E">
            <w:pPr>
              <w:jc w:val="center"/>
              <w:rPr>
                <w:bCs/>
                <w:sz w:val="18"/>
                <w:szCs w:val="18"/>
              </w:rPr>
            </w:pPr>
            <w:r>
              <w:rPr>
                <w:sz w:val="18"/>
                <w:szCs w:val="18"/>
              </w:rPr>
              <w:t xml:space="preserve">          </w:t>
            </w:r>
            <w:r>
              <w:rPr>
                <w:rFonts w:eastAsia="Times New Roman" w:cs="Tahoma"/>
                <w:color w:val="333333"/>
                <w:sz w:val="18"/>
                <w:szCs w:val="18"/>
              </w:rPr>
              <w:t>1</w:t>
            </w:r>
          </w:p>
        </w:tc>
        <w:tc>
          <w:tcPr>
            <w:tcW w:w="810" w:type="dxa"/>
            <w:vAlign w:val="center"/>
            <w:hideMark/>
          </w:tcPr>
          <w:p w14:paraId="617F1767" w14:textId="77777777" w:rsidR="0025614E" w:rsidRDefault="0025614E">
            <w:pPr>
              <w:jc w:val="center"/>
              <w:rPr>
                <w:bCs/>
                <w:sz w:val="18"/>
                <w:szCs w:val="18"/>
              </w:rPr>
            </w:pPr>
            <w:r>
              <w:rPr>
                <w:rFonts w:eastAsia="Times New Roman" w:cs="Tahoma"/>
                <w:color w:val="333333"/>
                <w:sz w:val="18"/>
                <w:szCs w:val="18"/>
              </w:rPr>
              <w:t xml:space="preserve">          2</w:t>
            </w:r>
          </w:p>
        </w:tc>
        <w:tc>
          <w:tcPr>
            <w:tcW w:w="720" w:type="dxa"/>
            <w:vAlign w:val="center"/>
            <w:hideMark/>
          </w:tcPr>
          <w:p w14:paraId="63B1BA49" w14:textId="77777777" w:rsidR="0025614E" w:rsidRDefault="0025614E">
            <w:pPr>
              <w:jc w:val="center"/>
              <w:rPr>
                <w:bCs/>
                <w:sz w:val="18"/>
                <w:szCs w:val="18"/>
              </w:rPr>
            </w:pPr>
            <w:r>
              <w:rPr>
                <w:rFonts w:eastAsia="Times New Roman" w:cs="Tahoma"/>
                <w:color w:val="333333"/>
                <w:sz w:val="18"/>
                <w:szCs w:val="18"/>
              </w:rPr>
              <w:t xml:space="preserve">          0</w:t>
            </w:r>
          </w:p>
        </w:tc>
        <w:tc>
          <w:tcPr>
            <w:tcW w:w="810" w:type="dxa"/>
            <w:vAlign w:val="center"/>
            <w:hideMark/>
          </w:tcPr>
          <w:p w14:paraId="344463A1" w14:textId="77777777" w:rsidR="0025614E" w:rsidRDefault="0025614E">
            <w:pPr>
              <w:jc w:val="center"/>
              <w:rPr>
                <w:bCs/>
                <w:sz w:val="18"/>
                <w:szCs w:val="18"/>
              </w:rPr>
            </w:pPr>
            <w:r>
              <w:rPr>
                <w:rFonts w:eastAsia="Times New Roman" w:cs="Tahoma"/>
                <w:color w:val="333333"/>
                <w:sz w:val="18"/>
                <w:szCs w:val="18"/>
              </w:rPr>
              <w:t xml:space="preserve">          2</w:t>
            </w:r>
          </w:p>
        </w:tc>
        <w:tc>
          <w:tcPr>
            <w:tcW w:w="882" w:type="dxa"/>
            <w:vAlign w:val="center"/>
            <w:hideMark/>
          </w:tcPr>
          <w:p w14:paraId="3EAEDA8D" w14:textId="77777777" w:rsidR="0025614E" w:rsidRDefault="0025614E">
            <w:pPr>
              <w:jc w:val="center"/>
              <w:rPr>
                <w:bCs/>
                <w:sz w:val="18"/>
                <w:szCs w:val="18"/>
              </w:rPr>
            </w:pPr>
            <w:r>
              <w:rPr>
                <w:rFonts w:eastAsia="Times New Roman" w:cs="Tahoma"/>
                <w:color w:val="333333"/>
                <w:sz w:val="18"/>
                <w:szCs w:val="18"/>
              </w:rPr>
              <w:t xml:space="preserve">          3</w:t>
            </w:r>
          </w:p>
        </w:tc>
      </w:tr>
      <w:tr w:rsidR="0025614E" w14:paraId="6A60304A" w14:textId="77777777" w:rsidTr="0025614E">
        <w:trPr>
          <w:jc w:val="center"/>
        </w:trPr>
        <w:tc>
          <w:tcPr>
            <w:tcW w:w="3870" w:type="dxa"/>
            <w:vAlign w:val="center"/>
            <w:hideMark/>
          </w:tcPr>
          <w:p w14:paraId="73694D10" w14:textId="77777777" w:rsidR="0025614E" w:rsidRDefault="0025614E">
            <w:pPr>
              <w:rPr>
                <w:sz w:val="18"/>
                <w:szCs w:val="18"/>
              </w:rPr>
            </w:pPr>
            <w:r>
              <w:rPr>
                <w:sz w:val="18"/>
                <w:szCs w:val="18"/>
              </w:rPr>
              <w:t>Projects at risk (number)</w:t>
            </w:r>
          </w:p>
        </w:tc>
        <w:tc>
          <w:tcPr>
            <w:tcW w:w="735" w:type="dxa"/>
            <w:vAlign w:val="center"/>
            <w:hideMark/>
          </w:tcPr>
          <w:p w14:paraId="29BE549A" w14:textId="77777777" w:rsidR="0025614E" w:rsidRDefault="0025614E">
            <w:pPr>
              <w:jc w:val="center"/>
              <w:rPr>
                <w:bCs/>
                <w:sz w:val="18"/>
                <w:szCs w:val="18"/>
              </w:rPr>
            </w:pPr>
            <w:r>
              <w:rPr>
                <w:rFonts w:eastAsia="Times New Roman" w:cs="Tahoma"/>
                <w:color w:val="333333"/>
                <w:sz w:val="18"/>
                <w:szCs w:val="18"/>
              </w:rPr>
              <w:t xml:space="preserve">       0</w:t>
            </w:r>
          </w:p>
        </w:tc>
        <w:tc>
          <w:tcPr>
            <w:tcW w:w="831" w:type="dxa"/>
            <w:vAlign w:val="center"/>
            <w:hideMark/>
          </w:tcPr>
          <w:p w14:paraId="05C0601B" w14:textId="77777777" w:rsidR="0025614E" w:rsidRDefault="0025614E">
            <w:pPr>
              <w:jc w:val="center"/>
              <w:rPr>
                <w:bCs/>
                <w:sz w:val="18"/>
                <w:szCs w:val="18"/>
              </w:rPr>
            </w:pPr>
            <w:r>
              <w:rPr>
                <w:rFonts w:eastAsia="Times New Roman" w:cs="Tahoma"/>
                <w:color w:val="333333"/>
                <w:sz w:val="18"/>
                <w:szCs w:val="18"/>
              </w:rPr>
              <w:t xml:space="preserve">         1</w:t>
            </w:r>
          </w:p>
        </w:tc>
        <w:tc>
          <w:tcPr>
            <w:tcW w:w="810" w:type="dxa"/>
            <w:vAlign w:val="center"/>
            <w:hideMark/>
          </w:tcPr>
          <w:p w14:paraId="40339C36" w14:textId="77777777" w:rsidR="0025614E" w:rsidRDefault="0025614E">
            <w:pPr>
              <w:jc w:val="center"/>
              <w:rPr>
                <w:bCs/>
                <w:sz w:val="18"/>
                <w:szCs w:val="18"/>
              </w:rPr>
            </w:pPr>
            <w:r>
              <w:rPr>
                <w:sz w:val="18"/>
                <w:szCs w:val="18"/>
              </w:rPr>
              <w:t xml:space="preserve">          </w:t>
            </w:r>
            <w:r>
              <w:rPr>
                <w:rFonts w:eastAsia="Times New Roman" w:cs="Tahoma"/>
                <w:color w:val="333333"/>
                <w:sz w:val="18"/>
                <w:szCs w:val="18"/>
              </w:rPr>
              <w:t>1</w:t>
            </w:r>
          </w:p>
        </w:tc>
        <w:tc>
          <w:tcPr>
            <w:tcW w:w="810" w:type="dxa"/>
            <w:vAlign w:val="center"/>
            <w:hideMark/>
          </w:tcPr>
          <w:p w14:paraId="16FCAA7F" w14:textId="77777777" w:rsidR="0025614E" w:rsidRDefault="0025614E">
            <w:pPr>
              <w:jc w:val="center"/>
              <w:rPr>
                <w:bCs/>
                <w:sz w:val="18"/>
                <w:szCs w:val="18"/>
              </w:rPr>
            </w:pPr>
            <w:r>
              <w:rPr>
                <w:rFonts w:eastAsia="Times New Roman" w:cs="Tahoma"/>
                <w:color w:val="333333"/>
                <w:sz w:val="18"/>
                <w:szCs w:val="18"/>
              </w:rPr>
              <w:t xml:space="preserve">          2</w:t>
            </w:r>
          </w:p>
        </w:tc>
        <w:tc>
          <w:tcPr>
            <w:tcW w:w="720" w:type="dxa"/>
            <w:vAlign w:val="center"/>
            <w:hideMark/>
          </w:tcPr>
          <w:p w14:paraId="76258CAC" w14:textId="77777777" w:rsidR="0025614E" w:rsidRDefault="0025614E">
            <w:pPr>
              <w:jc w:val="center"/>
              <w:rPr>
                <w:bCs/>
                <w:sz w:val="18"/>
                <w:szCs w:val="18"/>
              </w:rPr>
            </w:pPr>
            <w:r>
              <w:rPr>
                <w:rFonts w:eastAsia="Times New Roman" w:cs="Tahoma"/>
                <w:color w:val="333333"/>
                <w:sz w:val="18"/>
                <w:szCs w:val="18"/>
              </w:rPr>
              <w:t xml:space="preserve">          1</w:t>
            </w:r>
          </w:p>
        </w:tc>
        <w:tc>
          <w:tcPr>
            <w:tcW w:w="810" w:type="dxa"/>
            <w:vAlign w:val="center"/>
            <w:hideMark/>
          </w:tcPr>
          <w:p w14:paraId="199287B7" w14:textId="77777777" w:rsidR="0025614E" w:rsidRDefault="0025614E">
            <w:pPr>
              <w:jc w:val="center"/>
              <w:rPr>
                <w:bCs/>
                <w:sz w:val="18"/>
                <w:szCs w:val="18"/>
              </w:rPr>
            </w:pPr>
            <w:r>
              <w:rPr>
                <w:rFonts w:eastAsia="Times New Roman" w:cs="Tahoma"/>
                <w:color w:val="333333"/>
                <w:sz w:val="18"/>
                <w:szCs w:val="18"/>
              </w:rPr>
              <w:t xml:space="preserve">          4</w:t>
            </w:r>
          </w:p>
        </w:tc>
        <w:tc>
          <w:tcPr>
            <w:tcW w:w="882" w:type="dxa"/>
            <w:vAlign w:val="center"/>
            <w:hideMark/>
          </w:tcPr>
          <w:p w14:paraId="256D3A3E" w14:textId="77777777" w:rsidR="0025614E" w:rsidRDefault="0025614E">
            <w:pPr>
              <w:jc w:val="center"/>
              <w:rPr>
                <w:bCs/>
                <w:sz w:val="18"/>
                <w:szCs w:val="18"/>
              </w:rPr>
            </w:pPr>
            <w:r>
              <w:rPr>
                <w:rFonts w:eastAsia="Times New Roman" w:cs="Tahoma"/>
                <w:color w:val="333333"/>
                <w:sz w:val="18"/>
                <w:szCs w:val="18"/>
              </w:rPr>
              <w:t xml:space="preserve">          4</w:t>
            </w:r>
          </w:p>
        </w:tc>
      </w:tr>
      <w:tr w:rsidR="0025614E" w14:paraId="37936594" w14:textId="77777777" w:rsidTr="0025614E">
        <w:trPr>
          <w:jc w:val="center"/>
        </w:trPr>
        <w:tc>
          <w:tcPr>
            <w:tcW w:w="3870" w:type="dxa"/>
            <w:vAlign w:val="center"/>
            <w:hideMark/>
          </w:tcPr>
          <w:p w14:paraId="072989F0" w14:textId="77777777" w:rsidR="0025614E" w:rsidRDefault="0025614E">
            <w:pPr>
              <w:rPr>
                <w:sz w:val="18"/>
                <w:szCs w:val="18"/>
              </w:rPr>
            </w:pPr>
            <w:r>
              <w:rPr>
                <w:sz w:val="18"/>
                <w:szCs w:val="18"/>
              </w:rPr>
              <w:t>Projects at risk (% of number)</w:t>
            </w:r>
          </w:p>
        </w:tc>
        <w:tc>
          <w:tcPr>
            <w:tcW w:w="735" w:type="dxa"/>
            <w:vAlign w:val="center"/>
            <w:hideMark/>
          </w:tcPr>
          <w:p w14:paraId="5F9D63BF" w14:textId="77777777" w:rsidR="0025614E" w:rsidRDefault="0025614E">
            <w:pPr>
              <w:jc w:val="center"/>
              <w:rPr>
                <w:bCs/>
                <w:sz w:val="18"/>
                <w:szCs w:val="18"/>
              </w:rPr>
            </w:pPr>
            <w:r>
              <w:rPr>
                <w:rFonts w:eastAsia="Times New Roman" w:cs="Tahoma"/>
                <w:color w:val="333333"/>
                <w:sz w:val="18"/>
                <w:szCs w:val="18"/>
              </w:rPr>
              <w:t xml:space="preserve">    0.0</w:t>
            </w:r>
          </w:p>
        </w:tc>
        <w:tc>
          <w:tcPr>
            <w:tcW w:w="831" w:type="dxa"/>
            <w:vAlign w:val="center"/>
            <w:hideMark/>
          </w:tcPr>
          <w:p w14:paraId="340892FE" w14:textId="77777777" w:rsidR="0025614E" w:rsidRDefault="0025614E">
            <w:pPr>
              <w:jc w:val="center"/>
              <w:rPr>
                <w:bCs/>
                <w:sz w:val="18"/>
                <w:szCs w:val="18"/>
              </w:rPr>
            </w:pPr>
            <w:r>
              <w:rPr>
                <w:rFonts w:eastAsia="Times New Roman" w:cs="Tahoma"/>
                <w:color w:val="333333"/>
                <w:sz w:val="18"/>
                <w:szCs w:val="18"/>
              </w:rPr>
              <w:t xml:space="preserve">    14.3</w:t>
            </w:r>
          </w:p>
        </w:tc>
        <w:tc>
          <w:tcPr>
            <w:tcW w:w="810" w:type="dxa"/>
            <w:vAlign w:val="center"/>
            <w:hideMark/>
          </w:tcPr>
          <w:p w14:paraId="47FBF6BC" w14:textId="77777777" w:rsidR="0025614E" w:rsidRDefault="0025614E">
            <w:pPr>
              <w:jc w:val="center"/>
              <w:rPr>
                <w:bCs/>
                <w:sz w:val="18"/>
                <w:szCs w:val="18"/>
              </w:rPr>
            </w:pPr>
            <w:r>
              <w:rPr>
                <w:rFonts w:eastAsia="Times New Roman" w:cs="Tahoma"/>
                <w:color w:val="333333"/>
                <w:sz w:val="18"/>
                <w:szCs w:val="18"/>
              </w:rPr>
              <w:t xml:space="preserve">    12.5</w:t>
            </w:r>
          </w:p>
        </w:tc>
        <w:tc>
          <w:tcPr>
            <w:tcW w:w="810" w:type="dxa"/>
            <w:vAlign w:val="center"/>
            <w:hideMark/>
          </w:tcPr>
          <w:p w14:paraId="283569AF" w14:textId="77777777" w:rsidR="0025614E" w:rsidRDefault="0025614E">
            <w:pPr>
              <w:jc w:val="center"/>
              <w:rPr>
                <w:bCs/>
                <w:sz w:val="18"/>
                <w:szCs w:val="18"/>
              </w:rPr>
            </w:pPr>
            <w:r>
              <w:rPr>
                <w:rFonts w:eastAsia="Times New Roman" w:cs="Tahoma"/>
                <w:color w:val="333333"/>
                <w:sz w:val="18"/>
                <w:szCs w:val="18"/>
              </w:rPr>
              <w:t xml:space="preserve">    25.0</w:t>
            </w:r>
          </w:p>
        </w:tc>
        <w:tc>
          <w:tcPr>
            <w:tcW w:w="720" w:type="dxa"/>
            <w:vAlign w:val="center"/>
            <w:hideMark/>
          </w:tcPr>
          <w:p w14:paraId="24241AD2" w14:textId="77777777" w:rsidR="0025614E" w:rsidRDefault="0025614E">
            <w:pPr>
              <w:jc w:val="center"/>
              <w:rPr>
                <w:bCs/>
                <w:sz w:val="18"/>
                <w:szCs w:val="18"/>
              </w:rPr>
            </w:pPr>
            <w:r>
              <w:rPr>
                <w:rFonts w:eastAsia="Times New Roman" w:cs="Tahoma"/>
                <w:color w:val="333333"/>
                <w:sz w:val="18"/>
                <w:szCs w:val="18"/>
              </w:rPr>
              <w:t xml:space="preserve">    12.5</w:t>
            </w:r>
          </w:p>
        </w:tc>
        <w:tc>
          <w:tcPr>
            <w:tcW w:w="810" w:type="dxa"/>
            <w:vAlign w:val="center"/>
            <w:hideMark/>
          </w:tcPr>
          <w:p w14:paraId="18259F44" w14:textId="77777777" w:rsidR="0025614E" w:rsidRDefault="0025614E">
            <w:pPr>
              <w:jc w:val="center"/>
              <w:rPr>
                <w:bCs/>
                <w:sz w:val="18"/>
                <w:szCs w:val="18"/>
              </w:rPr>
            </w:pPr>
            <w:r>
              <w:rPr>
                <w:rFonts w:eastAsia="Times New Roman" w:cs="Tahoma"/>
                <w:color w:val="333333"/>
                <w:sz w:val="18"/>
                <w:szCs w:val="18"/>
              </w:rPr>
              <w:t xml:space="preserve">    50.0</w:t>
            </w:r>
          </w:p>
        </w:tc>
        <w:tc>
          <w:tcPr>
            <w:tcW w:w="882" w:type="dxa"/>
            <w:vAlign w:val="center"/>
            <w:hideMark/>
          </w:tcPr>
          <w:p w14:paraId="765BB749" w14:textId="77777777" w:rsidR="0025614E" w:rsidRDefault="0025614E">
            <w:pPr>
              <w:jc w:val="center"/>
              <w:rPr>
                <w:bCs/>
                <w:sz w:val="18"/>
                <w:szCs w:val="18"/>
              </w:rPr>
            </w:pPr>
            <w:r>
              <w:rPr>
                <w:rFonts w:eastAsia="Times New Roman" w:cs="Tahoma"/>
                <w:color w:val="333333"/>
                <w:sz w:val="18"/>
                <w:szCs w:val="18"/>
              </w:rPr>
              <w:t xml:space="preserve">    66.7</w:t>
            </w:r>
          </w:p>
        </w:tc>
      </w:tr>
      <w:tr w:rsidR="0025614E" w14:paraId="60BF4719" w14:textId="77777777" w:rsidTr="0025614E">
        <w:trPr>
          <w:jc w:val="center"/>
        </w:trPr>
        <w:tc>
          <w:tcPr>
            <w:tcW w:w="3870" w:type="dxa"/>
            <w:vAlign w:val="center"/>
            <w:hideMark/>
          </w:tcPr>
          <w:p w14:paraId="2CACB48F" w14:textId="77777777" w:rsidR="0025614E" w:rsidRDefault="0025614E">
            <w:pPr>
              <w:rPr>
                <w:sz w:val="18"/>
                <w:szCs w:val="18"/>
              </w:rPr>
            </w:pPr>
            <w:r>
              <w:rPr>
                <w:sz w:val="18"/>
                <w:szCs w:val="18"/>
              </w:rPr>
              <w:t>Commitments at risk ($ millions)</w:t>
            </w:r>
          </w:p>
        </w:tc>
        <w:tc>
          <w:tcPr>
            <w:tcW w:w="735" w:type="dxa"/>
            <w:vAlign w:val="center"/>
            <w:hideMark/>
          </w:tcPr>
          <w:p w14:paraId="7897AAF6" w14:textId="77777777" w:rsidR="0025614E" w:rsidRDefault="0025614E">
            <w:pPr>
              <w:jc w:val="center"/>
              <w:rPr>
                <w:bCs/>
                <w:sz w:val="18"/>
                <w:szCs w:val="18"/>
              </w:rPr>
            </w:pPr>
            <w:r>
              <w:rPr>
                <w:rFonts w:eastAsia="Times New Roman" w:cs="Tahoma"/>
                <w:color w:val="333333"/>
                <w:sz w:val="18"/>
                <w:szCs w:val="18"/>
              </w:rPr>
              <w:t xml:space="preserve">    0.0</w:t>
            </w:r>
          </w:p>
        </w:tc>
        <w:tc>
          <w:tcPr>
            <w:tcW w:w="831" w:type="dxa"/>
            <w:vAlign w:val="center"/>
            <w:hideMark/>
          </w:tcPr>
          <w:p w14:paraId="6D86977A" w14:textId="77777777" w:rsidR="0025614E" w:rsidRDefault="0025614E">
            <w:pPr>
              <w:jc w:val="center"/>
              <w:rPr>
                <w:bCs/>
                <w:sz w:val="18"/>
                <w:szCs w:val="18"/>
              </w:rPr>
            </w:pPr>
            <w:r>
              <w:rPr>
                <w:rFonts w:eastAsia="Times New Roman" w:cs="Tahoma"/>
                <w:color w:val="333333"/>
                <w:sz w:val="18"/>
                <w:szCs w:val="18"/>
              </w:rPr>
              <w:t xml:space="preserve">  25.90</w:t>
            </w:r>
          </w:p>
        </w:tc>
        <w:tc>
          <w:tcPr>
            <w:tcW w:w="810" w:type="dxa"/>
            <w:vAlign w:val="center"/>
            <w:hideMark/>
          </w:tcPr>
          <w:p w14:paraId="5F6E03C0" w14:textId="77777777" w:rsidR="0025614E" w:rsidRDefault="0025614E">
            <w:pPr>
              <w:jc w:val="center"/>
              <w:rPr>
                <w:bCs/>
                <w:sz w:val="18"/>
                <w:szCs w:val="18"/>
              </w:rPr>
            </w:pPr>
            <w:r>
              <w:rPr>
                <w:rFonts w:eastAsia="Times New Roman" w:cs="Tahoma"/>
                <w:color w:val="333333"/>
                <w:sz w:val="18"/>
                <w:szCs w:val="18"/>
              </w:rPr>
              <w:t xml:space="preserve">  25.90</w:t>
            </w:r>
          </w:p>
        </w:tc>
        <w:tc>
          <w:tcPr>
            <w:tcW w:w="810" w:type="dxa"/>
            <w:vAlign w:val="center"/>
            <w:hideMark/>
          </w:tcPr>
          <w:p w14:paraId="1A92D443" w14:textId="77777777" w:rsidR="0025614E" w:rsidRDefault="0025614E">
            <w:pPr>
              <w:jc w:val="center"/>
              <w:rPr>
                <w:bCs/>
                <w:sz w:val="18"/>
                <w:szCs w:val="18"/>
              </w:rPr>
            </w:pPr>
            <w:r>
              <w:rPr>
                <w:rFonts w:eastAsia="Times New Roman" w:cs="Tahoma"/>
                <w:color w:val="333333"/>
                <w:sz w:val="18"/>
                <w:szCs w:val="18"/>
              </w:rPr>
              <w:t xml:space="preserve">  70.82</w:t>
            </w:r>
          </w:p>
        </w:tc>
        <w:tc>
          <w:tcPr>
            <w:tcW w:w="720" w:type="dxa"/>
            <w:vAlign w:val="center"/>
            <w:hideMark/>
          </w:tcPr>
          <w:p w14:paraId="0DE5DD51" w14:textId="77777777" w:rsidR="0025614E" w:rsidRDefault="0025614E">
            <w:pPr>
              <w:jc w:val="center"/>
              <w:rPr>
                <w:bCs/>
                <w:sz w:val="18"/>
                <w:szCs w:val="18"/>
              </w:rPr>
            </w:pPr>
            <w:r>
              <w:rPr>
                <w:rFonts w:eastAsia="Times New Roman" w:cs="Tahoma"/>
                <w:color w:val="333333"/>
                <w:sz w:val="18"/>
                <w:szCs w:val="18"/>
              </w:rPr>
              <w:t xml:space="preserve">  13.00</w:t>
            </w:r>
          </w:p>
        </w:tc>
        <w:tc>
          <w:tcPr>
            <w:tcW w:w="810" w:type="dxa"/>
            <w:vAlign w:val="center"/>
            <w:hideMark/>
          </w:tcPr>
          <w:p w14:paraId="46683123" w14:textId="77777777" w:rsidR="0025614E" w:rsidRDefault="0025614E">
            <w:pPr>
              <w:jc w:val="center"/>
              <w:rPr>
                <w:bCs/>
                <w:sz w:val="18"/>
                <w:szCs w:val="18"/>
              </w:rPr>
            </w:pPr>
            <w:r>
              <w:rPr>
                <w:rFonts w:eastAsia="Times New Roman" w:cs="Tahoma"/>
                <w:color w:val="333333"/>
                <w:sz w:val="18"/>
                <w:szCs w:val="18"/>
              </w:rPr>
              <w:t xml:space="preserve">  41.07</w:t>
            </w:r>
          </w:p>
        </w:tc>
        <w:tc>
          <w:tcPr>
            <w:tcW w:w="882" w:type="dxa"/>
            <w:vAlign w:val="center"/>
            <w:hideMark/>
          </w:tcPr>
          <w:p w14:paraId="2631D4D9" w14:textId="77777777" w:rsidR="0025614E" w:rsidRDefault="0025614E">
            <w:pPr>
              <w:jc w:val="center"/>
              <w:rPr>
                <w:bCs/>
                <w:sz w:val="18"/>
                <w:szCs w:val="18"/>
              </w:rPr>
            </w:pPr>
            <w:r>
              <w:rPr>
                <w:rFonts w:eastAsia="Times New Roman" w:cs="Tahoma"/>
                <w:color w:val="333333"/>
                <w:sz w:val="18"/>
                <w:szCs w:val="18"/>
              </w:rPr>
              <w:t xml:space="preserve">  64.58</w:t>
            </w:r>
          </w:p>
        </w:tc>
      </w:tr>
      <w:tr w:rsidR="0025614E" w14:paraId="0C95B3B6" w14:textId="77777777" w:rsidTr="0025614E">
        <w:trPr>
          <w:jc w:val="center"/>
        </w:trPr>
        <w:tc>
          <w:tcPr>
            <w:tcW w:w="3870" w:type="dxa"/>
            <w:vAlign w:val="center"/>
            <w:hideMark/>
          </w:tcPr>
          <w:p w14:paraId="251761C0" w14:textId="77777777" w:rsidR="0025614E" w:rsidRDefault="0025614E">
            <w:pPr>
              <w:rPr>
                <w:sz w:val="18"/>
                <w:szCs w:val="18"/>
              </w:rPr>
            </w:pPr>
            <w:r>
              <w:rPr>
                <w:sz w:val="18"/>
                <w:szCs w:val="18"/>
              </w:rPr>
              <w:t>Commitments at risk (%)</w:t>
            </w:r>
          </w:p>
        </w:tc>
        <w:tc>
          <w:tcPr>
            <w:tcW w:w="735" w:type="dxa"/>
            <w:vAlign w:val="center"/>
            <w:hideMark/>
          </w:tcPr>
          <w:p w14:paraId="0D0DCA29" w14:textId="77777777" w:rsidR="0025614E" w:rsidRDefault="0025614E">
            <w:pPr>
              <w:jc w:val="center"/>
              <w:rPr>
                <w:bCs/>
                <w:sz w:val="18"/>
                <w:szCs w:val="18"/>
              </w:rPr>
            </w:pPr>
            <w:r>
              <w:rPr>
                <w:rFonts w:eastAsia="Times New Roman" w:cs="Tahoma"/>
                <w:color w:val="333333"/>
                <w:sz w:val="18"/>
                <w:szCs w:val="18"/>
              </w:rPr>
              <w:t xml:space="preserve">    0.0</w:t>
            </w:r>
          </w:p>
        </w:tc>
        <w:tc>
          <w:tcPr>
            <w:tcW w:w="831" w:type="dxa"/>
            <w:vAlign w:val="center"/>
            <w:hideMark/>
          </w:tcPr>
          <w:p w14:paraId="65113E57" w14:textId="77777777" w:rsidR="0025614E" w:rsidRDefault="0025614E">
            <w:pPr>
              <w:jc w:val="center"/>
              <w:rPr>
                <w:bCs/>
                <w:sz w:val="18"/>
                <w:szCs w:val="18"/>
              </w:rPr>
            </w:pPr>
            <w:r>
              <w:rPr>
                <w:rFonts w:eastAsia="Times New Roman" w:cs="Tahoma"/>
                <w:color w:val="333333"/>
                <w:sz w:val="18"/>
                <w:szCs w:val="18"/>
              </w:rPr>
              <w:t xml:space="preserve">    14.8</w:t>
            </w:r>
          </w:p>
        </w:tc>
        <w:tc>
          <w:tcPr>
            <w:tcW w:w="810" w:type="dxa"/>
            <w:vAlign w:val="center"/>
            <w:hideMark/>
          </w:tcPr>
          <w:p w14:paraId="61917954" w14:textId="77777777" w:rsidR="0025614E" w:rsidRDefault="0025614E">
            <w:pPr>
              <w:jc w:val="center"/>
              <w:rPr>
                <w:bCs/>
                <w:sz w:val="18"/>
                <w:szCs w:val="18"/>
              </w:rPr>
            </w:pPr>
            <w:r>
              <w:rPr>
                <w:rFonts w:eastAsia="Times New Roman" w:cs="Tahoma"/>
                <w:color w:val="333333"/>
                <w:sz w:val="18"/>
                <w:szCs w:val="18"/>
              </w:rPr>
              <w:t xml:space="preserve">    14.5</w:t>
            </w:r>
          </w:p>
        </w:tc>
        <w:tc>
          <w:tcPr>
            <w:tcW w:w="810" w:type="dxa"/>
            <w:vAlign w:val="center"/>
            <w:hideMark/>
          </w:tcPr>
          <w:p w14:paraId="24E870AC" w14:textId="77777777" w:rsidR="0025614E" w:rsidRDefault="0025614E">
            <w:pPr>
              <w:jc w:val="center"/>
              <w:rPr>
                <w:bCs/>
                <w:sz w:val="18"/>
                <w:szCs w:val="18"/>
              </w:rPr>
            </w:pPr>
            <w:r>
              <w:rPr>
                <w:rFonts w:eastAsia="Times New Roman" w:cs="Tahoma"/>
                <w:color w:val="333333"/>
                <w:sz w:val="18"/>
                <w:szCs w:val="18"/>
              </w:rPr>
              <w:t xml:space="preserve">    38.1</w:t>
            </w:r>
          </w:p>
        </w:tc>
        <w:tc>
          <w:tcPr>
            <w:tcW w:w="720" w:type="dxa"/>
            <w:vAlign w:val="center"/>
            <w:hideMark/>
          </w:tcPr>
          <w:p w14:paraId="04373235" w14:textId="77777777" w:rsidR="0025614E" w:rsidRDefault="0025614E">
            <w:pPr>
              <w:jc w:val="center"/>
              <w:rPr>
                <w:bCs/>
                <w:sz w:val="18"/>
                <w:szCs w:val="18"/>
              </w:rPr>
            </w:pPr>
            <w:r>
              <w:rPr>
                <w:rFonts w:eastAsia="Times New Roman" w:cs="Tahoma"/>
                <w:color w:val="333333"/>
                <w:sz w:val="18"/>
                <w:szCs w:val="18"/>
              </w:rPr>
              <w:t xml:space="preserve">      7.1</w:t>
            </w:r>
          </w:p>
        </w:tc>
        <w:tc>
          <w:tcPr>
            <w:tcW w:w="810" w:type="dxa"/>
            <w:vAlign w:val="center"/>
            <w:hideMark/>
          </w:tcPr>
          <w:p w14:paraId="548DC5D0" w14:textId="77777777" w:rsidR="0025614E" w:rsidRDefault="0025614E">
            <w:pPr>
              <w:jc w:val="center"/>
              <w:rPr>
                <w:bCs/>
                <w:sz w:val="18"/>
                <w:szCs w:val="18"/>
              </w:rPr>
            </w:pPr>
            <w:r>
              <w:rPr>
                <w:rFonts w:eastAsia="Times New Roman" w:cs="Tahoma"/>
                <w:color w:val="333333"/>
                <w:sz w:val="18"/>
                <w:szCs w:val="18"/>
              </w:rPr>
              <w:t xml:space="preserve">    24.3</w:t>
            </w:r>
          </w:p>
        </w:tc>
        <w:tc>
          <w:tcPr>
            <w:tcW w:w="882" w:type="dxa"/>
            <w:vAlign w:val="center"/>
            <w:hideMark/>
          </w:tcPr>
          <w:p w14:paraId="5DEA9CFE" w14:textId="77777777" w:rsidR="0025614E" w:rsidRDefault="0025614E">
            <w:pPr>
              <w:jc w:val="center"/>
              <w:rPr>
                <w:bCs/>
                <w:sz w:val="18"/>
                <w:szCs w:val="18"/>
              </w:rPr>
            </w:pPr>
            <w:r>
              <w:rPr>
                <w:rFonts w:eastAsia="Times New Roman" w:cs="Tahoma"/>
                <w:color w:val="333333"/>
                <w:sz w:val="18"/>
                <w:szCs w:val="18"/>
              </w:rPr>
              <w:t xml:space="preserve">    59.3</w:t>
            </w:r>
          </w:p>
        </w:tc>
      </w:tr>
      <w:tr w:rsidR="0025614E" w14:paraId="7670387E" w14:textId="77777777" w:rsidTr="0025614E">
        <w:trPr>
          <w:jc w:val="center"/>
        </w:trPr>
        <w:tc>
          <w:tcPr>
            <w:tcW w:w="3870" w:type="dxa"/>
            <w:tcBorders>
              <w:top w:val="nil"/>
              <w:left w:val="nil"/>
              <w:bottom w:val="single" w:sz="4" w:space="0" w:color="auto"/>
              <w:right w:val="nil"/>
            </w:tcBorders>
            <w:vAlign w:val="center"/>
            <w:hideMark/>
          </w:tcPr>
          <w:p w14:paraId="661C151F" w14:textId="77777777" w:rsidR="0025614E" w:rsidRDefault="0025614E">
            <w:pPr>
              <w:rPr>
                <w:sz w:val="18"/>
                <w:szCs w:val="18"/>
              </w:rPr>
            </w:pPr>
            <w:r>
              <w:rPr>
                <w:sz w:val="18"/>
                <w:szCs w:val="18"/>
              </w:rPr>
              <w:t>Proactivity (%)</w:t>
            </w:r>
          </w:p>
        </w:tc>
        <w:tc>
          <w:tcPr>
            <w:tcW w:w="735" w:type="dxa"/>
            <w:tcBorders>
              <w:top w:val="nil"/>
              <w:left w:val="nil"/>
              <w:bottom w:val="single" w:sz="4" w:space="0" w:color="auto"/>
              <w:right w:val="nil"/>
            </w:tcBorders>
            <w:vAlign w:val="center"/>
            <w:hideMark/>
          </w:tcPr>
          <w:p w14:paraId="5E633574" w14:textId="77777777" w:rsidR="0025614E" w:rsidRDefault="0025614E">
            <w:pPr>
              <w:jc w:val="center"/>
              <w:rPr>
                <w:bCs/>
                <w:sz w:val="18"/>
                <w:szCs w:val="18"/>
              </w:rPr>
            </w:pPr>
            <w:r>
              <w:rPr>
                <w:rFonts w:eastAsia="Times New Roman" w:cs="Tahoma"/>
                <w:color w:val="333333"/>
                <w:sz w:val="18"/>
                <w:szCs w:val="18"/>
              </w:rPr>
              <w:t>.. </w:t>
            </w:r>
          </w:p>
        </w:tc>
        <w:tc>
          <w:tcPr>
            <w:tcW w:w="831" w:type="dxa"/>
            <w:tcBorders>
              <w:top w:val="nil"/>
              <w:left w:val="nil"/>
              <w:bottom w:val="single" w:sz="4" w:space="0" w:color="auto"/>
              <w:right w:val="nil"/>
            </w:tcBorders>
            <w:hideMark/>
          </w:tcPr>
          <w:p w14:paraId="1F069243" w14:textId="77777777" w:rsidR="0025614E" w:rsidRDefault="0025614E">
            <w:pPr>
              <w:jc w:val="center"/>
              <w:rPr>
                <w:bCs/>
                <w:sz w:val="18"/>
                <w:szCs w:val="18"/>
              </w:rPr>
            </w:pPr>
            <w:r>
              <w:rPr>
                <w:rFonts w:eastAsia="Times New Roman" w:cs="Tahoma"/>
                <w:color w:val="333333"/>
                <w:sz w:val="18"/>
                <w:szCs w:val="18"/>
              </w:rPr>
              <w:t>..</w:t>
            </w:r>
          </w:p>
        </w:tc>
        <w:tc>
          <w:tcPr>
            <w:tcW w:w="810" w:type="dxa"/>
            <w:tcBorders>
              <w:top w:val="nil"/>
              <w:left w:val="nil"/>
              <w:bottom w:val="single" w:sz="4" w:space="0" w:color="auto"/>
              <w:right w:val="nil"/>
            </w:tcBorders>
            <w:hideMark/>
          </w:tcPr>
          <w:p w14:paraId="5A25D620" w14:textId="77777777" w:rsidR="0025614E" w:rsidRDefault="0025614E">
            <w:pPr>
              <w:jc w:val="center"/>
              <w:rPr>
                <w:bCs/>
                <w:sz w:val="18"/>
                <w:szCs w:val="18"/>
              </w:rPr>
            </w:pPr>
            <w:r>
              <w:rPr>
                <w:rFonts w:eastAsia="Times New Roman" w:cs="Tahoma"/>
                <w:color w:val="333333"/>
                <w:sz w:val="18"/>
                <w:szCs w:val="18"/>
              </w:rPr>
              <w:t>..</w:t>
            </w:r>
          </w:p>
        </w:tc>
        <w:tc>
          <w:tcPr>
            <w:tcW w:w="810" w:type="dxa"/>
            <w:tcBorders>
              <w:top w:val="nil"/>
              <w:left w:val="nil"/>
              <w:bottom w:val="single" w:sz="4" w:space="0" w:color="auto"/>
              <w:right w:val="nil"/>
            </w:tcBorders>
            <w:hideMark/>
          </w:tcPr>
          <w:p w14:paraId="789475E5" w14:textId="77777777" w:rsidR="0025614E" w:rsidRDefault="0025614E">
            <w:pPr>
              <w:jc w:val="center"/>
              <w:rPr>
                <w:bCs/>
                <w:sz w:val="18"/>
                <w:szCs w:val="18"/>
              </w:rPr>
            </w:pPr>
            <w:r>
              <w:rPr>
                <w:rFonts w:eastAsia="Times New Roman" w:cs="Tahoma"/>
                <w:color w:val="333333"/>
                <w:sz w:val="18"/>
                <w:szCs w:val="18"/>
              </w:rPr>
              <w:t>..</w:t>
            </w:r>
          </w:p>
        </w:tc>
        <w:tc>
          <w:tcPr>
            <w:tcW w:w="720" w:type="dxa"/>
            <w:tcBorders>
              <w:top w:val="nil"/>
              <w:left w:val="nil"/>
              <w:bottom w:val="single" w:sz="4" w:space="0" w:color="auto"/>
              <w:right w:val="nil"/>
            </w:tcBorders>
            <w:hideMark/>
          </w:tcPr>
          <w:p w14:paraId="727BBE16" w14:textId="77777777" w:rsidR="0025614E" w:rsidRDefault="0025614E">
            <w:pPr>
              <w:jc w:val="center"/>
              <w:rPr>
                <w:bCs/>
                <w:sz w:val="18"/>
                <w:szCs w:val="18"/>
              </w:rPr>
            </w:pPr>
            <w:r>
              <w:rPr>
                <w:rFonts w:eastAsia="Times New Roman" w:cs="Tahoma"/>
                <w:color w:val="333333"/>
                <w:sz w:val="18"/>
                <w:szCs w:val="18"/>
              </w:rPr>
              <w:t>..</w:t>
            </w:r>
          </w:p>
        </w:tc>
        <w:tc>
          <w:tcPr>
            <w:tcW w:w="810" w:type="dxa"/>
            <w:tcBorders>
              <w:top w:val="nil"/>
              <w:left w:val="nil"/>
              <w:bottom w:val="single" w:sz="4" w:space="0" w:color="auto"/>
              <w:right w:val="nil"/>
            </w:tcBorders>
            <w:vAlign w:val="center"/>
            <w:hideMark/>
          </w:tcPr>
          <w:p w14:paraId="1038416A" w14:textId="77777777" w:rsidR="0025614E" w:rsidRDefault="0025614E">
            <w:pPr>
              <w:jc w:val="center"/>
              <w:rPr>
                <w:bCs/>
                <w:sz w:val="18"/>
                <w:szCs w:val="18"/>
              </w:rPr>
            </w:pPr>
            <w:r>
              <w:rPr>
                <w:rFonts w:eastAsia="Times New Roman" w:cs="Tahoma"/>
                <w:color w:val="333333"/>
                <w:sz w:val="18"/>
                <w:szCs w:val="18"/>
              </w:rPr>
              <w:t xml:space="preserve">      0.0</w:t>
            </w:r>
          </w:p>
        </w:tc>
        <w:tc>
          <w:tcPr>
            <w:tcW w:w="882" w:type="dxa"/>
            <w:tcBorders>
              <w:top w:val="nil"/>
              <w:left w:val="nil"/>
              <w:bottom w:val="single" w:sz="4" w:space="0" w:color="auto"/>
              <w:right w:val="nil"/>
            </w:tcBorders>
            <w:vAlign w:val="center"/>
            <w:hideMark/>
          </w:tcPr>
          <w:p w14:paraId="593236E1" w14:textId="77777777" w:rsidR="0025614E" w:rsidRDefault="0025614E">
            <w:pPr>
              <w:jc w:val="center"/>
              <w:rPr>
                <w:bCs/>
                <w:sz w:val="18"/>
                <w:szCs w:val="18"/>
              </w:rPr>
            </w:pPr>
            <w:r>
              <w:rPr>
                <w:rFonts w:eastAsia="Times New Roman" w:cs="Tahoma"/>
                <w:color w:val="333333"/>
                <w:sz w:val="18"/>
                <w:szCs w:val="18"/>
              </w:rPr>
              <w:t xml:space="preserve"> 100.0</w:t>
            </w:r>
          </w:p>
        </w:tc>
      </w:tr>
      <w:tr w:rsidR="0025614E" w14:paraId="4D316524" w14:textId="77777777" w:rsidTr="0025614E">
        <w:trPr>
          <w:trHeight w:val="252"/>
          <w:jc w:val="center"/>
        </w:trPr>
        <w:tc>
          <w:tcPr>
            <w:tcW w:w="9468" w:type="dxa"/>
            <w:gridSpan w:val="8"/>
            <w:tcBorders>
              <w:top w:val="single" w:sz="4" w:space="0" w:color="auto"/>
              <w:left w:val="nil"/>
              <w:bottom w:val="nil"/>
              <w:right w:val="nil"/>
            </w:tcBorders>
            <w:vAlign w:val="center"/>
            <w:hideMark/>
          </w:tcPr>
          <w:p w14:paraId="4A34230C" w14:textId="77777777" w:rsidR="0025614E" w:rsidRDefault="0025614E">
            <w:pPr>
              <w:rPr>
                <w:b/>
                <w:bCs/>
                <w:sz w:val="18"/>
                <w:szCs w:val="18"/>
              </w:rPr>
            </w:pPr>
            <w:r>
              <w:rPr>
                <w:b/>
                <w:bCs/>
                <w:sz w:val="18"/>
                <w:szCs w:val="18"/>
              </w:rPr>
              <w:t xml:space="preserve">INDEPENDENT EVALUATION GROUP (IEG) RATINGS, FY2010–14  </w:t>
            </w:r>
          </w:p>
        </w:tc>
      </w:tr>
      <w:tr w:rsidR="0025614E" w14:paraId="525937DD" w14:textId="77777777" w:rsidTr="0025614E">
        <w:trPr>
          <w:trHeight w:val="252"/>
          <w:jc w:val="center"/>
        </w:trPr>
        <w:tc>
          <w:tcPr>
            <w:tcW w:w="3870" w:type="dxa"/>
            <w:vAlign w:val="center"/>
            <w:hideMark/>
          </w:tcPr>
          <w:p w14:paraId="7B01F17D" w14:textId="77777777" w:rsidR="0025614E" w:rsidRDefault="0025614E">
            <w:pPr>
              <w:rPr>
                <w:sz w:val="18"/>
                <w:szCs w:val="18"/>
              </w:rPr>
            </w:pPr>
            <w:r>
              <w:rPr>
                <w:sz w:val="18"/>
                <w:szCs w:val="18"/>
              </w:rPr>
              <w:t>Number of projects evaluated by IEG</w:t>
            </w:r>
          </w:p>
        </w:tc>
        <w:tc>
          <w:tcPr>
            <w:tcW w:w="735" w:type="dxa"/>
            <w:vAlign w:val="center"/>
            <w:hideMark/>
          </w:tcPr>
          <w:p w14:paraId="149A3954" w14:textId="77777777" w:rsidR="0025614E" w:rsidRDefault="0025614E">
            <w:pPr>
              <w:jc w:val="center"/>
              <w:rPr>
                <w:bCs/>
                <w:sz w:val="18"/>
                <w:szCs w:val="18"/>
              </w:rPr>
            </w:pPr>
            <w:r>
              <w:rPr>
                <w:rFonts w:eastAsia="Times New Roman" w:cs="Tahoma"/>
                <w:color w:val="333333"/>
                <w:sz w:val="18"/>
                <w:szCs w:val="18"/>
              </w:rPr>
              <w:t>1</w:t>
            </w:r>
          </w:p>
        </w:tc>
        <w:tc>
          <w:tcPr>
            <w:tcW w:w="831" w:type="dxa"/>
            <w:vAlign w:val="center"/>
            <w:hideMark/>
          </w:tcPr>
          <w:p w14:paraId="7B961B29" w14:textId="77777777" w:rsidR="0025614E" w:rsidRDefault="0025614E">
            <w:pPr>
              <w:jc w:val="center"/>
              <w:rPr>
                <w:bCs/>
                <w:sz w:val="18"/>
                <w:szCs w:val="18"/>
              </w:rPr>
            </w:pPr>
            <w:r>
              <w:rPr>
                <w:rFonts w:eastAsia="Times New Roman" w:cs="Tahoma"/>
                <w:color w:val="333333"/>
                <w:sz w:val="18"/>
                <w:szCs w:val="18"/>
              </w:rPr>
              <w:t xml:space="preserve">         1</w:t>
            </w:r>
          </w:p>
        </w:tc>
        <w:tc>
          <w:tcPr>
            <w:tcW w:w="810" w:type="dxa"/>
            <w:vAlign w:val="center"/>
            <w:hideMark/>
          </w:tcPr>
          <w:p w14:paraId="489CF752" w14:textId="77777777" w:rsidR="0025614E" w:rsidRDefault="0025614E">
            <w:pPr>
              <w:jc w:val="center"/>
              <w:rPr>
                <w:bCs/>
                <w:sz w:val="18"/>
                <w:szCs w:val="18"/>
              </w:rPr>
            </w:pPr>
            <w:r>
              <w:rPr>
                <w:sz w:val="18"/>
                <w:szCs w:val="18"/>
              </w:rPr>
              <w:t xml:space="preserve">          </w:t>
            </w:r>
            <w:r>
              <w:rPr>
                <w:rFonts w:eastAsia="Times New Roman" w:cs="Tahoma"/>
                <w:color w:val="333333"/>
                <w:sz w:val="18"/>
                <w:szCs w:val="18"/>
              </w:rPr>
              <w:t>1</w:t>
            </w:r>
          </w:p>
        </w:tc>
        <w:tc>
          <w:tcPr>
            <w:tcW w:w="810" w:type="dxa"/>
            <w:vAlign w:val="center"/>
            <w:hideMark/>
          </w:tcPr>
          <w:p w14:paraId="48C8CF58" w14:textId="77777777" w:rsidR="0025614E" w:rsidRDefault="0025614E">
            <w:pPr>
              <w:jc w:val="center"/>
              <w:rPr>
                <w:bCs/>
                <w:sz w:val="18"/>
                <w:szCs w:val="18"/>
              </w:rPr>
            </w:pPr>
            <w:r>
              <w:rPr>
                <w:rFonts w:eastAsia="Times New Roman" w:cs="Tahoma"/>
                <w:color w:val="333333"/>
                <w:sz w:val="18"/>
                <w:szCs w:val="18"/>
              </w:rPr>
              <w:t xml:space="preserve">          1</w:t>
            </w:r>
          </w:p>
        </w:tc>
        <w:tc>
          <w:tcPr>
            <w:tcW w:w="720" w:type="dxa"/>
            <w:vAlign w:val="center"/>
            <w:hideMark/>
          </w:tcPr>
          <w:p w14:paraId="5AC7328B" w14:textId="77777777" w:rsidR="0025614E" w:rsidRDefault="0025614E">
            <w:pPr>
              <w:jc w:val="center"/>
              <w:rPr>
                <w:bCs/>
                <w:sz w:val="18"/>
                <w:szCs w:val="18"/>
              </w:rPr>
            </w:pPr>
            <w:r>
              <w:rPr>
                <w:rFonts w:eastAsia="Times New Roman" w:cs="Tahoma"/>
                <w:color w:val="333333"/>
                <w:sz w:val="18"/>
                <w:szCs w:val="18"/>
              </w:rPr>
              <w:t xml:space="preserve">          1</w:t>
            </w:r>
          </w:p>
        </w:tc>
        <w:tc>
          <w:tcPr>
            <w:tcW w:w="810" w:type="dxa"/>
            <w:hideMark/>
          </w:tcPr>
          <w:p w14:paraId="26EAD497" w14:textId="77777777" w:rsidR="0025614E" w:rsidRDefault="0025614E">
            <w:pPr>
              <w:jc w:val="center"/>
              <w:rPr>
                <w:bCs/>
                <w:sz w:val="18"/>
                <w:szCs w:val="18"/>
              </w:rPr>
            </w:pPr>
            <w:r>
              <w:rPr>
                <w:rFonts w:eastAsia="Times New Roman" w:cs="Tahoma"/>
                <w:color w:val="333333"/>
                <w:sz w:val="18"/>
                <w:szCs w:val="18"/>
              </w:rPr>
              <w:t>..</w:t>
            </w:r>
          </w:p>
        </w:tc>
        <w:tc>
          <w:tcPr>
            <w:tcW w:w="882" w:type="dxa"/>
            <w:hideMark/>
          </w:tcPr>
          <w:p w14:paraId="19EA7362" w14:textId="77777777" w:rsidR="0025614E" w:rsidRDefault="0025614E">
            <w:pPr>
              <w:jc w:val="center"/>
              <w:rPr>
                <w:bCs/>
                <w:sz w:val="18"/>
                <w:szCs w:val="18"/>
              </w:rPr>
            </w:pPr>
            <w:r>
              <w:rPr>
                <w:rFonts w:eastAsia="Times New Roman" w:cs="Tahoma"/>
                <w:color w:val="333333"/>
                <w:sz w:val="18"/>
                <w:szCs w:val="18"/>
              </w:rPr>
              <w:t>..</w:t>
            </w:r>
          </w:p>
        </w:tc>
      </w:tr>
      <w:tr w:rsidR="0025614E" w14:paraId="6C7AB7EA" w14:textId="77777777" w:rsidTr="0025614E">
        <w:trPr>
          <w:trHeight w:val="252"/>
          <w:jc w:val="center"/>
        </w:trPr>
        <w:tc>
          <w:tcPr>
            <w:tcW w:w="3870" w:type="dxa"/>
            <w:vAlign w:val="center"/>
            <w:hideMark/>
          </w:tcPr>
          <w:p w14:paraId="43C0FB24" w14:textId="77777777" w:rsidR="0025614E" w:rsidRDefault="0025614E">
            <w:pPr>
              <w:rPr>
                <w:sz w:val="18"/>
                <w:szCs w:val="18"/>
              </w:rPr>
            </w:pPr>
            <w:r>
              <w:rPr>
                <w:sz w:val="18"/>
                <w:szCs w:val="18"/>
              </w:rPr>
              <w:t xml:space="preserve">IEG outcome rated MS+ (%) </w:t>
            </w:r>
            <w:r>
              <w:rPr>
                <w:sz w:val="20"/>
                <w:szCs w:val="20"/>
                <w:vertAlign w:val="superscript"/>
              </w:rPr>
              <w:t>a/</w:t>
            </w:r>
          </w:p>
        </w:tc>
        <w:tc>
          <w:tcPr>
            <w:tcW w:w="735" w:type="dxa"/>
            <w:vAlign w:val="center"/>
            <w:hideMark/>
          </w:tcPr>
          <w:p w14:paraId="5D6F7675" w14:textId="77777777" w:rsidR="0025614E" w:rsidRDefault="0025614E">
            <w:pPr>
              <w:jc w:val="center"/>
              <w:rPr>
                <w:bCs/>
                <w:sz w:val="18"/>
                <w:szCs w:val="18"/>
              </w:rPr>
            </w:pPr>
            <w:r>
              <w:rPr>
                <w:rFonts w:eastAsia="Times New Roman" w:cs="Tahoma"/>
                <w:color w:val="333333"/>
                <w:sz w:val="18"/>
                <w:szCs w:val="18"/>
              </w:rPr>
              <w:t>100.0</w:t>
            </w:r>
          </w:p>
        </w:tc>
        <w:tc>
          <w:tcPr>
            <w:tcW w:w="831" w:type="dxa"/>
            <w:vAlign w:val="center"/>
            <w:hideMark/>
          </w:tcPr>
          <w:p w14:paraId="1820534D"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vAlign w:val="center"/>
            <w:hideMark/>
          </w:tcPr>
          <w:p w14:paraId="2B2880EC"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vAlign w:val="center"/>
            <w:hideMark/>
          </w:tcPr>
          <w:p w14:paraId="4BE6B04E" w14:textId="77777777" w:rsidR="0025614E" w:rsidRDefault="0025614E">
            <w:pPr>
              <w:jc w:val="center"/>
              <w:rPr>
                <w:bCs/>
                <w:sz w:val="18"/>
                <w:szCs w:val="18"/>
              </w:rPr>
            </w:pPr>
            <w:r>
              <w:rPr>
                <w:rFonts w:eastAsia="Times New Roman" w:cs="Tahoma"/>
                <w:color w:val="333333"/>
                <w:sz w:val="18"/>
                <w:szCs w:val="18"/>
              </w:rPr>
              <w:t xml:space="preserve">  100.0</w:t>
            </w:r>
          </w:p>
        </w:tc>
        <w:tc>
          <w:tcPr>
            <w:tcW w:w="720" w:type="dxa"/>
            <w:vAlign w:val="center"/>
            <w:hideMark/>
          </w:tcPr>
          <w:p w14:paraId="6C06809E"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hideMark/>
          </w:tcPr>
          <w:p w14:paraId="508116E6" w14:textId="77777777" w:rsidR="0025614E" w:rsidRDefault="0025614E">
            <w:pPr>
              <w:jc w:val="center"/>
              <w:rPr>
                <w:bCs/>
                <w:sz w:val="18"/>
                <w:szCs w:val="18"/>
              </w:rPr>
            </w:pPr>
            <w:r>
              <w:rPr>
                <w:rFonts w:eastAsia="Times New Roman" w:cs="Tahoma"/>
                <w:color w:val="333333"/>
                <w:sz w:val="18"/>
                <w:szCs w:val="18"/>
              </w:rPr>
              <w:t>..</w:t>
            </w:r>
          </w:p>
        </w:tc>
        <w:tc>
          <w:tcPr>
            <w:tcW w:w="882" w:type="dxa"/>
            <w:hideMark/>
          </w:tcPr>
          <w:p w14:paraId="035845CF" w14:textId="77777777" w:rsidR="0025614E" w:rsidRDefault="0025614E">
            <w:pPr>
              <w:jc w:val="center"/>
              <w:rPr>
                <w:bCs/>
                <w:sz w:val="18"/>
                <w:szCs w:val="18"/>
              </w:rPr>
            </w:pPr>
            <w:r>
              <w:rPr>
                <w:rFonts w:eastAsia="Times New Roman" w:cs="Tahoma"/>
                <w:color w:val="333333"/>
                <w:sz w:val="18"/>
                <w:szCs w:val="18"/>
              </w:rPr>
              <w:t>..</w:t>
            </w:r>
          </w:p>
        </w:tc>
      </w:tr>
      <w:tr w:rsidR="0025614E" w14:paraId="05DA504B" w14:textId="77777777" w:rsidTr="0025614E">
        <w:trPr>
          <w:trHeight w:val="252"/>
          <w:jc w:val="center"/>
        </w:trPr>
        <w:tc>
          <w:tcPr>
            <w:tcW w:w="3870" w:type="dxa"/>
            <w:vAlign w:val="center"/>
            <w:hideMark/>
          </w:tcPr>
          <w:p w14:paraId="3AEE822C" w14:textId="77777777" w:rsidR="0025614E" w:rsidRDefault="0025614E">
            <w:pPr>
              <w:rPr>
                <w:sz w:val="18"/>
                <w:szCs w:val="18"/>
              </w:rPr>
            </w:pPr>
            <w:r>
              <w:rPr>
                <w:sz w:val="18"/>
                <w:szCs w:val="18"/>
              </w:rPr>
              <w:t>ICR quality rated Satisfactory (%)</w:t>
            </w:r>
          </w:p>
        </w:tc>
        <w:tc>
          <w:tcPr>
            <w:tcW w:w="735" w:type="dxa"/>
            <w:vAlign w:val="center"/>
            <w:hideMark/>
          </w:tcPr>
          <w:p w14:paraId="6B0496B1" w14:textId="77777777" w:rsidR="0025614E" w:rsidRDefault="0025614E">
            <w:pPr>
              <w:jc w:val="center"/>
              <w:rPr>
                <w:bCs/>
                <w:sz w:val="18"/>
                <w:szCs w:val="18"/>
              </w:rPr>
            </w:pPr>
            <w:r>
              <w:rPr>
                <w:rFonts w:eastAsia="Times New Roman" w:cs="Tahoma"/>
                <w:color w:val="333333"/>
                <w:sz w:val="18"/>
                <w:szCs w:val="18"/>
              </w:rPr>
              <w:t>100.0</w:t>
            </w:r>
          </w:p>
        </w:tc>
        <w:tc>
          <w:tcPr>
            <w:tcW w:w="831" w:type="dxa"/>
            <w:vAlign w:val="center"/>
            <w:hideMark/>
          </w:tcPr>
          <w:p w14:paraId="2A15F3CC"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vAlign w:val="center"/>
            <w:hideMark/>
          </w:tcPr>
          <w:p w14:paraId="27369760"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vAlign w:val="center"/>
            <w:hideMark/>
          </w:tcPr>
          <w:p w14:paraId="745A158A" w14:textId="77777777" w:rsidR="0025614E" w:rsidRDefault="0025614E">
            <w:pPr>
              <w:jc w:val="center"/>
              <w:rPr>
                <w:bCs/>
                <w:sz w:val="18"/>
                <w:szCs w:val="18"/>
              </w:rPr>
            </w:pPr>
            <w:r>
              <w:rPr>
                <w:rFonts w:eastAsia="Times New Roman" w:cs="Tahoma"/>
                <w:color w:val="333333"/>
                <w:sz w:val="18"/>
                <w:szCs w:val="18"/>
              </w:rPr>
              <w:t xml:space="preserve">  100.0</w:t>
            </w:r>
          </w:p>
        </w:tc>
        <w:tc>
          <w:tcPr>
            <w:tcW w:w="720" w:type="dxa"/>
            <w:vAlign w:val="center"/>
            <w:hideMark/>
          </w:tcPr>
          <w:p w14:paraId="3EF93CE7"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hideMark/>
          </w:tcPr>
          <w:p w14:paraId="7AA247CD" w14:textId="77777777" w:rsidR="0025614E" w:rsidRDefault="0025614E">
            <w:pPr>
              <w:jc w:val="center"/>
              <w:rPr>
                <w:bCs/>
                <w:sz w:val="18"/>
                <w:szCs w:val="18"/>
              </w:rPr>
            </w:pPr>
            <w:r>
              <w:rPr>
                <w:rFonts w:eastAsia="Times New Roman" w:cs="Tahoma"/>
                <w:color w:val="333333"/>
                <w:sz w:val="18"/>
                <w:szCs w:val="18"/>
              </w:rPr>
              <w:t>..</w:t>
            </w:r>
          </w:p>
        </w:tc>
        <w:tc>
          <w:tcPr>
            <w:tcW w:w="882" w:type="dxa"/>
            <w:hideMark/>
          </w:tcPr>
          <w:p w14:paraId="3EA9742A" w14:textId="77777777" w:rsidR="0025614E" w:rsidRDefault="0025614E">
            <w:pPr>
              <w:jc w:val="center"/>
              <w:rPr>
                <w:bCs/>
                <w:sz w:val="18"/>
                <w:szCs w:val="18"/>
              </w:rPr>
            </w:pPr>
            <w:r>
              <w:rPr>
                <w:rFonts w:eastAsia="Times New Roman" w:cs="Tahoma"/>
                <w:color w:val="333333"/>
                <w:sz w:val="18"/>
                <w:szCs w:val="18"/>
              </w:rPr>
              <w:t>..</w:t>
            </w:r>
          </w:p>
        </w:tc>
      </w:tr>
      <w:tr w:rsidR="0025614E" w14:paraId="1F5A8B86" w14:textId="77777777" w:rsidTr="0025614E">
        <w:trPr>
          <w:trHeight w:val="252"/>
          <w:jc w:val="center"/>
        </w:trPr>
        <w:tc>
          <w:tcPr>
            <w:tcW w:w="3870" w:type="dxa"/>
            <w:vAlign w:val="center"/>
            <w:hideMark/>
          </w:tcPr>
          <w:p w14:paraId="23470957" w14:textId="77777777" w:rsidR="0025614E" w:rsidRDefault="0025614E">
            <w:pPr>
              <w:rPr>
                <w:sz w:val="18"/>
                <w:szCs w:val="18"/>
              </w:rPr>
            </w:pPr>
            <w:r>
              <w:rPr>
                <w:sz w:val="18"/>
                <w:szCs w:val="18"/>
              </w:rPr>
              <w:t xml:space="preserve">Bank performance at entry rating MS+ (%) </w:t>
            </w:r>
            <w:r>
              <w:rPr>
                <w:sz w:val="20"/>
                <w:szCs w:val="20"/>
                <w:vertAlign w:val="superscript"/>
              </w:rPr>
              <w:t>a/</w:t>
            </w:r>
          </w:p>
        </w:tc>
        <w:tc>
          <w:tcPr>
            <w:tcW w:w="735" w:type="dxa"/>
            <w:vAlign w:val="center"/>
            <w:hideMark/>
          </w:tcPr>
          <w:p w14:paraId="773E1C01" w14:textId="77777777" w:rsidR="0025614E" w:rsidRDefault="0025614E">
            <w:pPr>
              <w:jc w:val="center"/>
              <w:rPr>
                <w:bCs/>
                <w:sz w:val="18"/>
                <w:szCs w:val="18"/>
              </w:rPr>
            </w:pPr>
            <w:r>
              <w:rPr>
                <w:rFonts w:eastAsia="Times New Roman" w:cs="Tahoma"/>
                <w:color w:val="333333"/>
                <w:sz w:val="18"/>
                <w:szCs w:val="18"/>
              </w:rPr>
              <w:t>100.0</w:t>
            </w:r>
          </w:p>
        </w:tc>
        <w:tc>
          <w:tcPr>
            <w:tcW w:w="831" w:type="dxa"/>
            <w:vAlign w:val="center"/>
            <w:hideMark/>
          </w:tcPr>
          <w:p w14:paraId="24C5448E"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vAlign w:val="center"/>
            <w:hideMark/>
          </w:tcPr>
          <w:p w14:paraId="3EE3CE88"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vAlign w:val="center"/>
            <w:hideMark/>
          </w:tcPr>
          <w:p w14:paraId="4477142B" w14:textId="77777777" w:rsidR="0025614E" w:rsidRDefault="0025614E">
            <w:pPr>
              <w:jc w:val="center"/>
              <w:rPr>
                <w:bCs/>
                <w:sz w:val="18"/>
                <w:szCs w:val="18"/>
              </w:rPr>
            </w:pPr>
            <w:r>
              <w:rPr>
                <w:rFonts w:eastAsia="Times New Roman" w:cs="Tahoma"/>
                <w:color w:val="333333"/>
                <w:sz w:val="18"/>
                <w:szCs w:val="18"/>
              </w:rPr>
              <w:t xml:space="preserve">  100.0</w:t>
            </w:r>
          </w:p>
        </w:tc>
        <w:tc>
          <w:tcPr>
            <w:tcW w:w="720" w:type="dxa"/>
            <w:vAlign w:val="center"/>
            <w:hideMark/>
          </w:tcPr>
          <w:p w14:paraId="274D8A84"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hideMark/>
          </w:tcPr>
          <w:p w14:paraId="64C7BC13" w14:textId="77777777" w:rsidR="0025614E" w:rsidRDefault="0025614E">
            <w:pPr>
              <w:jc w:val="center"/>
              <w:rPr>
                <w:bCs/>
                <w:sz w:val="18"/>
                <w:szCs w:val="18"/>
              </w:rPr>
            </w:pPr>
            <w:r>
              <w:rPr>
                <w:rFonts w:eastAsia="Times New Roman" w:cs="Tahoma"/>
                <w:color w:val="333333"/>
                <w:sz w:val="18"/>
                <w:szCs w:val="18"/>
              </w:rPr>
              <w:t>..</w:t>
            </w:r>
          </w:p>
        </w:tc>
        <w:tc>
          <w:tcPr>
            <w:tcW w:w="882" w:type="dxa"/>
            <w:hideMark/>
          </w:tcPr>
          <w:p w14:paraId="5D8701BD" w14:textId="77777777" w:rsidR="0025614E" w:rsidRDefault="0025614E">
            <w:pPr>
              <w:jc w:val="center"/>
              <w:rPr>
                <w:bCs/>
                <w:sz w:val="18"/>
                <w:szCs w:val="18"/>
              </w:rPr>
            </w:pPr>
            <w:r>
              <w:rPr>
                <w:rFonts w:eastAsia="Times New Roman" w:cs="Tahoma"/>
                <w:color w:val="333333"/>
                <w:sz w:val="18"/>
                <w:szCs w:val="18"/>
              </w:rPr>
              <w:t>..</w:t>
            </w:r>
          </w:p>
        </w:tc>
      </w:tr>
      <w:tr w:rsidR="0025614E" w14:paraId="0FA60904" w14:textId="77777777" w:rsidTr="0025614E">
        <w:trPr>
          <w:trHeight w:val="252"/>
          <w:jc w:val="center"/>
        </w:trPr>
        <w:tc>
          <w:tcPr>
            <w:tcW w:w="3870" w:type="dxa"/>
            <w:vAlign w:val="center"/>
            <w:hideMark/>
          </w:tcPr>
          <w:p w14:paraId="6FA761AD" w14:textId="77777777" w:rsidR="0025614E" w:rsidRDefault="0025614E">
            <w:pPr>
              <w:rPr>
                <w:sz w:val="18"/>
                <w:szCs w:val="18"/>
              </w:rPr>
            </w:pPr>
            <w:r>
              <w:rPr>
                <w:sz w:val="18"/>
                <w:szCs w:val="18"/>
              </w:rPr>
              <w:t>Bank performance at supervision rated MS+ (%)</w:t>
            </w:r>
            <w:r>
              <w:rPr>
                <w:sz w:val="20"/>
                <w:szCs w:val="20"/>
                <w:vertAlign w:val="superscript"/>
              </w:rPr>
              <w:t>a/</w:t>
            </w:r>
          </w:p>
        </w:tc>
        <w:tc>
          <w:tcPr>
            <w:tcW w:w="735" w:type="dxa"/>
            <w:vAlign w:val="center"/>
            <w:hideMark/>
          </w:tcPr>
          <w:p w14:paraId="035B2D6D" w14:textId="77777777" w:rsidR="0025614E" w:rsidRDefault="0025614E">
            <w:pPr>
              <w:jc w:val="center"/>
              <w:rPr>
                <w:bCs/>
                <w:sz w:val="18"/>
                <w:szCs w:val="18"/>
              </w:rPr>
            </w:pPr>
            <w:r>
              <w:rPr>
                <w:rFonts w:eastAsia="Times New Roman" w:cs="Tahoma"/>
                <w:color w:val="333333"/>
                <w:sz w:val="18"/>
                <w:szCs w:val="18"/>
              </w:rPr>
              <w:t xml:space="preserve">    0.0</w:t>
            </w:r>
          </w:p>
        </w:tc>
        <w:tc>
          <w:tcPr>
            <w:tcW w:w="831" w:type="dxa"/>
            <w:vAlign w:val="center"/>
            <w:hideMark/>
          </w:tcPr>
          <w:p w14:paraId="5BEA6093"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vAlign w:val="center"/>
            <w:hideMark/>
          </w:tcPr>
          <w:p w14:paraId="4987C729"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vAlign w:val="center"/>
            <w:hideMark/>
          </w:tcPr>
          <w:p w14:paraId="78F04EFA" w14:textId="77777777" w:rsidR="0025614E" w:rsidRDefault="0025614E">
            <w:pPr>
              <w:jc w:val="center"/>
              <w:rPr>
                <w:bCs/>
                <w:sz w:val="18"/>
                <w:szCs w:val="18"/>
              </w:rPr>
            </w:pPr>
            <w:r>
              <w:rPr>
                <w:rFonts w:eastAsia="Times New Roman" w:cs="Tahoma"/>
                <w:color w:val="333333"/>
                <w:sz w:val="18"/>
                <w:szCs w:val="18"/>
              </w:rPr>
              <w:t xml:space="preserve">  100.0</w:t>
            </w:r>
          </w:p>
        </w:tc>
        <w:tc>
          <w:tcPr>
            <w:tcW w:w="720" w:type="dxa"/>
            <w:vAlign w:val="center"/>
            <w:hideMark/>
          </w:tcPr>
          <w:p w14:paraId="3612B9EB"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hideMark/>
          </w:tcPr>
          <w:p w14:paraId="077331D5" w14:textId="77777777" w:rsidR="0025614E" w:rsidRDefault="0025614E">
            <w:pPr>
              <w:jc w:val="center"/>
              <w:rPr>
                <w:bCs/>
                <w:sz w:val="18"/>
                <w:szCs w:val="18"/>
              </w:rPr>
            </w:pPr>
            <w:r>
              <w:rPr>
                <w:rFonts w:eastAsia="Times New Roman" w:cs="Tahoma"/>
                <w:color w:val="333333"/>
                <w:sz w:val="18"/>
                <w:szCs w:val="18"/>
              </w:rPr>
              <w:t>..</w:t>
            </w:r>
          </w:p>
        </w:tc>
        <w:tc>
          <w:tcPr>
            <w:tcW w:w="882" w:type="dxa"/>
            <w:hideMark/>
          </w:tcPr>
          <w:p w14:paraId="694B7A77" w14:textId="77777777" w:rsidR="0025614E" w:rsidRDefault="0025614E">
            <w:pPr>
              <w:jc w:val="center"/>
              <w:rPr>
                <w:bCs/>
                <w:sz w:val="18"/>
                <w:szCs w:val="18"/>
              </w:rPr>
            </w:pPr>
            <w:r>
              <w:rPr>
                <w:rFonts w:eastAsia="Times New Roman" w:cs="Tahoma"/>
                <w:color w:val="333333"/>
                <w:sz w:val="18"/>
                <w:szCs w:val="18"/>
              </w:rPr>
              <w:t>..</w:t>
            </w:r>
          </w:p>
        </w:tc>
      </w:tr>
      <w:tr w:rsidR="0025614E" w14:paraId="3DC0E312" w14:textId="77777777" w:rsidTr="0025614E">
        <w:trPr>
          <w:trHeight w:val="252"/>
          <w:jc w:val="center"/>
        </w:trPr>
        <w:tc>
          <w:tcPr>
            <w:tcW w:w="3870" w:type="dxa"/>
            <w:vAlign w:val="center"/>
            <w:hideMark/>
          </w:tcPr>
          <w:p w14:paraId="6FB49380" w14:textId="77777777" w:rsidR="0025614E" w:rsidRDefault="0025614E">
            <w:pPr>
              <w:rPr>
                <w:sz w:val="18"/>
                <w:szCs w:val="18"/>
              </w:rPr>
            </w:pPr>
            <w:r>
              <w:rPr>
                <w:sz w:val="18"/>
                <w:szCs w:val="18"/>
              </w:rPr>
              <w:t>M&amp;E quality rated Satisfactory (%)</w:t>
            </w:r>
          </w:p>
        </w:tc>
        <w:tc>
          <w:tcPr>
            <w:tcW w:w="735" w:type="dxa"/>
            <w:vAlign w:val="center"/>
            <w:hideMark/>
          </w:tcPr>
          <w:p w14:paraId="7D8B866A" w14:textId="77777777" w:rsidR="0025614E" w:rsidRDefault="0025614E">
            <w:pPr>
              <w:jc w:val="center"/>
              <w:rPr>
                <w:bCs/>
                <w:sz w:val="18"/>
                <w:szCs w:val="18"/>
              </w:rPr>
            </w:pPr>
            <w:r>
              <w:rPr>
                <w:rFonts w:eastAsia="Times New Roman" w:cs="Tahoma"/>
                <w:color w:val="333333"/>
                <w:sz w:val="18"/>
                <w:szCs w:val="18"/>
              </w:rPr>
              <w:t xml:space="preserve">    0.0</w:t>
            </w:r>
          </w:p>
        </w:tc>
        <w:tc>
          <w:tcPr>
            <w:tcW w:w="831" w:type="dxa"/>
            <w:vAlign w:val="center"/>
            <w:hideMark/>
          </w:tcPr>
          <w:p w14:paraId="6CB08684"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vAlign w:val="center"/>
            <w:hideMark/>
          </w:tcPr>
          <w:p w14:paraId="4B257974"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vAlign w:val="center"/>
            <w:hideMark/>
          </w:tcPr>
          <w:p w14:paraId="77B12896" w14:textId="77777777" w:rsidR="0025614E" w:rsidRDefault="0025614E">
            <w:pPr>
              <w:jc w:val="center"/>
              <w:rPr>
                <w:bCs/>
                <w:sz w:val="18"/>
                <w:szCs w:val="18"/>
              </w:rPr>
            </w:pPr>
            <w:r>
              <w:rPr>
                <w:rFonts w:eastAsia="Times New Roman" w:cs="Tahoma"/>
                <w:color w:val="333333"/>
                <w:sz w:val="18"/>
                <w:szCs w:val="18"/>
              </w:rPr>
              <w:t xml:space="preserve">  100.0</w:t>
            </w:r>
          </w:p>
        </w:tc>
        <w:tc>
          <w:tcPr>
            <w:tcW w:w="720" w:type="dxa"/>
            <w:vAlign w:val="center"/>
            <w:hideMark/>
          </w:tcPr>
          <w:p w14:paraId="626EED57"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hideMark/>
          </w:tcPr>
          <w:p w14:paraId="5493FD58" w14:textId="77777777" w:rsidR="0025614E" w:rsidRDefault="0025614E">
            <w:pPr>
              <w:jc w:val="center"/>
              <w:rPr>
                <w:bCs/>
                <w:sz w:val="18"/>
                <w:szCs w:val="18"/>
              </w:rPr>
            </w:pPr>
            <w:r>
              <w:rPr>
                <w:rFonts w:eastAsia="Times New Roman" w:cs="Tahoma"/>
                <w:color w:val="333333"/>
                <w:sz w:val="18"/>
                <w:szCs w:val="18"/>
              </w:rPr>
              <w:t>..</w:t>
            </w:r>
          </w:p>
        </w:tc>
        <w:tc>
          <w:tcPr>
            <w:tcW w:w="882" w:type="dxa"/>
            <w:hideMark/>
          </w:tcPr>
          <w:p w14:paraId="4C6AF189" w14:textId="77777777" w:rsidR="0025614E" w:rsidRDefault="0025614E">
            <w:pPr>
              <w:jc w:val="center"/>
              <w:rPr>
                <w:bCs/>
                <w:sz w:val="18"/>
                <w:szCs w:val="18"/>
              </w:rPr>
            </w:pPr>
            <w:r>
              <w:rPr>
                <w:rFonts w:eastAsia="Times New Roman" w:cs="Tahoma"/>
                <w:color w:val="333333"/>
                <w:sz w:val="18"/>
                <w:szCs w:val="18"/>
              </w:rPr>
              <w:t>..</w:t>
            </w:r>
          </w:p>
        </w:tc>
      </w:tr>
      <w:tr w:rsidR="0025614E" w14:paraId="482605BE" w14:textId="77777777" w:rsidTr="0025614E">
        <w:trPr>
          <w:trHeight w:val="252"/>
          <w:jc w:val="center"/>
        </w:trPr>
        <w:tc>
          <w:tcPr>
            <w:tcW w:w="3870" w:type="dxa"/>
            <w:tcBorders>
              <w:top w:val="nil"/>
              <w:left w:val="nil"/>
              <w:bottom w:val="single" w:sz="4" w:space="0" w:color="auto"/>
              <w:right w:val="nil"/>
            </w:tcBorders>
            <w:vAlign w:val="center"/>
            <w:hideMark/>
          </w:tcPr>
          <w:p w14:paraId="2BD3FC43" w14:textId="77777777" w:rsidR="0025614E" w:rsidRDefault="0025614E">
            <w:pPr>
              <w:rPr>
                <w:sz w:val="18"/>
                <w:szCs w:val="18"/>
              </w:rPr>
            </w:pPr>
            <w:r>
              <w:rPr>
                <w:sz w:val="18"/>
                <w:szCs w:val="18"/>
              </w:rPr>
              <w:t>Borrower overall performance rated Satisfactory (%)</w:t>
            </w:r>
          </w:p>
        </w:tc>
        <w:tc>
          <w:tcPr>
            <w:tcW w:w="735" w:type="dxa"/>
            <w:tcBorders>
              <w:top w:val="nil"/>
              <w:left w:val="nil"/>
              <w:bottom w:val="single" w:sz="4" w:space="0" w:color="auto"/>
              <w:right w:val="nil"/>
            </w:tcBorders>
            <w:vAlign w:val="center"/>
            <w:hideMark/>
          </w:tcPr>
          <w:p w14:paraId="7E815E31" w14:textId="77777777" w:rsidR="0025614E" w:rsidRDefault="0025614E">
            <w:pPr>
              <w:jc w:val="center"/>
              <w:rPr>
                <w:bCs/>
                <w:sz w:val="18"/>
                <w:szCs w:val="18"/>
              </w:rPr>
            </w:pPr>
            <w:r>
              <w:rPr>
                <w:rFonts w:eastAsia="Times New Roman" w:cs="Tahoma"/>
                <w:color w:val="333333"/>
                <w:sz w:val="18"/>
                <w:szCs w:val="18"/>
              </w:rPr>
              <w:t>100.0</w:t>
            </w:r>
          </w:p>
        </w:tc>
        <w:tc>
          <w:tcPr>
            <w:tcW w:w="831" w:type="dxa"/>
            <w:tcBorders>
              <w:top w:val="nil"/>
              <w:left w:val="nil"/>
              <w:bottom w:val="single" w:sz="4" w:space="0" w:color="auto"/>
              <w:right w:val="nil"/>
            </w:tcBorders>
            <w:vAlign w:val="center"/>
            <w:hideMark/>
          </w:tcPr>
          <w:p w14:paraId="4407856C"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tcBorders>
              <w:top w:val="nil"/>
              <w:left w:val="nil"/>
              <w:bottom w:val="single" w:sz="4" w:space="0" w:color="auto"/>
              <w:right w:val="nil"/>
            </w:tcBorders>
            <w:vAlign w:val="center"/>
            <w:hideMark/>
          </w:tcPr>
          <w:p w14:paraId="6F965161"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tcBorders>
              <w:top w:val="nil"/>
              <w:left w:val="nil"/>
              <w:bottom w:val="single" w:sz="4" w:space="0" w:color="auto"/>
              <w:right w:val="nil"/>
            </w:tcBorders>
            <w:vAlign w:val="center"/>
            <w:hideMark/>
          </w:tcPr>
          <w:p w14:paraId="74BCEB93" w14:textId="77777777" w:rsidR="0025614E" w:rsidRDefault="0025614E">
            <w:pPr>
              <w:jc w:val="center"/>
              <w:rPr>
                <w:bCs/>
                <w:sz w:val="18"/>
                <w:szCs w:val="18"/>
              </w:rPr>
            </w:pPr>
            <w:r>
              <w:rPr>
                <w:rFonts w:eastAsia="Times New Roman" w:cs="Tahoma"/>
                <w:color w:val="333333"/>
                <w:sz w:val="18"/>
                <w:szCs w:val="18"/>
              </w:rPr>
              <w:t xml:space="preserve">  100.0</w:t>
            </w:r>
          </w:p>
        </w:tc>
        <w:tc>
          <w:tcPr>
            <w:tcW w:w="720" w:type="dxa"/>
            <w:tcBorders>
              <w:top w:val="nil"/>
              <w:left w:val="nil"/>
              <w:bottom w:val="single" w:sz="4" w:space="0" w:color="auto"/>
              <w:right w:val="nil"/>
            </w:tcBorders>
            <w:vAlign w:val="center"/>
            <w:hideMark/>
          </w:tcPr>
          <w:p w14:paraId="0EA651A1" w14:textId="77777777" w:rsidR="0025614E" w:rsidRDefault="0025614E">
            <w:pPr>
              <w:jc w:val="center"/>
              <w:rPr>
                <w:bCs/>
                <w:sz w:val="18"/>
                <w:szCs w:val="18"/>
              </w:rPr>
            </w:pPr>
            <w:r>
              <w:rPr>
                <w:rFonts w:eastAsia="Times New Roman" w:cs="Tahoma"/>
                <w:color w:val="333333"/>
                <w:sz w:val="18"/>
                <w:szCs w:val="18"/>
              </w:rPr>
              <w:t xml:space="preserve">  100.0</w:t>
            </w:r>
          </w:p>
        </w:tc>
        <w:tc>
          <w:tcPr>
            <w:tcW w:w="810" w:type="dxa"/>
            <w:tcBorders>
              <w:top w:val="nil"/>
              <w:left w:val="nil"/>
              <w:bottom w:val="single" w:sz="4" w:space="0" w:color="auto"/>
              <w:right w:val="nil"/>
            </w:tcBorders>
            <w:hideMark/>
          </w:tcPr>
          <w:p w14:paraId="1D963E45" w14:textId="77777777" w:rsidR="0025614E" w:rsidRDefault="0025614E">
            <w:pPr>
              <w:jc w:val="center"/>
              <w:rPr>
                <w:bCs/>
                <w:sz w:val="18"/>
                <w:szCs w:val="18"/>
              </w:rPr>
            </w:pPr>
            <w:r>
              <w:rPr>
                <w:rFonts w:eastAsia="Times New Roman" w:cs="Tahoma"/>
                <w:color w:val="333333"/>
                <w:sz w:val="18"/>
                <w:szCs w:val="18"/>
              </w:rPr>
              <w:t>..</w:t>
            </w:r>
          </w:p>
        </w:tc>
        <w:tc>
          <w:tcPr>
            <w:tcW w:w="882" w:type="dxa"/>
            <w:tcBorders>
              <w:top w:val="nil"/>
              <w:left w:val="nil"/>
              <w:bottom w:val="single" w:sz="4" w:space="0" w:color="auto"/>
              <w:right w:val="nil"/>
            </w:tcBorders>
            <w:hideMark/>
          </w:tcPr>
          <w:p w14:paraId="27DF9A0F" w14:textId="77777777" w:rsidR="0025614E" w:rsidRDefault="0025614E">
            <w:pPr>
              <w:jc w:val="center"/>
              <w:rPr>
                <w:bCs/>
                <w:sz w:val="18"/>
                <w:szCs w:val="18"/>
              </w:rPr>
            </w:pPr>
            <w:r>
              <w:rPr>
                <w:rFonts w:eastAsia="Times New Roman" w:cs="Tahoma"/>
                <w:color w:val="333333"/>
                <w:sz w:val="18"/>
                <w:szCs w:val="18"/>
              </w:rPr>
              <w:t>..</w:t>
            </w:r>
          </w:p>
        </w:tc>
      </w:tr>
    </w:tbl>
    <w:p w14:paraId="75B7311F" w14:textId="77777777" w:rsidR="0025614E" w:rsidRDefault="0025614E" w:rsidP="0025614E">
      <w:pPr>
        <w:rPr>
          <w:sz w:val="18"/>
          <w:szCs w:val="18"/>
        </w:rPr>
      </w:pPr>
      <w:r>
        <w:rPr>
          <w:sz w:val="18"/>
          <w:szCs w:val="18"/>
        </w:rPr>
        <w:t>a/ A rating of MS+ refers to a rating of moderately satisfactory, satisfactory, or highly satisfactory.</w:t>
      </w:r>
    </w:p>
    <w:p w14:paraId="0FE47012" w14:textId="77777777" w:rsidR="0025614E" w:rsidRDefault="0025614E" w:rsidP="0025614E">
      <w:pPr>
        <w:rPr>
          <w:rFonts w:ascii="Times New Roman" w:hAnsi="Times New Roman"/>
          <w:sz w:val="24"/>
          <w:szCs w:val="24"/>
        </w:rPr>
      </w:pPr>
    </w:p>
    <w:p w14:paraId="49AC151E" w14:textId="77777777" w:rsidR="0025614E" w:rsidRDefault="0025614E" w:rsidP="0025614E">
      <w:pPr>
        <w:pStyle w:val="ListParagraph"/>
        <w:numPr>
          <w:ilvl w:val="0"/>
          <w:numId w:val="18"/>
        </w:numPr>
        <w:spacing w:after="240"/>
        <w:contextualSpacing w:val="0"/>
        <w:jc w:val="both"/>
      </w:pPr>
      <w:r>
        <w:rPr>
          <w:b/>
          <w:i/>
          <w:szCs w:val="24"/>
        </w:rPr>
        <w:t>IFC investments played a pivotal role in supporting Togo’s efforts to improve the business-enabling environment.</w:t>
      </w:r>
      <w:r>
        <w:rPr>
          <w:i/>
          <w:szCs w:val="24"/>
        </w:rPr>
        <w:t xml:space="preserve"> </w:t>
      </w:r>
      <w:r>
        <w:rPr>
          <w:szCs w:val="24"/>
        </w:rPr>
        <w:t>IFC’s key investments in Togo during the two ISN periods included the Lomé Container Terminal (a loan of $104 million),</w:t>
      </w:r>
      <w:r>
        <w:rPr>
          <w:rStyle w:val="FootnoteReference"/>
        </w:rPr>
        <w:footnoteReference w:id="21"/>
      </w:r>
      <w:r>
        <w:rPr>
          <w:szCs w:val="24"/>
        </w:rPr>
        <w:t xml:space="preserve"> the Lomé Container Terminal II ($11 million for terminal expansion in 2015), and the Contour Global IPP (a $10 million loan for a 100MW power plant in Lomé). IFC also invested in the health sector (Clinique Biasa) and in banking services (Oragroupe and Ecobank Togo), bringing its total investment portfolio during this period to $125 million. These investments resulted in improved economic infrastructure and services, a stronger investment climate and business environment, and increased jobs. Through its risk sharing facility, IFC supported banks’ capacity to deliver trade financing by providing risk mitigation support. </w:t>
      </w:r>
    </w:p>
    <w:p w14:paraId="69B2EAAD" w14:textId="77777777" w:rsidR="0025614E" w:rsidRDefault="0025614E" w:rsidP="0025614E">
      <w:pPr>
        <w:pStyle w:val="ListParagraph"/>
        <w:numPr>
          <w:ilvl w:val="0"/>
          <w:numId w:val="18"/>
        </w:numPr>
        <w:spacing w:after="240"/>
        <w:contextualSpacing w:val="0"/>
        <w:jc w:val="both"/>
      </w:pPr>
      <w:r>
        <w:rPr>
          <w:b/>
          <w:i/>
        </w:rPr>
        <w:t xml:space="preserve">ISN implementation was underpinned by a strong program of advisory services and analytics, although dissemination and discussion of analytical work could have been more thorough. </w:t>
      </w:r>
      <w:r>
        <w:t xml:space="preserve">The design and implementation of the annual ERGG series rested on a solid foundation of analysis, including a Development Policy Needs Review (DPNR) in FY2008, a Public Expenditure Management and Financial Accountability Review (PEMFAR) in FY2010, a Public Expenditure Review (PER) and Country Procurement Assessment Review (CPAR) in FY2013, and a Country Economic Memorandum in 2009. Studies on the cotton and electricity sectors and a PER of the agricultural sector informed interventions undertaken through the ERGG as well as investment operations. Background notes on poverty, gender, health, environmental risks, the business environment, and telecommunications were also prepared, informing the WBG’s dialogue as well as its investment operations. Implementation of the ISN program benefited </w:t>
      </w:r>
      <w:r>
        <w:lastRenderedPageBreak/>
        <w:t xml:space="preserve">greatly from targeted technical assistance to the client in a variety of areas, including procurement, the use of country systems, poverty monitoring, EITI implementation, and community-driven development. </w:t>
      </w:r>
      <w:r>
        <w:rPr>
          <w:szCs w:val="24"/>
        </w:rPr>
        <w:t>IFC’s advisory activities in Togo included support for infrastructure, trade, the business environment, financial inclusion, and job creation. Although the close collaboration between IFC and the World Bank on advisory services to strengthen the business environment created positive synergies for the program, it also led to some confusion for the client given the two affiliates’ varying business models and approaches to advisory services.</w:t>
      </w:r>
    </w:p>
    <w:p w14:paraId="0FE1D354" w14:textId="77777777" w:rsidR="0025614E" w:rsidRDefault="0025614E" w:rsidP="0025614E">
      <w:pPr>
        <w:pStyle w:val="ListParagraph"/>
        <w:numPr>
          <w:ilvl w:val="0"/>
          <w:numId w:val="18"/>
        </w:numPr>
        <w:spacing w:after="240"/>
        <w:contextualSpacing w:val="0"/>
        <w:jc w:val="both"/>
        <w:rPr>
          <w:rFonts w:ascii="Times" w:hAnsi="Times" w:cs="Times"/>
          <w:szCs w:val="24"/>
        </w:rPr>
      </w:pPr>
      <w:r>
        <w:rPr>
          <w:b/>
          <w:i/>
        </w:rPr>
        <w:t>The WBG strengthened its collaboration with development partners in Togo during the two ISN periods.</w:t>
      </w:r>
      <w:r>
        <w:t xml:space="preserve"> Although the United Nations (UN) generally leads the coordination of development partners in Togo, IDA took the lead on private sector development support and on economic governance issues. In particular, the World Bank played a key role in coordinating budget support actors, including the European Union (EU) and African Development Bank (AfDB), and in supporting the preparation of the PRSPs in coordination with the IMF and United Nations Development Programme (UNDP). While other agencies play more significant roles in particular sectors—such as the United Nations Children’s Fund (UNICEF) in education and the World Health Organization (WHO) in health—the WBG participated actively in technical-level donor groups to support a coordinated approach. In the agriculture sector, the WBG catalyzed donor assistance from the International Fund for Agricultural Development (IFAD) in support of the government’s national agriculture strategy. On social protection, the WBG’s conditional cash transfer and school feeding programs leveraged the efforts of UNICEF and the World Food Programme (WFP), respectively. In some sectors, the WBG was the main development partner, notably in promoting the private sector agenda and the telecommunications sector, and in directly supporting mining sector governance (though AfDB and the EU also supported Togo’s adherence to the EITI initiative). The WBG also coordinated with key partners in energy, urban infrastructure, and public financial management. While IDA supported an active dialogue with civil society, little direct support was provided to non-state actors.  </w:t>
      </w:r>
    </w:p>
    <w:p w14:paraId="6575073E" w14:textId="77777777" w:rsidR="0025614E" w:rsidRDefault="0025614E" w:rsidP="0025614E">
      <w:pPr>
        <w:pStyle w:val="ListParagraph"/>
        <w:numPr>
          <w:ilvl w:val="0"/>
          <w:numId w:val="18"/>
        </w:numPr>
        <w:autoSpaceDE w:val="0"/>
        <w:autoSpaceDN w:val="0"/>
        <w:adjustRightInd w:val="0"/>
        <w:spacing w:after="240"/>
        <w:contextualSpacing w:val="0"/>
        <w:jc w:val="both"/>
        <w:rPr>
          <w:rFonts w:ascii="Times New Roman" w:hAnsi="Times New Roman" w:cs="Times New Roman"/>
          <w:szCs w:val="23"/>
        </w:rPr>
      </w:pPr>
      <w:r>
        <w:rPr>
          <w:b/>
          <w:i/>
          <w:szCs w:val="23"/>
        </w:rPr>
        <w:t xml:space="preserve">Under UN leadership, Togo’s development partners seek to coordinate their actions and jointly monitor progress on national development plans. </w:t>
      </w:r>
      <w:r>
        <w:rPr>
          <w:szCs w:val="23"/>
        </w:rPr>
        <w:t xml:space="preserve">The WBG participates in bi-monthly UN-coordinated donor meetings with a rotating host, along with bilateral partners (such as France, the United States, Germany, Egypt, Spain, and Japan), multilateral institutions (including UN agencies, EU, IMF, and AfDB), and regional institutions (such as the West African Development Bank (BOAD) and the Economic Community of West African States Development Bank (BIDC)). A joint statement is issued annually by the technical and financial partners (PTFs in French) to the authorities to acknowledge progress in implementing the national development program and to highlight areas needing attention. </w:t>
      </w:r>
      <w:r>
        <w:rPr>
          <w:szCs w:val="24"/>
        </w:rPr>
        <w:t>At the technical level, donors coordinate according to sectors, both with and without the participation of line ministries. The PTFs providing budget support also coordinate at the technical level to discuss economic trends and budget support issues.</w:t>
      </w:r>
    </w:p>
    <w:p w14:paraId="55A3CB89" w14:textId="77777777" w:rsidR="0025614E" w:rsidRDefault="0025614E" w:rsidP="008B4B5A">
      <w:pPr>
        <w:pStyle w:val="ListParagraph"/>
        <w:numPr>
          <w:ilvl w:val="0"/>
          <w:numId w:val="36"/>
        </w:numPr>
        <w:jc w:val="center"/>
        <w:rPr>
          <w:rFonts w:ascii="Times New Roman Bold" w:eastAsia="Calibri" w:hAnsi="Times New Roman Bold" w:cs="Times New Roman"/>
          <w:b/>
          <w:caps/>
          <w:color w:val="000000"/>
          <w:sz w:val="24"/>
          <w:szCs w:val="24"/>
        </w:rPr>
      </w:pPr>
      <w:bookmarkStart w:id="47" w:name="_Toc477430684"/>
      <w:bookmarkStart w:id="48" w:name="_Toc266800802"/>
      <w:r w:rsidRPr="008B4B5A">
        <w:rPr>
          <w:rFonts w:ascii="Times New Roman Bold" w:eastAsia="Calibri" w:hAnsi="Times New Roman Bold" w:cs="Times New Roman"/>
          <w:b/>
          <w:caps/>
          <w:color w:val="000000"/>
          <w:sz w:val="24"/>
          <w:szCs w:val="24"/>
        </w:rPr>
        <w:t>Lessons Learned and Suggestions for the CPF</w:t>
      </w:r>
      <w:bookmarkEnd w:id="47"/>
    </w:p>
    <w:p w14:paraId="53DFE392" w14:textId="77777777" w:rsidR="008B4B5A" w:rsidRPr="008B4B5A" w:rsidRDefault="008B4B5A" w:rsidP="008B4B5A">
      <w:pPr>
        <w:pStyle w:val="ListParagraph"/>
        <w:rPr>
          <w:rFonts w:ascii="Times New Roman Bold" w:eastAsia="Calibri" w:hAnsi="Times New Roman Bold" w:cs="Times New Roman"/>
          <w:b/>
          <w:caps/>
          <w:color w:val="000000"/>
          <w:sz w:val="24"/>
          <w:szCs w:val="24"/>
        </w:rPr>
      </w:pPr>
    </w:p>
    <w:bookmarkEnd w:id="48"/>
    <w:p w14:paraId="07C423D6" w14:textId="77777777" w:rsidR="0025614E" w:rsidRDefault="0025614E" w:rsidP="0025614E">
      <w:pPr>
        <w:pStyle w:val="ListParagraph"/>
        <w:numPr>
          <w:ilvl w:val="0"/>
          <w:numId w:val="18"/>
        </w:numPr>
        <w:spacing w:after="240"/>
        <w:contextualSpacing w:val="0"/>
        <w:jc w:val="both"/>
      </w:pPr>
      <w:r>
        <w:rPr>
          <w:b/>
          <w:i/>
        </w:rPr>
        <w:t>Implementation of the ISNs for FY2008–10 and FY2012–13 hold important lessons for Togo’s next Country Partnership Framework (CPF) and for the WBG’s work in low-income fragile states more generally</w:t>
      </w:r>
      <w:r>
        <w:t xml:space="preserve">. Following is a brief review of the key lessons learned during the two ISN periods. </w:t>
      </w:r>
    </w:p>
    <w:p w14:paraId="0A9F6CC9" w14:textId="77777777" w:rsidR="0025614E" w:rsidRDefault="0025614E" w:rsidP="0025614E">
      <w:pPr>
        <w:pStyle w:val="ListParagraph"/>
        <w:numPr>
          <w:ilvl w:val="0"/>
          <w:numId w:val="18"/>
        </w:numPr>
        <w:spacing w:after="240"/>
        <w:contextualSpacing w:val="0"/>
        <w:jc w:val="both"/>
      </w:pPr>
      <w:r>
        <w:rPr>
          <w:b/>
          <w:i/>
        </w:rPr>
        <w:t xml:space="preserve">Long-term approaches are critical to rebuilding confidence and making sustainable change in the context of political and economic volatility. </w:t>
      </w:r>
      <w:r>
        <w:t xml:space="preserve">As the Togo country program emerges from its period of reengagement, it will be important to maintain a long-term view of reform. The ICR for the fourth ERGG </w:t>
      </w:r>
      <w:r>
        <w:lastRenderedPageBreak/>
        <w:t xml:space="preserve">operation (FY2011) noted, for example, that support through annual standalone DPOs made it difficult to support longer-term reform approaches, and would be better served by a programmatic series of DPOs that are aligned with a country-owned road map for reform. Given the unusually long time frame being assessed in this CLR, it is clear from the self-evaluation of progress (Appendix 1) that several ISN outcomes may not have been achieved within the original ISN period but have since been achieved with continued technical assistance and reform support.  </w:t>
      </w:r>
    </w:p>
    <w:p w14:paraId="211D1CA9" w14:textId="77777777" w:rsidR="0025614E" w:rsidRDefault="0025614E" w:rsidP="0025614E">
      <w:pPr>
        <w:pStyle w:val="ListParagraph"/>
        <w:numPr>
          <w:ilvl w:val="0"/>
          <w:numId w:val="18"/>
        </w:numPr>
        <w:spacing w:after="240"/>
        <w:contextualSpacing w:val="0"/>
        <w:jc w:val="both"/>
      </w:pPr>
      <w:r>
        <w:rPr>
          <w:b/>
          <w:bCs/>
          <w:i/>
        </w:rPr>
        <w:t>The importance of political economy analysis cannot be overlooked, particularly in a fragile state environment in which political commitment and reform momentum remain fluid</w:t>
      </w:r>
      <w:r>
        <w:rPr>
          <w:b/>
          <w:bCs/>
        </w:rPr>
        <w:t xml:space="preserve">. </w:t>
      </w:r>
      <w:r>
        <w:rPr>
          <w:bCs/>
        </w:rPr>
        <w:t xml:space="preserve">Experience in implementing both </w:t>
      </w:r>
      <w:r>
        <w:t>DPOs and investment lending highlights the importance of political commitment from the top down in ensuring sustainable reform. Under the FSGP and the PADSP, the lack of high-level commitment on the part of a reform champion left reforms unfinished. Implementation of the ongoing West Africa Regional Communications Infrastructure Project stalled in part as a result of a lack of progress in Togo on improving regulations and opening the sector to competition. Such slowdowns in program implementation demonstrate the importance of working closely with reform champions in areas where there is traction. Embedding thoughtful, practical political economy analysis upstream in country program development is an important tool in developing a program that can be implemented in a timely and sustainable way.</w:t>
      </w:r>
    </w:p>
    <w:p w14:paraId="74E1375D" w14:textId="77777777" w:rsidR="0025614E" w:rsidRDefault="0025614E" w:rsidP="0025614E">
      <w:pPr>
        <w:pStyle w:val="ListParagraph"/>
        <w:numPr>
          <w:ilvl w:val="0"/>
          <w:numId w:val="18"/>
        </w:numPr>
        <w:spacing w:after="240"/>
        <w:contextualSpacing w:val="0"/>
        <w:jc w:val="both"/>
      </w:pPr>
      <w:r>
        <w:rPr>
          <w:b/>
          <w:bCs/>
          <w:i/>
        </w:rPr>
        <w:t>Selectivity and sequencing</w:t>
      </w:r>
      <w:r>
        <w:rPr>
          <w:b/>
          <w:i/>
        </w:rPr>
        <w:t xml:space="preserve"> are critical to moving forward on a complex reform agenda in a country like Togo.</w:t>
      </w:r>
      <w:r>
        <w:t xml:space="preserve"> Given the generally limited public sector capacity in this small and fragile state, with a relatively small IDA envelope, a selective and sequenced approach offers the best chance of achieving results without straining client resources. Achieving this goal requires making difficult decisions about which interventions must be slimmed down or delayed in an effort to avoid an overly ambitious and, ultimately, underperforming program. Even within individual programs, achieving this goal requires a careful balancing act between keeping the project design simple and remaining responsive to pressing needs. The PDC, for example, became increasingly complex over time as activities were added to respond to emerging priorities. Additional financing was preferred to preparing new projects in order to move quickly, build on the project’s satisfactory performance, and avoid the proliferation of projects in the Togo portfolio. While the added complexity did not negatively affect performance, it did introduce added risks. Going forward, it will be important for the WBG to ensure that institutional arrangements, implementation staff, and project manuals are in place before project effectiveness, making sure to lay the groundwork for implementation to avoid delays once the project gets off the ground. Where selectivity is difficult in the face of urgent needs, the WBG must ensure that added project complexity is matched with intensified implementation support and the resources needed to back that up.</w:t>
      </w:r>
    </w:p>
    <w:p w14:paraId="7F15DEEC" w14:textId="77777777" w:rsidR="0025614E" w:rsidRDefault="0025614E" w:rsidP="0025614E">
      <w:pPr>
        <w:pStyle w:val="ListParagraph"/>
        <w:numPr>
          <w:ilvl w:val="0"/>
          <w:numId w:val="18"/>
        </w:numPr>
        <w:spacing w:after="240"/>
        <w:contextualSpacing w:val="0"/>
        <w:jc w:val="both"/>
      </w:pPr>
      <w:r>
        <w:rPr>
          <w:b/>
          <w:bCs/>
          <w:i/>
        </w:rPr>
        <w:t>Intensive supervision and on-the-ground expertise are the key to achieving sustainable results.</w:t>
      </w:r>
      <w:r>
        <w:t xml:space="preserve"> WBG interventions in Togo have been most successful, with the best chance for sustainability, in areas where specialists were regularly present in country to provide technical assistance, interact frequently with counterparts, and resolve problems as they arose. Continued efforts to strengthen this impact will need to be backed up by internal budget and staff time support. </w:t>
      </w:r>
    </w:p>
    <w:p w14:paraId="0515F28F" w14:textId="77777777" w:rsidR="0025614E" w:rsidRDefault="0025614E" w:rsidP="0025614E">
      <w:pPr>
        <w:pStyle w:val="ListParagraph"/>
        <w:numPr>
          <w:ilvl w:val="0"/>
          <w:numId w:val="18"/>
        </w:numPr>
        <w:spacing w:after="240"/>
        <w:contextualSpacing w:val="0"/>
        <w:jc w:val="both"/>
      </w:pPr>
      <w:r>
        <w:rPr>
          <w:b/>
          <w:bCs/>
          <w:i/>
        </w:rPr>
        <w:t xml:space="preserve">Effective monitoring of results depends on appropriate specification of expected outcomes and indicators. </w:t>
      </w:r>
      <w:r>
        <w:rPr>
          <w:bCs/>
        </w:rPr>
        <w:t xml:space="preserve">Particularly in the case of a multi-sector DPO, program objectives and results indicators need to be realistic, feasible, and subject to clear and straightforward monitoring. Indicators need to be easily attributable to government actions, rather than depending on exogenous factors, and are most effective if already embedded in regular monitoring processes, either in country or under the auspices of an ongoing project. </w:t>
      </w:r>
    </w:p>
    <w:p w14:paraId="3606FDF0" w14:textId="77777777" w:rsidR="0025614E" w:rsidRDefault="0025614E" w:rsidP="0025614E">
      <w:pPr>
        <w:pStyle w:val="ListParagraph"/>
        <w:numPr>
          <w:ilvl w:val="0"/>
          <w:numId w:val="18"/>
        </w:numPr>
        <w:spacing w:after="240"/>
        <w:contextualSpacing w:val="0"/>
        <w:jc w:val="both"/>
      </w:pPr>
      <w:r>
        <w:rPr>
          <w:b/>
          <w:bCs/>
          <w:i/>
        </w:rPr>
        <w:lastRenderedPageBreak/>
        <w:t>Community-driven development approaches can achieve good development results where public services are weak and poverty levels high.</w:t>
      </w:r>
      <w:r>
        <w:rPr>
          <w:b/>
          <w:bCs/>
        </w:rPr>
        <w:t xml:space="preserve"> </w:t>
      </w:r>
      <w:r>
        <w:rPr>
          <w:bCs/>
        </w:rPr>
        <w:t>Projects</w:t>
      </w:r>
      <w:r>
        <w:rPr>
          <w:b/>
          <w:bCs/>
        </w:rPr>
        <w:t xml:space="preserve"> </w:t>
      </w:r>
      <w:r>
        <w:t>using CDD approaches have had high success rates in Togo, with satisfactory development performance ratings for the PDC, the PDC+, and the Cash Transfer Program for Vulnerable Children in Northern Togo. CDD techniques have also benefited sector-specific projects, as in the case of PERI I, whose implementation performance improved after school construction and supply purchases were shifted to parents and communities. The ICR for the PDC, rated satisfactory, emphasized that the WBG could have a rapid impact on poverty through CDD, backed up by institutional structures that empower local communities by decentralizing decision making and that build capacity through sustained and targeted support. Moreover, as pointed out in the ISNs, interventions that support communities directly can be highly valuable in achieving quick and lasting results on the ground in situations that are characterized by political and social instability. Building on these positive results, it will be important for the government and the WBG to focus on how to institutionalize, strengthen, and finance the functions supported through CDD programs as a means to sustain momentum and extend support to more poor communities.</w:t>
      </w:r>
    </w:p>
    <w:p w14:paraId="4548BD8C" w14:textId="77777777" w:rsidR="0025614E" w:rsidRDefault="0025614E" w:rsidP="0025614E">
      <w:pPr>
        <w:pStyle w:val="ListParagraph"/>
        <w:numPr>
          <w:ilvl w:val="0"/>
          <w:numId w:val="18"/>
        </w:numPr>
        <w:spacing w:after="240"/>
        <w:contextualSpacing w:val="0"/>
        <w:jc w:val="both"/>
      </w:pPr>
      <w:r>
        <w:tab/>
      </w:r>
      <w:r>
        <w:rPr>
          <w:b/>
          <w:bCs/>
          <w:i/>
        </w:rPr>
        <w:t>Close donor coordination and support for national programs are important to avoid compromising the efficiency of aid or overburdening public sector capacity in a small, fragile country.</w:t>
      </w:r>
      <w:r>
        <w:t xml:space="preserve"> Close collaboration between the WBG and other donors greatly enhanced the likelihood of making a sustainable impact and channeling country capacity as efficiently as possible. In the agriculture sector, the WBG’s support for the national agriculture strategy was closely coordinated with IFAD and helped pave the way for AfDB to begin support for the sector. More efforts are needed to deliver on the Paris Declaration, and the WBG should create more opportunities to support country systems and performance- or results-based approaches to reduce transaction costs.</w:t>
      </w:r>
    </w:p>
    <w:p w14:paraId="129C8A24" w14:textId="77777777" w:rsidR="0025614E" w:rsidRDefault="0025614E" w:rsidP="0025614E">
      <w:pPr>
        <w:pStyle w:val="ListParagraph"/>
        <w:numPr>
          <w:ilvl w:val="0"/>
          <w:numId w:val="18"/>
        </w:numPr>
        <w:spacing w:after="240"/>
        <w:contextualSpacing w:val="0"/>
        <w:jc w:val="both"/>
      </w:pPr>
      <w:r>
        <w:rPr>
          <w:b/>
          <w:i/>
        </w:rPr>
        <w:t>Togo remains a difficult implementation environment for reforms and requires extensive consultations to attain expected results.</w:t>
      </w:r>
      <w:r>
        <w:t xml:space="preserve"> The WBG has worked closely with the government to align program design with country goals, ensure that critical policy areas are addressed, and provide technical assistance to build capacity. There is a need to engage in a broad dialog between all stakeholders (including the government, public servants, civil society, and other donors) to reach agreements on the reforms that should be undertaken and to translate these reforms into new laws and regulatory frameworks.</w:t>
      </w:r>
    </w:p>
    <w:p w14:paraId="79ED146D" w14:textId="77777777" w:rsidR="0025614E" w:rsidRDefault="0025614E" w:rsidP="0025614E">
      <w:pPr>
        <w:pStyle w:val="CLRSectionHeading"/>
        <w:numPr>
          <w:ilvl w:val="0"/>
          <w:numId w:val="0"/>
        </w:numPr>
        <w:sectPr w:rsidR="0025614E" w:rsidSect="00625289">
          <w:pgSz w:w="12240" w:h="15840"/>
          <w:pgMar w:top="1440" w:right="1440" w:bottom="1440" w:left="1440" w:header="720" w:footer="720" w:gutter="0"/>
          <w:cols w:space="720"/>
          <w:docGrid w:linePitch="360"/>
        </w:sectPr>
      </w:pPr>
      <w:bookmarkStart w:id="49" w:name="_Toc270680067"/>
      <w:bookmarkStart w:id="50" w:name="_Toc477430685"/>
      <w:bookmarkEnd w:id="49"/>
    </w:p>
    <w:p w14:paraId="2BFB5E4F" w14:textId="64D926F9" w:rsidR="008B4B5A" w:rsidRPr="008B4B5A" w:rsidRDefault="008B4B5A" w:rsidP="0025614E">
      <w:pPr>
        <w:pStyle w:val="Normalsinglespace"/>
        <w:spacing w:after="120"/>
        <w:jc w:val="center"/>
        <w:rPr>
          <w:rFonts w:ascii="Times New Roman" w:hAnsi="Times New Roman"/>
          <w:b/>
          <w:sz w:val="24"/>
          <w:szCs w:val="24"/>
        </w:rPr>
      </w:pPr>
      <w:bookmarkStart w:id="51" w:name="_Toc477430600"/>
      <w:bookmarkEnd w:id="50"/>
      <w:r w:rsidRPr="008B4B5A">
        <w:rPr>
          <w:rFonts w:ascii="Times New Roman" w:hAnsi="Times New Roman"/>
          <w:b/>
          <w:sz w:val="24"/>
          <w:szCs w:val="24"/>
        </w:rPr>
        <w:lastRenderedPageBreak/>
        <w:t>APPENDIX 1: SELF-EVALUATION SUMMARY MATRIX</w:t>
      </w:r>
    </w:p>
    <w:p w14:paraId="177489C2" w14:textId="77777777" w:rsidR="0025614E" w:rsidRDefault="0025614E" w:rsidP="0025614E">
      <w:pPr>
        <w:pStyle w:val="Normalsinglespace"/>
        <w:spacing w:after="120"/>
        <w:jc w:val="center"/>
        <w:rPr>
          <w:rFonts w:ascii="Garamond" w:hAnsi="Garamond"/>
          <w:b/>
          <w:sz w:val="24"/>
          <w:szCs w:val="24"/>
        </w:rPr>
      </w:pPr>
      <w:r>
        <w:rPr>
          <w:rFonts w:ascii="Garamond" w:hAnsi="Garamond"/>
          <w:b/>
          <w:sz w:val="24"/>
          <w:szCs w:val="24"/>
        </w:rPr>
        <w:t>Summary of Progress Self-Evaluation for Togo ISNs (FY08-10 and FY12-13)</w:t>
      </w:r>
      <w:bookmarkEnd w:id="51"/>
    </w:p>
    <w:tbl>
      <w:tblPr>
        <w:tblStyle w:val="TableGrid"/>
        <w:tblW w:w="13158" w:type="dxa"/>
        <w:tblLook w:val="00A0" w:firstRow="1" w:lastRow="0" w:firstColumn="1" w:lastColumn="0" w:noHBand="0" w:noVBand="0"/>
      </w:tblPr>
      <w:tblGrid>
        <w:gridCol w:w="3618"/>
        <w:gridCol w:w="4140"/>
        <w:gridCol w:w="2700"/>
        <w:gridCol w:w="2700"/>
      </w:tblGrid>
      <w:tr w:rsidR="0025614E" w14:paraId="58FCDC70" w14:textId="77777777" w:rsidTr="0025614E">
        <w:trPr>
          <w:tblHeader/>
        </w:trPr>
        <w:tc>
          <w:tcPr>
            <w:tcW w:w="3618" w:type="dxa"/>
            <w:tcBorders>
              <w:top w:val="single" w:sz="4" w:space="0" w:color="000000"/>
              <w:left w:val="single" w:sz="4" w:space="0" w:color="000000"/>
              <w:bottom w:val="single" w:sz="4" w:space="0" w:color="2F2B20" w:themeColor="text1"/>
              <w:right w:val="single" w:sz="4" w:space="0" w:color="000000"/>
            </w:tcBorders>
            <w:vAlign w:val="center"/>
            <w:hideMark/>
          </w:tcPr>
          <w:p w14:paraId="6CD59A16" w14:textId="77777777" w:rsidR="0025614E" w:rsidRDefault="0025614E">
            <w:pPr>
              <w:pStyle w:val="BodyText0"/>
              <w:jc w:val="center"/>
              <w:rPr>
                <w:rFonts w:ascii="Garamond" w:hAnsi="Garamond"/>
                <w:b/>
                <w:color w:val="auto"/>
              </w:rPr>
            </w:pPr>
            <w:r>
              <w:rPr>
                <w:rFonts w:ascii="Garamond" w:hAnsi="Garamond"/>
                <w:b/>
                <w:color w:val="auto"/>
              </w:rPr>
              <w:t>ISN Outcomes and Indicators</w:t>
            </w:r>
          </w:p>
        </w:tc>
        <w:tc>
          <w:tcPr>
            <w:tcW w:w="4140" w:type="dxa"/>
            <w:tcBorders>
              <w:top w:val="single" w:sz="4" w:space="0" w:color="000000"/>
              <w:left w:val="single" w:sz="4" w:space="0" w:color="000000"/>
              <w:bottom w:val="single" w:sz="4" w:space="0" w:color="2F2B20" w:themeColor="text1"/>
              <w:right w:val="single" w:sz="4" w:space="0" w:color="000000"/>
            </w:tcBorders>
            <w:vAlign w:val="center"/>
            <w:hideMark/>
          </w:tcPr>
          <w:p w14:paraId="59852A30" w14:textId="77777777" w:rsidR="0025614E" w:rsidRDefault="0025614E">
            <w:pPr>
              <w:pStyle w:val="BodyText0"/>
              <w:jc w:val="center"/>
              <w:rPr>
                <w:rFonts w:ascii="Garamond" w:hAnsi="Garamond"/>
                <w:b/>
                <w:color w:val="auto"/>
              </w:rPr>
            </w:pPr>
            <w:r>
              <w:rPr>
                <w:rFonts w:ascii="Garamond" w:hAnsi="Garamond"/>
                <w:b/>
                <w:color w:val="auto"/>
              </w:rPr>
              <w:t>Status and Evaluation Summary</w:t>
            </w:r>
          </w:p>
        </w:tc>
        <w:tc>
          <w:tcPr>
            <w:tcW w:w="2700" w:type="dxa"/>
            <w:tcBorders>
              <w:top w:val="single" w:sz="4" w:space="0" w:color="000000"/>
              <w:left w:val="single" w:sz="4" w:space="0" w:color="000000"/>
              <w:bottom w:val="single" w:sz="4" w:space="0" w:color="2F2B20" w:themeColor="text1"/>
              <w:right w:val="single" w:sz="4" w:space="0" w:color="000000"/>
            </w:tcBorders>
            <w:vAlign w:val="center"/>
            <w:hideMark/>
          </w:tcPr>
          <w:p w14:paraId="64B0585D" w14:textId="77777777" w:rsidR="0025614E" w:rsidRDefault="0025614E">
            <w:pPr>
              <w:jc w:val="center"/>
              <w:rPr>
                <w:rFonts w:ascii="Garamond" w:hAnsi="Garamond"/>
                <w:b/>
              </w:rPr>
            </w:pPr>
            <w:r>
              <w:rPr>
                <w:rFonts w:ascii="Garamond" w:hAnsi="Garamond"/>
                <w:b/>
              </w:rPr>
              <w:t>Milestones Status</w:t>
            </w:r>
          </w:p>
        </w:tc>
        <w:tc>
          <w:tcPr>
            <w:tcW w:w="2700" w:type="dxa"/>
            <w:tcBorders>
              <w:top w:val="single" w:sz="4" w:space="0" w:color="000000"/>
              <w:left w:val="single" w:sz="4" w:space="0" w:color="000000"/>
              <w:bottom w:val="single" w:sz="4" w:space="0" w:color="2F2B20" w:themeColor="text1"/>
              <w:right w:val="single" w:sz="4" w:space="0" w:color="000000"/>
            </w:tcBorders>
            <w:vAlign w:val="center"/>
            <w:hideMark/>
          </w:tcPr>
          <w:p w14:paraId="5C3ADB53" w14:textId="77777777" w:rsidR="0025614E" w:rsidRDefault="0025614E">
            <w:pPr>
              <w:jc w:val="center"/>
              <w:rPr>
                <w:rFonts w:ascii="Garamond" w:hAnsi="Garamond"/>
                <w:b/>
              </w:rPr>
            </w:pPr>
            <w:r>
              <w:rPr>
                <w:rFonts w:ascii="Garamond" w:hAnsi="Garamond"/>
                <w:b/>
              </w:rPr>
              <w:t xml:space="preserve">Lending and Nonlending Activities that Contributed to Outcomes </w:t>
            </w:r>
          </w:p>
        </w:tc>
      </w:tr>
      <w:tr w:rsidR="0025614E" w14:paraId="75B451F6" w14:textId="77777777" w:rsidTr="0025614E">
        <w:trPr>
          <w:trHeight w:val="504"/>
        </w:trPr>
        <w:tc>
          <w:tcPr>
            <w:tcW w:w="13158" w:type="dxa"/>
            <w:gridSpan w:val="4"/>
            <w:tcBorders>
              <w:top w:val="single" w:sz="4" w:space="0" w:color="000000"/>
              <w:left w:val="single" w:sz="4" w:space="0" w:color="000000"/>
              <w:bottom w:val="single" w:sz="4" w:space="0" w:color="2F2B20" w:themeColor="text1"/>
              <w:right w:val="single" w:sz="4" w:space="0" w:color="000000"/>
            </w:tcBorders>
            <w:shd w:val="clear" w:color="auto" w:fill="99CCFF"/>
            <w:hideMark/>
          </w:tcPr>
          <w:p w14:paraId="77A193FE" w14:textId="77777777" w:rsidR="0025614E" w:rsidRDefault="0025614E">
            <w:pPr>
              <w:jc w:val="center"/>
              <w:rPr>
                <w:rFonts w:ascii="Garamond" w:hAnsi="Garamond"/>
                <w:b/>
                <w:szCs w:val="24"/>
              </w:rPr>
            </w:pPr>
            <w:r>
              <w:rPr>
                <w:rFonts w:ascii="Garamond" w:hAnsi="Garamond"/>
                <w:b/>
              </w:rPr>
              <w:t>ISN FY08-10 PILLAR I: IMPROVE GOVERNANCE AND TRANSPARENCY</w:t>
            </w:r>
          </w:p>
          <w:p w14:paraId="0CB77947" w14:textId="77777777" w:rsidR="0025614E" w:rsidRDefault="0025614E">
            <w:pPr>
              <w:jc w:val="center"/>
              <w:rPr>
                <w:rFonts w:ascii="Garamond" w:hAnsi="Garamond"/>
                <w:b/>
              </w:rPr>
            </w:pPr>
            <w:r>
              <w:rPr>
                <w:rFonts w:ascii="Garamond" w:hAnsi="Garamond"/>
                <w:b/>
              </w:rPr>
              <w:t>IPRSP Area 1: Achieving Improvements in Political and Economic Governance</w:t>
            </w:r>
          </w:p>
        </w:tc>
      </w:tr>
      <w:tr w:rsidR="0025614E" w14:paraId="11D5301A" w14:textId="77777777" w:rsidTr="0025614E">
        <w:trPr>
          <w:trHeight w:val="504"/>
        </w:trPr>
        <w:tc>
          <w:tcPr>
            <w:tcW w:w="13158" w:type="dxa"/>
            <w:gridSpan w:val="4"/>
            <w:tcBorders>
              <w:top w:val="single" w:sz="4" w:space="0" w:color="000000"/>
              <w:left w:val="single" w:sz="4" w:space="0" w:color="000000"/>
              <w:bottom w:val="single" w:sz="4" w:space="0" w:color="2F2B20" w:themeColor="text1"/>
              <w:right w:val="single" w:sz="4" w:space="0" w:color="000000"/>
            </w:tcBorders>
            <w:shd w:val="clear" w:color="auto" w:fill="99CCFF"/>
            <w:hideMark/>
          </w:tcPr>
          <w:p w14:paraId="21B93AE9" w14:textId="77777777" w:rsidR="0025614E" w:rsidRDefault="0025614E">
            <w:pPr>
              <w:jc w:val="center"/>
              <w:rPr>
                <w:rFonts w:ascii="Garamond" w:hAnsi="Garamond"/>
                <w:b/>
              </w:rPr>
            </w:pPr>
            <w:r>
              <w:rPr>
                <w:rFonts w:ascii="Garamond" w:hAnsi="Garamond"/>
                <w:b/>
              </w:rPr>
              <w:t>ISN FY12-13 PILLAR II: IMPROVING ECONOMIC GOVERNANCE AND STATE CAPACITY</w:t>
            </w:r>
          </w:p>
          <w:p w14:paraId="5A15CFE3" w14:textId="77777777" w:rsidR="0025614E" w:rsidRDefault="0025614E">
            <w:pPr>
              <w:jc w:val="center"/>
              <w:rPr>
                <w:rFonts w:ascii="Garamond" w:hAnsi="Garamond"/>
                <w:b/>
              </w:rPr>
            </w:pPr>
            <w:r>
              <w:rPr>
                <w:rFonts w:ascii="Garamond" w:hAnsi="Garamond"/>
                <w:b/>
              </w:rPr>
              <w:t>PRSP First Pillar: Improvement of Governance</w:t>
            </w:r>
          </w:p>
        </w:tc>
      </w:tr>
      <w:tr w:rsidR="0025614E" w14:paraId="449CF325"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3AA319DB" w14:textId="77777777" w:rsidR="0025614E" w:rsidRDefault="0025614E">
            <w:pPr>
              <w:pStyle w:val="BodyText0"/>
              <w:jc w:val="left"/>
              <w:rPr>
                <w:rFonts w:ascii="Garamond" w:hAnsi="Garamond"/>
                <w:b/>
                <w:color w:val="auto"/>
              </w:rPr>
            </w:pPr>
            <w:r>
              <w:rPr>
                <w:rFonts w:ascii="Garamond" w:hAnsi="Garamond"/>
                <w:b/>
                <w:color w:val="auto"/>
              </w:rPr>
              <w:t>ISN FY08-10 Outcome I.1: Improved budget execution controls</w:t>
            </w:r>
          </w:p>
          <w:p w14:paraId="1E23BA2E" w14:textId="77777777" w:rsidR="0025614E" w:rsidRDefault="0025614E" w:rsidP="0025614E">
            <w:pPr>
              <w:numPr>
                <w:ilvl w:val="0"/>
                <w:numId w:val="30"/>
              </w:numPr>
              <w:tabs>
                <w:tab w:val="num" w:pos="180"/>
              </w:tabs>
              <w:ind w:left="0" w:firstLine="0"/>
              <w:rPr>
                <w:rFonts w:ascii="Garamond" w:hAnsi="Garamond"/>
              </w:rPr>
            </w:pPr>
            <w:r>
              <w:rPr>
                <w:rFonts w:ascii="Garamond" w:hAnsi="Garamond"/>
              </w:rPr>
              <w:t>Deviation of actual expenditures from budgeted expenditure should be less than 5 percent in each semester and the whole year</w:t>
            </w:r>
          </w:p>
          <w:p w14:paraId="5BAA4576" w14:textId="77777777" w:rsidR="0025614E" w:rsidRDefault="0025614E">
            <w:pPr>
              <w:rPr>
                <w:rFonts w:ascii="Garamond" w:hAnsi="Garamond"/>
              </w:rPr>
            </w:pPr>
            <w:r>
              <w:rPr>
                <w:rFonts w:ascii="Garamond" w:hAnsi="Garamond"/>
              </w:rPr>
              <w:t>Baseline: 6.9% (end-2007)</w:t>
            </w:r>
          </w:p>
        </w:tc>
        <w:tc>
          <w:tcPr>
            <w:tcW w:w="4140" w:type="dxa"/>
            <w:tcBorders>
              <w:top w:val="single" w:sz="4" w:space="0" w:color="000000"/>
              <w:left w:val="single" w:sz="4" w:space="0" w:color="000000"/>
              <w:bottom w:val="single" w:sz="4" w:space="0" w:color="000000"/>
              <w:right w:val="single" w:sz="4" w:space="0" w:color="000000"/>
            </w:tcBorders>
          </w:tcPr>
          <w:p w14:paraId="2E379609" w14:textId="77777777" w:rsidR="0025614E" w:rsidRDefault="0025614E">
            <w:pPr>
              <w:rPr>
                <w:rFonts w:ascii="Garamond" w:hAnsi="Garamond"/>
              </w:rPr>
            </w:pPr>
            <w:r>
              <w:rPr>
                <w:rFonts w:ascii="Garamond" w:hAnsi="Garamond"/>
                <w:b/>
              </w:rPr>
              <w:t>Not Achieved</w:t>
            </w:r>
          </w:p>
          <w:p w14:paraId="2583ACC4" w14:textId="77777777" w:rsidR="0025614E" w:rsidRDefault="0025614E">
            <w:pPr>
              <w:rPr>
                <w:rFonts w:ascii="Garamond" w:hAnsi="Garamond"/>
              </w:rPr>
            </w:pPr>
          </w:p>
          <w:p w14:paraId="47879858" w14:textId="77777777" w:rsidR="0025614E" w:rsidRDefault="0025614E" w:rsidP="0025614E">
            <w:pPr>
              <w:numPr>
                <w:ilvl w:val="0"/>
                <w:numId w:val="32"/>
              </w:numPr>
              <w:tabs>
                <w:tab w:val="num" w:pos="144"/>
              </w:tabs>
              <w:ind w:left="0" w:firstLine="0"/>
              <w:rPr>
                <w:rFonts w:ascii="Garamond" w:hAnsi="Garamond"/>
              </w:rPr>
            </w:pPr>
            <w:r>
              <w:rPr>
                <w:rFonts w:ascii="Garamond" w:hAnsi="Garamond"/>
              </w:rPr>
              <w:t>Deviations of 5.94% (2008); 7.5% (2010); 7.7% (2012); 15.4% (2013); 10.2% (2014)</w:t>
            </w:r>
            <w:r>
              <w:rPr>
                <w:rFonts w:ascii="Garamond" w:hAnsi="Garamond"/>
                <w:color w:val="0000FF"/>
              </w:rPr>
              <w:t xml:space="preserve"> </w:t>
            </w:r>
          </w:p>
        </w:tc>
        <w:tc>
          <w:tcPr>
            <w:tcW w:w="2700" w:type="dxa"/>
            <w:tcBorders>
              <w:top w:val="single" w:sz="4" w:space="0" w:color="000000"/>
              <w:left w:val="single" w:sz="4" w:space="0" w:color="000000"/>
              <w:bottom w:val="single" w:sz="4" w:space="0" w:color="000000"/>
              <w:right w:val="single" w:sz="4" w:space="0" w:color="000000"/>
            </w:tcBorders>
            <w:hideMark/>
          </w:tcPr>
          <w:p w14:paraId="37EC4A33"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t xml:space="preserve">Integrated budget execution system in place </w:t>
            </w:r>
            <w:r>
              <w:rPr>
                <w:rFonts w:ascii="Garamond" w:hAnsi="Garamond"/>
                <w:b/>
              </w:rPr>
              <w:t>(Système Intégré de Gestion des Finances Publiques (SIGFiP) in place)</w:t>
            </w:r>
          </w:p>
          <w:p w14:paraId="7EE76562" w14:textId="77777777" w:rsidR="0025614E" w:rsidRDefault="0025614E" w:rsidP="0025614E">
            <w:pPr>
              <w:numPr>
                <w:ilvl w:val="0"/>
                <w:numId w:val="34"/>
              </w:numPr>
              <w:tabs>
                <w:tab w:val="num" w:pos="162"/>
              </w:tabs>
              <w:ind w:left="0" w:firstLine="0"/>
              <w:rPr>
                <w:rFonts w:ascii="Garamond" w:hAnsi="Garamond"/>
              </w:rPr>
            </w:pPr>
            <w:r>
              <w:rPr>
                <w:rFonts w:ascii="Garamond" w:hAnsi="Garamond"/>
              </w:rPr>
              <w:t xml:space="preserve">Functioning Audit and Financial Inspection Unit </w:t>
            </w:r>
            <w:r>
              <w:rPr>
                <w:rFonts w:ascii="Garamond" w:hAnsi="Garamond"/>
                <w:b/>
              </w:rPr>
              <w:t>(achieved)</w:t>
            </w:r>
          </w:p>
        </w:tc>
        <w:tc>
          <w:tcPr>
            <w:tcW w:w="2700" w:type="dxa"/>
            <w:tcBorders>
              <w:top w:val="single" w:sz="4" w:space="0" w:color="000000"/>
              <w:left w:val="single" w:sz="4" w:space="0" w:color="000000"/>
              <w:bottom w:val="single" w:sz="4" w:space="0" w:color="000000"/>
              <w:right w:val="single" w:sz="4" w:space="0" w:color="000000"/>
            </w:tcBorders>
            <w:hideMark/>
          </w:tcPr>
          <w:p w14:paraId="0E295F29" w14:textId="77777777" w:rsidR="0025614E" w:rsidRDefault="0025614E">
            <w:pPr>
              <w:rPr>
                <w:rFonts w:ascii="Garamond" w:hAnsi="Garamond"/>
                <w:b/>
              </w:rPr>
            </w:pPr>
            <w:r>
              <w:rPr>
                <w:rFonts w:ascii="Garamond" w:hAnsi="Garamond"/>
                <w:b/>
              </w:rPr>
              <w:t>Operations:</w:t>
            </w:r>
          </w:p>
          <w:p w14:paraId="6434536D" w14:textId="77777777" w:rsidR="0025614E" w:rsidRDefault="0025614E" w:rsidP="0025614E">
            <w:pPr>
              <w:numPr>
                <w:ilvl w:val="0"/>
                <w:numId w:val="34"/>
              </w:numPr>
              <w:tabs>
                <w:tab w:val="num" w:pos="162"/>
              </w:tabs>
              <w:ind w:left="0" w:firstLine="0"/>
              <w:rPr>
                <w:rFonts w:ascii="Garamond" w:hAnsi="Garamond"/>
              </w:rPr>
            </w:pPr>
            <w:r>
              <w:rPr>
                <w:rFonts w:ascii="Garamond" w:hAnsi="Garamond"/>
              </w:rPr>
              <w:t>Economic Recovery and International Re-engagement Grant (ERIREG, FY08) Development Policy Grant (DPG)</w:t>
            </w:r>
          </w:p>
          <w:p w14:paraId="46716AE4" w14:textId="77777777" w:rsidR="0025614E" w:rsidRDefault="0025614E" w:rsidP="0025614E">
            <w:pPr>
              <w:numPr>
                <w:ilvl w:val="0"/>
                <w:numId w:val="34"/>
              </w:numPr>
              <w:tabs>
                <w:tab w:val="num" w:pos="162"/>
              </w:tabs>
              <w:ind w:left="0" w:firstLine="0"/>
              <w:rPr>
                <w:rFonts w:ascii="Garamond" w:hAnsi="Garamond"/>
              </w:rPr>
            </w:pPr>
            <w:r>
              <w:rPr>
                <w:rFonts w:ascii="Garamond" w:hAnsi="Garamond"/>
              </w:rPr>
              <w:t>DPGs: Economic Recovery and Governance Grant (ERGG, FY08); ERGG2 (FY09); ERGG3 (FY10)</w:t>
            </w:r>
          </w:p>
          <w:p w14:paraId="081E950F" w14:textId="77777777" w:rsidR="0025614E" w:rsidRDefault="0025614E">
            <w:pPr>
              <w:rPr>
                <w:rFonts w:ascii="Garamond" w:hAnsi="Garamond"/>
                <w:b/>
              </w:rPr>
            </w:pPr>
            <w:r>
              <w:rPr>
                <w:rFonts w:ascii="Garamond" w:hAnsi="Garamond"/>
                <w:b/>
              </w:rPr>
              <w:t>AAA:</w:t>
            </w:r>
          </w:p>
          <w:p w14:paraId="184906F7" w14:textId="77777777" w:rsidR="0025614E" w:rsidRDefault="0025614E" w:rsidP="0025614E">
            <w:pPr>
              <w:numPr>
                <w:ilvl w:val="0"/>
                <w:numId w:val="34"/>
              </w:numPr>
              <w:tabs>
                <w:tab w:val="num" w:pos="162"/>
              </w:tabs>
              <w:ind w:left="0" w:firstLine="0"/>
              <w:rPr>
                <w:rFonts w:ascii="Garamond" w:eastAsiaTheme="majorEastAsia" w:hAnsi="Garamond" w:cstheme="majorBidi"/>
                <w:b/>
                <w:bCs/>
                <w:color w:val="A9A57C" w:themeColor="accent1"/>
                <w:szCs w:val="26"/>
              </w:rPr>
            </w:pPr>
            <w:r>
              <w:rPr>
                <w:rFonts w:ascii="Garamond" w:hAnsi="Garamond"/>
              </w:rPr>
              <w:t>Public Expenditure Management and Financial Accountability Review (PEMFAR, FY10)</w:t>
            </w:r>
          </w:p>
        </w:tc>
      </w:tr>
      <w:tr w:rsidR="0025614E" w14:paraId="0971B148"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54289BDF" w14:textId="77777777" w:rsidR="0025614E" w:rsidRDefault="0025614E">
            <w:pPr>
              <w:pStyle w:val="BodyText0"/>
              <w:jc w:val="left"/>
              <w:rPr>
                <w:rFonts w:ascii="Garamond" w:hAnsi="Garamond"/>
                <w:b/>
                <w:color w:val="auto"/>
              </w:rPr>
            </w:pPr>
            <w:r>
              <w:rPr>
                <w:rFonts w:ascii="Garamond" w:hAnsi="Garamond"/>
                <w:b/>
                <w:color w:val="auto"/>
              </w:rPr>
              <w:t>ISN FY12-13 Outcome II.5: Timely information to spending units on ceilings for expenditure commitments</w:t>
            </w:r>
          </w:p>
          <w:p w14:paraId="34F09427" w14:textId="77777777" w:rsidR="0025614E" w:rsidRDefault="0025614E" w:rsidP="0025614E">
            <w:pPr>
              <w:numPr>
                <w:ilvl w:val="0"/>
                <w:numId w:val="30"/>
              </w:numPr>
              <w:tabs>
                <w:tab w:val="num" w:pos="180"/>
              </w:tabs>
              <w:ind w:left="0" w:firstLine="0"/>
              <w:rPr>
                <w:rFonts w:ascii="Garamond" w:hAnsi="Garamond"/>
              </w:rPr>
            </w:pPr>
            <w:r>
              <w:rPr>
                <w:rFonts w:ascii="Garamond" w:hAnsi="Garamond"/>
              </w:rPr>
              <w:t>Number of months in advance the spending units receive ceilings on expenditure commitments</w:t>
            </w:r>
          </w:p>
          <w:p w14:paraId="0C70635A" w14:textId="77777777" w:rsidR="0025614E" w:rsidRDefault="0025614E">
            <w:pPr>
              <w:pStyle w:val="BodyText0"/>
              <w:rPr>
                <w:rFonts w:ascii="Garamond" w:hAnsi="Garamond"/>
                <w:b/>
                <w:color w:val="auto"/>
              </w:rPr>
            </w:pPr>
            <w:r>
              <w:rPr>
                <w:rFonts w:ascii="Garamond" w:hAnsi="Garamond"/>
                <w:color w:val="auto"/>
              </w:rPr>
              <w:t>Baseline: 0 (2010)</w:t>
            </w:r>
          </w:p>
          <w:p w14:paraId="4EA03C9A" w14:textId="77777777" w:rsidR="0025614E" w:rsidRDefault="0025614E">
            <w:pPr>
              <w:pStyle w:val="BodyText0"/>
              <w:rPr>
                <w:rFonts w:ascii="Garamond" w:hAnsi="Garamond"/>
                <w:b/>
              </w:rPr>
            </w:pPr>
            <w:r>
              <w:rPr>
                <w:rFonts w:ascii="Garamond" w:hAnsi="Garamond"/>
                <w:color w:val="auto"/>
              </w:rPr>
              <w:t>Target: 2 (2011)</w:t>
            </w:r>
          </w:p>
        </w:tc>
        <w:tc>
          <w:tcPr>
            <w:tcW w:w="4140" w:type="dxa"/>
            <w:tcBorders>
              <w:top w:val="single" w:sz="4" w:space="0" w:color="000000"/>
              <w:left w:val="single" w:sz="4" w:space="0" w:color="000000"/>
              <w:bottom w:val="single" w:sz="4" w:space="0" w:color="000000"/>
              <w:right w:val="single" w:sz="4" w:space="0" w:color="000000"/>
            </w:tcBorders>
          </w:tcPr>
          <w:p w14:paraId="7441AFAB" w14:textId="77777777" w:rsidR="0025614E" w:rsidRDefault="0025614E">
            <w:pPr>
              <w:rPr>
                <w:rFonts w:ascii="Garamond" w:hAnsi="Garamond"/>
              </w:rPr>
            </w:pPr>
            <w:r>
              <w:rPr>
                <w:rFonts w:ascii="Garamond" w:hAnsi="Garamond"/>
                <w:b/>
              </w:rPr>
              <w:t>Achieved</w:t>
            </w:r>
          </w:p>
          <w:p w14:paraId="16FD1727" w14:textId="77777777" w:rsidR="0025614E" w:rsidRDefault="0025614E">
            <w:pPr>
              <w:rPr>
                <w:rFonts w:ascii="Garamond" w:hAnsi="Garamond"/>
              </w:rPr>
            </w:pPr>
          </w:p>
          <w:p w14:paraId="066DF988" w14:textId="77777777" w:rsidR="0025614E" w:rsidRDefault="0025614E">
            <w:pPr>
              <w:rPr>
                <w:rFonts w:ascii="Garamond" w:hAnsi="Garamond"/>
              </w:rPr>
            </w:pPr>
          </w:p>
          <w:p w14:paraId="440A7906" w14:textId="77777777" w:rsidR="0025614E" w:rsidRDefault="0025614E">
            <w:pPr>
              <w:rPr>
                <w:rFonts w:ascii="Garamond" w:hAnsi="Garamond"/>
              </w:rPr>
            </w:pPr>
          </w:p>
          <w:p w14:paraId="60D1B1DF" w14:textId="77777777" w:rsidR="0025614E" w:rsidRDefault="0025614E" w:rsidP="0025614E">
            <w:pPr>
              <w:numPr>
                <w:ilvl w:val="0"/>
                <w:numId w:val="32"/>
              </w:numPr>
              <w:tabs>
                <w:tab w:val="num" w:pos="144"/>
              </w:tabs>
              <w:ind w:left="0" w:firstLine="0"/>
              <w:rPr>
                <w:rFonts w:ascii="Garamond" w:hAnsi="Garamond"/>
                <w:color w:val="0000FF"/>
              </w:rPr>
            </w:pPr>
            <w:r>
              <w:rPr>
                <w:rFonts w:ascii="Garamond" w:hAnsi="Garamond"/>
              </w:rPr>
              <w:t>As of 2015, spending units receive ceilings immediately after the finance law is voted. They receive spending authorizations by end-January at the latest. Spending units in turn have to elaborate their own spending ceilings and revise after every three months; however, this is not usually done.</w:t>
            </w:r>
          </w:p>
        </w:tc>
        <w:tc>
          <w:tcPr>
            <w:tcW w:w="2700" w:type="dxa"/>
            <w:tcBorders>
              <w:top w:val="single" w:sz="4" w:space="0" w:color="000000"/>
              <w:left w:val="single" w:sz="4" w:space="0" w:color="000000"/>
              <w:bottom w:val="single" w:sz="4" w:space="0" w:color="000000"/>
              <w:right w:val="single" w:sz="4" w:space="0" w:color="000000"/>
            </w:tcBorders>
            <w:hideMark/>
          </w:tcPr>
          <w:p w14:paraId="67A197EB"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t xml:space="preserve">2011 state accounts are closed using the SGFIP functions </w:t>
            </w:r>
            <w:r>
              <w:rPr>
                <w:rFonts w:ascii="Garamond" w:hAnsi="Garamond"/>
                <w:b/>
              </w:rPr>
              <w:t>(achieved in 2012; “Loi de Règlement” (budget review act) adopted by Parliament in 2014)</w:t>
            </w:r>
          </w:p>
          <w:p w14:paraId="3D4DFF64" w14:textId="77777777" w:rsidR="0025614E" w:rsidRDefault="0025614E" w:rsidP="0025614E">
            <w:pPr>
              <w:numPr>
                <w:ilvl w:val="0"/>
                <w:numId w:val="34"/>
              </w:numPr>
              <w:tabs>
                <w:tab w:val="num" w:pos="162"/>
              </w:tabs>
              <w:ind w:left="0" w:firstLine="0"/>
              <w:rPr>
                <w:rFonts w:ascii="Garamond" w:hAnsi="Garamond"/>
                <w:b/>
              </w:rPr>
            </w:pPr>
            <w:r>
              <w:rPr>
                <w:rFonts w:ascii="Garamond" w:hAnsi="Garamond"/>
              </w:rPr>
              <w:t xml:space="preserve">Cash management planning system through the preparation of monthly tables with estimation of </w:t>
            </w:r>
            <w:r>
              <w:rPr>
                <w:rFonts w:ascii="Garamond" w:hAnsi="Garamond"/>
              </w:rPr>
              <w:lastRenderedPageBreak/>
              <w:t xml:space="preserve">revenues and expenditures are operationalized </w:t>
            </w:r>
            <w:r>
              <w:rPr>
                <w:rFonts w:ascii="Garamond" w:hAnsi="Garamond"/>
                <w:b/>
              </w:rPr>
              <w:t>(achieved in 2014 and repeated the following year)</w:t>
            </w:r>
          </w:p>
        </w:tc>
        <w:tc>
          <w:tcPr>
            <w:tcW w:w="2700" w:type="dxa"/>
            <w:tcBorders>
              <w:top w:val="single" w:sz="4" w:space="0" w:color="000000"/>
              <w:left w:val="single" w:sz="4" w:space="0" w:color="000000"/>
              <w:bottom w:val="single" w:sz="4" w:space="0" w:color="000000"/>
              <w:right w:val="single" w:sz="4" w:space="0" w:color="000000"/>
            </w:tcBorders>
            <w:hideMark/>
          </w:tcPr>
          <w:p w14:paraId="744B842E" w14:textId="77777777" w:rsidR="0025614E" w:rsidRDefault="0025614E">
            <w:pPr>
              <w:rPr>
                <w:rFonts w:ascii="Garamond" w:hAnsi="Garamond"/>
                <w:b/>
              </w:rPr>
            </w:pPr>
            <w:r>
              <w:rPr>
                <w:rFonts w:ascii="Garamond" w:hAnsi="Garamond"/>
                <w:b/>
              </w:rPr>
              <w:lastRenderedPageBreak/>
              <w:t>Operations:</w:t>
            </w:r>
          </w:p>
          <w:p w14:paraId="101AC549" w14:textId="77777777" w:rsidR="0025614E" w:rsidRDefault="0025614E" w:rsidP="0025614E">
            <w:pPr>
              <w:numPr>
                <w:ilvl w:val="0"/>
                <w:numId w:val="34"/>
              </w:numPr>
              <w:tabs>
                <w:tab w:val="num" w:pos="162"/>
              </w:tabs>
              <w:ind w:left="0" w:firstLine="0"/>
              <w:rPr>
                <w:rFonts w:ascii="Garamond" w:hAnsi="Garamond"/>
              </w:rPr>
            </w:pPr>
            <w:r>
              <w:rPr>
                <w:rFonts w:ascii="Garamond" w:hAnsi="Garamond"/>
              </w:rPr>
              <w:t>FSGP (FY09)</w:t>
            </w:r>
          </w:p>
          <w:p w14:paraId="6E0F3CA3" w14:textId="77777777" w:rsidR="0025614E" w:rsidRDefault="0025614E" w:rsidP="0025614E">
            <w:pPr>
              <w:numPr>
                <w:ilvl w:val="0"/>
                <w:numId w:val="34"/>
              </w:numPr>
              <w:tabs>
                <w:tab w:val="num" w:pos="162"/>
              </w:tabs>
              <w:ind w:left="0" w:firstLine="0"/>
              <w:rPr>
                <w:rFonts w:ascii="Garamond" w:hAnsi="Garamond"/>
              </w:rPr>
            </w:pPr>
            <w:r>
              <w:rPr>
                <w:rFonts w:ascii="Garamond" w:hAnsi="Garamond"/>
              </w:rPr>
              <w:t>IDF for Strengthening Capacity of the Accountancy Profession (FY11)</w:t>
            </w:r>
          </w:p>
          <w:p w14:paraId="59961F1E" w14:textId="77777777" w:rsidR="0025614E" w:rsidRDefault="0025614E">
            <w:pPr>
              <w:rPr>
                <w:rFonts w:ascii="Garamond" w:hAnsi="Garamond"/>
                <w:b/>
              </w:rPr>
            </w:pPr>
            <w:r>
              <w:rPr>
                <w:rFonts w:ascii="Garamond" w:hAnsi="Garamond"/>
                <w:b/>
              </w:rPr>
              <w:t>AAA:</w:t>
            </w:r>
          </w:p>
          <w:p w14:paraId="6F349CEF" w14:textId="77777777" w:rsidR="0025614E" w:rsidRDefault="0025614E" w:rsidP="0025614E">
            <w:pPr>
              <w:numPr>
                <w:ilvl w:val="0"/>
                <w:numId w:val="34"/>
              </w:numPr>
              <w:tabs>
                <w:tab w:val="num" w:pos="162"/>
              </w:tabs>
              <w:ind w:left="0" w:firstLine="0"/>
              <w:rPr>
                <w:rFonts w:ascii="Garamond" w:hAnsi="Garamond"/>
              </w:rPr>
            </w:pPr>
            <w:r>
              <w:rPr>
                <w:rFonts w:ascii="Garamond" w:hAnsi="Garamond"/>
              </w:rPr>
              <w:t>TA on Use of Country Systems (FY12)</w:t>
            </w:r>
          </w:p>
          <w:p w14:paraId="50757143" w14:textId="77777777" w:rsidR="0025614E" w:rsidRDefault="0025614E" w:rsidP="0025614E">
            <w:pPr>
              <w:numPr>
                <w:ilvl w:val="0"/>
                <w:numId w:val="34"/>
              </w:numPr>
              <w:tabs>
                <w:tab w:val="num" w:pos="162"/>
              </w:tabs>
              <w:ind w:left="0" w:firstLine="0"/>
              <w:rPr>
                <w:rFonts w:ascii="Garamond" w:eastAsiaTheme="majorEastAsia" w:hAnsi="Garamond" w:cstheme="majorBidi"/>
                <w:bCs/>
                <w:szCs w:val="26"/>
              </w:rPr>
            </w:pPr>
            <w:r>
              <w:rPr>
                <w:rFonts w:ascii="Garamond" w:eastAsiaTheme="majorEastAsia" w:hAnsi="Garamond" w:cstheme="majorBidi"/>
                <w:bCs/>
                <w:szCs w:val="26"/>
              </w:rPr>
              <w:t>ROSC Follow-up (FY12)</w:t>
            </w:r>
          </w:p>
          <w:p w14:paraId="4486FBAB" w14:textId="77777777" w:rsidR="0025614E" w:rsidRDefault="0025614E" w:rsidP="0025614E">
            <w:pPr>
              <w:numPr>
                <w:ilvl w:val="0"/>
                <w:numId w:val="34"/>
              </w:numPr>
              <w:tabs>
                <w:tab w:val="num" w:pos="162"/>
              </w:tabs>
              <w:ind w:left="0" w:firstLine="0"/>
              <w:rPr>
                <w:rFonts w:ascii="Garamond" w:eastAsiaTheme="majorEastAsia" w:hAnsi="Garamond" w:cstheme="majorBidi"/>
                <w:b/>
                <w:bCs/>
                <w:color w:val="A9A57C" w:themeColor="accent1"/>
                <w:szCs w:val="26"/>
              </w:rPr>
            </w:pPr>
            <w:r>
              <w:rPr>
                <w:rFonts w:ascii="Garamond" w:eastAsiaTheme="majorEastAsia" w:hAnsi="Garamond" w:cstheme="majorBidi"/>
                <w:bCs/>
                <w:szCs w:val="26"/>
              </w:rPr>
              <w:t>CPAR (FY13)</w:t>
            </w:r>
          </w:p>
        </w:tc>
      </w:tr>
      <w:tr w:rsidR="0025614E" w14:paraId="1D840829"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69AAC8AE" w14:textId="77777777" w:rsidR="0025614E" w:rsidRDefault="0025614E">
            <w:pPr>
              <w:pStyle w:val="BodyText0"/>
              <w:jc w:val="left"/>
              <w:rPr>
                <w:rFonts w:ascii="Garamond" w:hAnsi="Garamond"/>
                <w:b/>
                <w:color w:val="auto"/>
              </w:rPr>
            </w:pPr>
            <w:r>
              <w:rPr>
                <w:rFonts w:ascii="Garamond" w:hAnsi="Garamond"/>
                <w:b/>
                <w:color w:val="auto"/>
              </w:rPr>
              <w:t>ISN FY08-10 Outcome I.2: Improved public procurement institutional framework</w:t>
            </w:r>
          </w:p>
          <w:p w14:paraId="57E1BDE2" w14:textId="77777777" w:rsidR="0025614E" w:rsidRDefault="0025614E" w:rsidP="0025614E">
            <w:pPr>
              <w:numPr>
                <w:ilvl w:val="0"/>
                <w:numId w:val="30"/>
              </w:numPr>
              <w:tabs>
                <w:tab w:val="num" w:pos="180"/>
              </w:tabs>
              <w:ind w:left="0" w:firstLine="0"/>
              <w:rPr>
                <w:rFonts w:ascii="Garamond" w:hAnsi="Garamond"/>
              </w:rPr>
            </w:pPr>
            <w:r>
              <w:rPr>
                <w:rFonts w:ascii="Garamond" w:hAnsi="Garamond"/>
              </w:rPr>
              <w:t>Existence of an institutional framework that reflects the standards of the WAEMU Directive</w:t>
            </w:r>
          </w:p>
          <w:p w14:paraId="0A3E7EEA" w14:textId="77777777" w:rsidR="0025614E" w:rsidRDefault="0025614E">
            <w:pPr>
              <w:rPr>
                <w:rFonts w:ascii="Garamond" w:hAnsi="Garamond"/>
              </w:rPr>
            </w:pPr>
            <w:r>
              <w:rPr>
                <w:rFonts w:ascii="Garamond" w:hAnsi="Garamond"/>
              </w:rPr>
              <w:t>Baseline: Institutional framework inconsistent with WAEMU Directive</w:t>
            </w:r>
          </w:p>
          <w:p w14:paraId="1A979B7F" w14:textId="77777777" w:rsidR="0025614E" w:rsidRDefault="0025614E" w:rsidP="0025614E">
            <w:pPr>
              <w:numPr>
                <w:ilvl w:val="0"/>
                <w:numId w:val="30"/>
              </w:numPr>
              <w:tabs>
                <w:tab w:val="num" w:pos="180"/>
              </w:tabs>
              <w:ind w:left="0" w:firstLine="0"/>
              <w:rPr>
                <w:rFonts w:ascii="Garamond" w:hAnsi="Garamond"/>
              </w:rPr>
            </w:pPr>
            <w:r>
              <w:rPr>
                <w:rFonts w:ascii="Garamond" w:hAnsi="Garamond"/>
              </w:rPr>
              <w:t>Number of contract awards published</w:t>
            </w:r>
          </w:p>
          <w:p w14:paraId="45350B5D" w14:textId="77777777" w:rsidR="0025614E" w:rsidRDefault="0025614E">
            <w:pPr>
              <w:rPr>
                <w:rFonts w:ascii="Garamond" w:hAnsi="Garamond"/>
              </w:rPr>
            </w:pPr>
            <w:r>
              <w:rPr>
                <w:rFonts w:ascii="Garamond" w:hAnsi="Garamond"/>
              </w:rPr>
              <w:t>Baseline: 0</w:t>
            </w:r>
          </w:p>
        </w:tc>
        <w:tc>
          <w:tcPr>
            <w:tcW w:w="4140" w:type="dxa"/>
            <w:tcBorders>
              <w:top w:val="single" w:sz="4" w:space="0" w:color="000000"/>
              <w:left w:val="single" w:sz="4" w:space="0" w:color="000000"/>
              <w:bottom w:val="single" w:sz="4" w:space="0" w:color="000000"/>
              <w:right w:val="single" w:sz="4" w:space="0" w:color="000000"/>
            </w:tcBorders>
          </w:tcPr>
          <w:p w14:paraId="1F01B96B" w14:textId="77777777" w:rsidR="0025614E" w:rsidRDefault="0025614E">
            <w:pPr>
              <w:rPr>
                <w:rFonts w:ascii="Garamond" w:hAnsi="Garamond"/>
              </w:rPr>
            </w:pPr>
            <w:r>
              <w:rPr>
                <w:rFonts w:ascii="Garamond" w:hAnsi="Garamond"/>
                <w:b/>
              </w:rPr>
              <w:t>Achieved</w:t>
            </w:r>
          </w:p>
          <w:p w14:paraId="2032EE0D" w14:textId="77777777" w:rsidR="0025614E" w:rsidRDefault="0025614E">
            <w:pPr>
              <w:rPr>
                <w:rFonts w:ascii="Garamond" w:hAnsi="Garamond"/>
              </w:rPr>
            </w:pPr>
          </w:p>
          <w:p w14:paraId="5CE33AB1" w14:textId="77777777" w:rsidR="0025614E" w:rsidRDefault="0025614E">
            <w:pPr>
              <w:rPr>
                <w:rFonts w:ascii="Garamond" w:hAnsi="Garamond"/>
              </w:rPr>
            </w:pPr>
          </w:p>
          <w:p w14:paraId="144F8D91" w14:textId="77777777" w:rsidR="0025614E" w:rsidRDefault="0025614E" w:rsidP="0025614E">
            <w:pPr>
              <w:numPr>
                <w:ilvl w:val="0"/>
                <w:numId w:val="32"/>
              </w:numPr>
              <w:tabs>
                <w:tab w:val="num" w:pos="144"/>
              </w:tabs>
              <w:ind w:left="0" w:firstLine="0"/>
              <w:rPr>
                <w:rFonts w:ascii="Garamond" w:hAnsi="Garamond"/>
              </w:rPr>
            </w:pPr>
            <w:r>
              <w:rPr>
                <w:rFonts w:ascii="Garamond" w:hAnsi="Garamond"/>
              </w:rPr>
              <w:t>Since January 2012, Togo has been implementing a new procurement legal framework (law and code) that is in line with the WAEMU Procurement Directive of November 2009</w:t>
            </w:r>
            <w:r>
              <w:rPr>
                <w:rFonts w:ascii="Garamond" w:hAnsi="Garamond"/>
                <w:b/>
              </w:rPr>
              <w:t>.</w:t>
            </w:r>
          </w:p>
          <w:p w14:paraId="4AF6B16B" w14:textId="77777777" w:rsidR="0025614E" w:rsidRDefault="0025614E" w:rsidP="0025614E">
            <w:pPr>
              <w:numPr>
                <w:ilvl w:val="0"/>
                <w:numId w:val="32"/>
              </w:numPr>
              <w:tabs>
                <w:tab w:val="num" w:pos="144"/>
              </w:tabs>
              <w:ind w:left="0" w:firstLine="0"/>
              <w:rPr>
                <w:rFonts w:ascii="Garamond" w:hAnsi="Garamond"/>
              </w:rPr>
            </w:pPr>
            <w:r>
              <w:rPr>
                <w:rFonts w:ascii="Garamond" w:hAnsi="Garamond"/>
              </w:rPr>
              <w:t>Since 2012, awarded contracts are published ex post on the official website of the procurement directorate (DNCMP</w:t>
            </w:r>
            <w:r>
              <w:rPr>
                <w:rStyle w:val="FootnoteReference"/>
                <w:rFonts w:ascii="Garamond" w:hAnsi="Garamond"/>
              </w:rPr>
              <w:footnoteReference w:id="22"/>
            </w:r>
            <w:r>
              <w:rPr>
                <w:rFonts w:ascii="Garamond" w:hAnsi="Garamond"/>
              </w:rPr>
              <w:t>) and in newspapers, along with new contracts on a monthly basis.</w:t>
            </w:r>
          </w:p>
        </w:tc>
        <w:tc>
          <w:tcPr>
            <w:tcW w:w="2700" w:type="dxa"/>
            <w:tcBorders>
              <w:top w:val="single" w:sz="4" w:space="0" w:color="000000"/>
              <w:left w:val="single" w:sz="4" w:space="0" w:color="000000"/>
              <w:bottom w:val="single" w:sz="4" w:space="0" w:color="000000"/>
              <w:right w:val="single" w:sz="4" w:space="0" w:color="000000"/>
            </w:tcBorders>
            <w:hideMark/>
          </w:tcPr>
          <w:p w14:paraId="7501231F"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t xml:space="preserve">Procurement reform program adopted and being implemented </w:t>
            </w:r>
            <w:r>
              <w:rPr>
                <w:rFonts w:ascii="Garamond" w:hAnsi="Garamond"/>
                <w:b/>
              </w:rPr>
              <w:t>(achieved in 2010; a new program is expected to be adopted following the implementation of PEMFAR recommendations)</w:t>
            </w:r>
          </w:p>
          <w:p w14:paraId="47AD4084" w14:textId="77777777" w:rsidR="0025614E" w:rsidRDefault="0025614E" w:rsidP="0025614E">
            <w:pPr>
              <w:numPr>
                <w:ilvl w:val="0"/>
                <w:numId w:val="34"/>
              </w:numPr>
              <w:tabs>
                <w:tab w:val="num" w:pos="162"/>
              </w:tabs>
              <w:ind w:left="0" w:firstLine="0"/>
              <w:rPr>
                <w:rFonts w:ascii="Garamond" w:hAnsi="Garamond"/>
              </w:rPr>
            </w:pPr>
            <w:r>
              <w:rPr>
                <w:rFonts w:ascii="Garamond" w:hAnsi="Garamond"/>
              </w:rPr>
              <w:t xml:space="preserve">Procurement journal operational for publication of contract awards </w:t>
            </w:r>
            <w:r>
              <w:rPr>
                <w:rFonts w:ascii="Garamond" w:hAnsi="Garamond"/>
                <w:b/>
              </w:rPr>
              <w:t>(achieved in December 2010)</w:t>
            </w:r>
          </w:p>
          <w:p w14:paraId="5C90E34A" w14:textId="77777777" w:rsidR="0025614E" w:rsidRDefault="0025614E" w:rsidP="0025614E">
            <w:pPr>
              <w:numPr>
                <w:ilvl w:val="0"/>
                <w:numId w:val="34"/>
              </w:numPr>
              <w:tabs>
                <w:tab w:val="num" w:pos="162"/>
              </w:tabs>
              <w:ind w:left="0" w:firstLine="0"/>
              <w:rPr>
                <w:rFonts w:ascii="Garamond" w:hAnsi="Garamond"/>
              </w:rPr>
            </w:pPr>
            <w:r>
              <w:rPr>
                <w:rFonts w:ascii="Garamond" w:hAnsi="Garamond"/>
              </w:rPr>
              <w:t xml:space="preserve">New public procurement code adopted </w:t>
            </w:r>
            <w:r>
              <w:rPr>
                <w:rFonts w:ascii="Garamond" w:hAnsi="Garamond"/>
                <w:b/>
              </w:rPr>
              <w:t>(achieved in November 2009)</w:t>
            </w:r>
          </w:p>
        </w:tc>
        <w:tc>
          <w:tcPr>
            <w:tcW w:w="2700" w:type="dxa"/>
            <w:tcBorders>
              <w:top w:val="single" w:sz="4" w:space="0" w:color="000000"/>
              <w:left w:val="single" w:sz="4" w:space="0" w:color="000000"/>
              <w:bottom w:val="single" w:sz="4" w:space="0" w:color="000000"/>
              <w:right w:val="single" w:sz="4" w:space="0" w:color="000000"/>
            </w:tcBorders>
            <w:hideMark/>
          </w:tcPr>
          <w:p w14:paraId="3D6C77D5" w14:textId="77777777" w:rsidR="0025614E" w:rsidRDefault="0025614E">
            <w:pPr>
              <w:rPr>
                <w:rFonts w:ascii="Garamond" w:hAnsi="Garamond"/>
                <w:b/>
              </w:rPr>
            </w:pPr>
            <w:r>
              <w:rPr>
                <w:rFonts w:ascii="Garamond" w:hAnsi="Garamond"/>
                <w:b/>
              </w:rPr>
              <w:t>Operations:</w:t>
            </w:r>
          </w:p>
          <w:p w14:paraId="053DFA14" w14:textId="77777777" w:rsidR="0025614E" w:rsidRDefault="0025614E" w:rsidP="0025614E">
            <w:pPr>
              <w:numPr>
                <w:ilvl w:val="0"/>
                <w:numId w:val="34"/>
              </w:numPr>
              <w:tabs>
                <w:tab w:val="num" w:pos="162"/>
              </w:tabs>
              <w:ind w:left="0" w:firstLine="0"/>
              <w:rPr>
                <w:rFonts w:ascii="Garamond" w:hAnsi="Garamond"/>
              </w:rPr>
            </w:pPr>
            <w:r>
              <w:rPr>
                <w:rFonts w:ascii="Garamond" w:hAnsi="Garamond"/>
              </w:rPr>
              <w:t>ERIREG (FY08)</w:t>
            </w:r>
          </w:p>
          <w:p w14:paraId="35AF809F" w14:textId="77777777" w:rsidR="0025614E" w:rsidRDefault="0025614E" w:rsidP="0025614E">
            <w:pPr>
              <w:numPr>
                <w:ilvl w:val="0"/>
                <w:numId w:val="34"/>
              </w:numPr>
              <w:tabs>
                <w:tab w:val="num" w:pos="162"/>
              </w:tabs>
              <w:ind w:left="0" w:firstLine="0"/>
              <w:rPr>
                <w:rFonts w:ascii="Garamond" w:hAnsi="Garamond"/>
              </w:rPr>
            </w:pPr>
            <w:r>
              <w:rPr>
                <w:rFonts w:ascii="Garamond" w:hAnsi="Garamond"/>
              </w:rPr>
              <w:t>DPGs: ERGG (FY08); ERGG2 (FY09); ERGG3 (FY10)</w:t>
            </w:r>
          </w:p>
          <w:p w14:paraId="28E625CF" w14:textId="77777777" w:rsidR="0025614E" w:rsidRDefault="0025614E">
            <w:pPr>
              <w:rPr>
                <w:rFonts w:ascii="Garamond" w:hAnsi="Garamond"/>
                <w:b/>
              </w:rPr>
            </w:pPr>
            <w:r>
              <w:rPr>
                <w:rFonts w:ascii="Garamond" w:hAnsi="Garamond"/>
                <w:b/>
              </w:rPr>
              <w:t>AAA:</w:t>
            </w:r>
          </w:p>
          <w:p w14:paraId="20454C12" w14:textId="77777777" w:rsidR="0025614E" w:rsidRDefault="0025614E" w:rsidP="0025614E">
            <w:pPr>
              <w:numPr>
                <w:ilvl w:val="0"/>
                <w:numId w:val="34"/>
              </w:numPr>
              <w:tabs>
                <w:tab w:val="num" w:pos="162"/>
              </w:tabs>
              <w:ind w:left="0" w:firstLine="0"/>
              <w:rPr>
                <w:rFonts w:ascii="Garamond" w:eastAsiaTheme="majorEastAsia" w:hAnsi="Garamond" w:cstheme="majorBidi"/>
                <w:b/>
                <w:bCs/>
                <w:szCs w:val="26"/>
              </w:rPr>
            </w:pPr>
            <w:r>
              <w:rPr>
                <w:rFonts w:ascii="Garamond" w:hAnsi="Garamond"/>
              </w:rPr>
              <w:t>PEMFAR (FY10)</w:t>
            </w:r>
          </w:p>
        </w:tc>
      </w:tr>
      <w:tr w:rsidR="0025614E" w14:paraId="698BB71F"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6D39DA85" w14:textId="77777777" w:rsidR="0025614E" w:rsidRDefault="0025614E">
            <w:pPr>
              <w:pStyle w:val="BodyText0"/>
              <w:jc w:val="left"/>
              <w:rPr>
                <w:rFonts w:ascii="Garamond" w:hAnsi="Garamond"/>
                <w:b/>
                <w:color w:val="auto"/>
              </w:rPr>
            </w:pPr>
            <w:r>
              <w:rPr>
                <w:rFonts w:ascii="Garamond" w:hAnsi="Garamond"/>
                <w:b/>
                <w:color w:val="auto"/>
              </w:rPr>
              <w:t>ISN FY12-13 Outcome II.6: Enhanced procurement controls</w:t>
            </w:r>
          </w:p>
          <w:p w14:paraId="5F81010C" w14:textId="77777777" w:rsidR="0025614E" w:rsidRDefault="0025614E" w:rsidP="0025614E">
            <w:pPr>
              <w:numPr>
                <w:ilvl w:val="0"/>
                <w:numId w:val="32"/>
              </w:numPr>
              <w:tabs>
                <w:tab w:val="num" w:pos="144"/>
              </w:tabs>
              <w:ind w:left="0" w:firstLine="0"/>
              <w:rPr>
                <w:rFonts w:ascii="Garamond" w:hAnsi="Garamond"/>
              </w:rPr>
            </w:pPr>
            <w:r>
              <w:rPr>
                <w:rFonts w:ascii="Garamond" w:hAnsi="Garamond"/>
              </w:rPr>
              <w:t xml:space="preserve">% of procurement notices and contract awards reviewed by the General Procurement Department publicly available </w:t>
            </w:r>
          </w:p>
          <w:p w14:paraId="73121661" w14:textId="77777777" w:rsidR="0025614E" w:rsidRDefault="0025614E">
            <w:pPr>
              <w:rPr>
                <w:rFonts w:ascii="Garamond" w:hAnsi="Garamond"/>
              </w:rPr>
            </w:pPr>
            <w:r>
              <w:rPr>
                <w:rFonts w:ascii="Garamond" w:hAnsi="Garamond"/>
              </w:rPr>
              <w:t>Baseline: 0 (2010)</w:t>
            </w:r>
          </w:p>
          <w:p w14:paraId="17F16C18" w14:textId="77777777" w:rsidR="0025614E" w:rsidRDefault="0025614E">
            <w:pPr>
              <w:rPr>
                <w:rFonts w:ascii="Garamond" w:hAnsi="Garamond"/>
                <w:szCs w:val="24"/>
              </w:rPr>
            </w:pPr>
            <w:r>
              <w:rPr>
                <w:rFonts w:ascii="Garamond" w:hAnsi="Garamond"/>
              </w:rPr>
              <w:t>Target: 100 (2011)</w:t>
            </w:r>
          </w:p>
        </w:tc>
        <w:tc>
          <w:tcPr>
            <w:tcW w:w="4140" w:type="dxa"/>
            <w:tcBorders>
              <w:top w:val="single" w:sz="4" w:space="0" w:color="000000"/>
              <w:left w:val="single" w:sz="4" w:space="0" w:color="000000"/>
              <w:bottom w:val="single" w:sz="4" w:space="0" w:color="000000"/>
              <w:right w:val="single" w:sz="4" w:space="0" w:color="000000"/>
            </w:tcBorders>
          </w:tcPr>
          <w:p w14:paraId="23CC9B14" w14:textId="77777777" w:rsidR="0025614E" w:rsidRDefault="0025614E">
            <w:pPr>
              <w:rPr>
                <w:rFonts w:ascii="Garamond" w:hAnsi="Garamond"/>
              </w:rPr>
            </w:pPr>
            <w:r>
              <w:rPr>
                <w:rFonts w:ascii="Garamond" w:hAnsi="Garamond"/>
                <w:b/>
              </w:rPr>
              <w:t>Achieved</w:t>
            </w:r>
          </w:p>
          <w:p w14:paraId="7B66173E" w14:textId="77777777" w:rsidR="0025614E" w:rsidRDefault="0025614E">
            <w:pPr>
              <w:rPr>
                <w:rFonts w:ascii="Garamond" w:hAnsi="Garamond"/>
              </w:rPr>
            </w:pPr>
          </w:p>
          <w:p w14:paraId="1696A295" w14:textId="77777777" w:rsidR="0025614E" w:rsidRDefault="0025614E" w:rsidP="0025614E">
            <w:pPr>
              <w:numPr>
                <w:ilvl w:val="0"/>
                <w:numId w:val="32"/>
              </w:numPr>
              <w:tabs>
                <w:tab w:val="num" w:pos="144"/>
              </w:tabs>
              <w:ind w:left="0" w:firstLine="0"/>
              <w:rPr>
                <w:rFonts w:ascii="Garamond" w:eastAsiaTheme="majorEastAsia" w:hAnsi="Garamond" w:cstheme="majorBidi"/>
                <w:b/>
                <w:bCs/>
              </w:rPr>
            </w:pPr>
            <w:r>
              <w:rPr>
                <w:rFonts w:ascii="Garamond" w:hAnsi="Garamond"/>
              </w:rPr>
              <w:t>100% of procurement notices published either in Togo Presse or in the procurement newspaper. Publication of the procurement notice is a condition for approval of the award.</w:t>
            </w:r>
          </w:p>
          <w:p w14:paraId="2BE7E7C0" w14:textId="77777777" w:rsidR="0025614E" w:rsidRDefault="0025614E" w:rsidP="0025614E">
            <w:pPr>
              <w:numPr>
                <w:ilvl w:val="0"/>
                <w:numId w:val="32"/>
              </w:numPr>
              <w:tabs>
                <w:tab w:val="num" w:pos="144"/>
              </w:tabs>
              <w:ind w:left="0" w:firstLine="0"/>
              <w:rPr>
                <w:rFonts w:ascii="Garamond" w:eastAsiaTheme="majorEastAsia" w:hAnsi="Garamond" w:cstheme="majorBidi"/>
                <w:b/>
                <w:bCs/>
              </w:rPr>
            </w:pPr>
            <w:r>
              <w:rPr>
                <w:rFonts w:ascii="Garamond" w:hAnsi="Garamond"/>
              </w:rPr>
              <w:lastRenderedPageBreak/>
              <w:t>Contract awards are published after legal review by DNCMP or the ministries’ internal control committees (CCMP</w:t>
            </w:r>
            <w:r>
              <w:rPr>
                <w:rStyle w:val="FootnoteReference"/>
                <w:rFonts w:ascii="Garamond" w:hAnsi="Garamond"/>
              </w:rPr>
              <w:footnoteReference w:id="23"/>
            </w:r>
            <w:r>
              <w:rPr>
                <w:rFonts w:ascii="Garamond" w:hAnsi="Garamond"/>
              </w:rPr>
              <w:t>).</w:t>
            </w:r>
          </w:p>
        </w:tc>
        <w:tc>
          <w:tcPr>
            <w:tcW w:w="2700" w:type="dxa"/>
            <w:tcBorders>
              <w:top w:val="single" w:sz="4" w:space="0" w:color="000000"/>
              <w:left w:val="single" w:sz="4" w:space="0" w:color="000000"/>
              <w:bottom w:val="single" w:sz="4" w:space="0" w:color="000000"/>
              <w:right w:val="single" w:sz="4" w:space="0" w:color="000000"/>
            </w:tcBorders>
            <w:hideMark/>
          </w:tcPr>
          <w:p w14:paraId="7AB27E5F"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eastAsia="Calibri" w:hAnsi="Garamond" w:cs="Times New Roman"/>
                <w:szCs w:val="24"/>
              </w:rPr>
            </w:pPr>
            <w:r>
              <w:rPr>
                <w:rFonts w:ascii="Garamond" w:hAnsi="Garamond"/>
              </w:rPr>
              <w:lastRenderedPageBreak/>
              <w:t xml:space="preserve">2010 procurement contracts audited </w:t>
            </w:r>
            <w:r>
              <w:rPr>
                <w:rFonts w:ascii="Garamond" w:hAnsi="Garamond"/>
                <w:b/>
              </w:rPr>
              <w:t>(achieved; 2011 procurement contracts were audited in 2013; 2012 contracts audited in 2014 and 2013 contracts audited in 2015; selection of consultants to audit 2014 and 2015 contracts is ongoing.)</w:t>
            </w:r>
            <w:r>
              <w:rPr>
                <w:rFonts w:ascii="Garamond" w:hAnsi="Garamond"/>
              </w:rPr>
              <w:t xml:space="preserve"> </w:t>
            </w:r>
          </w:p>
          <w:p w14:paraId="2CA7099C"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hAnsi="Garamond"/>
              </w:rPr>
            </w:pPr>
            <w:r>
              <w:rPr>
                <w:rFonts w:ascii="Garamond" w:hAnsi="Garamond"/>
              </w:rPr>
              <w:lastRenderedPageBreak/>
              <w:t xml:space="preserve">Implementation decrees that define the mandate of the General Procurement Department and determines the threshold for procurement are adopted </w:t>
            </w:r>
            <w:r>
              <w:rPr>
                <w:rFonts w:ascii="Garamond" w:hAnsi="Garamond"/>
                <w:b/>
              </w:rPr>
              <w:t>(achieved May 2011 through Decree No 2011-059/PR)</w:t>
            </w:r>
          </w:p>
        </w:tc>
        <w:tc>
          <w:tcPr>
            <w:tcW w:w="2700" w:type="dxa"/>
            <w:tcBorders>
              <w:top w:val="single" w:sz="4" w:space="0" w:color="000000"/>
              <w:left w:val="single" w:sz="4" w:space="0" w:color="000000"/>
              <w:bottom w:val="single" w:sz="4" w:space="0" w:color="000000"/>
              <w:right w:val="single" w:sz="4" w:space="0" w:color="000000"/>
            </w:tcBorders>
          </w:tcPr>
          <w:p w14:paraId="1F286C55" w14:textId="77777777" w:rsidR="0025614E" w:rsidRDefault="0025614E">
            <w:pPr>
              <w:rPr>
                <w:rFonts w:ascii="Garamond" w:hAnsi="Garamond"/>
                <w:b/>
              </w:rPr>
            </w:pPr>
            <w:r>
              <w:rPr>
                <w:rFonts w:ascii="Garamond" w:hAnsi="Garamond"/>
                <w:b/>
              </w:rPr>
              <w:lastRenderedPageBreak/>
              <w:t>Operations:</w:t>
            </w:r>
          </w:p>
          <w:p w14:paraId="6CD0B75E" w14:textId="77777777" w:rsidR="0025614E" w:rsidRDefault="0025614E" w:rsidP="0025614E">
            <w:pPr>
              <w:numPr>
                <w:ilvl w:val="0"/>
                <w:numId w:val="34"/>
              </w:numPr>
              <w:tabs>
                <w:tab w:val="num" w:pos="162"/>
              </w:tabs>
              <w:ind w:left="0" w:firstLine="0"/>
              <w:rPr>
                <w:rFonts w:ascii="Garamond" w:hAnsi="Garamond"/>
              </w:rPr>
            </w:pPr>
            <w:r>
              <w:rPr>
                <w:rFonts w:ascii="Garamond" w:hAnsi="Garamond"/>
              </w:rPr>
              <w:t>DPGs: ERGG (FY08); ERGG2 (FY09); ERGG3 (FY10)</w:t>
            </w:r>
          </w:p>
          <w:p w14:paraId="1E177DB9" w14:textId="77777777" w:rsidR="0025614E" w:rsidRDefault="0025614E">
            <w:pPr>
              <w:rPr>
                <w:rFonts w:ascii="Garamond" w:hAnsi="Garamond"/>
              </w:rPr>
            </w:pPr>
          </w:p>
          <w:p w14:paraId="063EDD54" w14:textId="77777777" w:rsidR="0025614E" w:rsidRDefault="0025614E">
            <w:pPr>
              <w:rPr>
                <w:rFonts w:ascii="Garamond" w:hAnsi="Garamond"/>
                <w:b/>
              </w:rPr>
            </w:pPr>
            <w:r>
              <w:rPr>
                <w:rFonts w:ascii="Garamond" w:hAnsi="Garamond"/>
                <w:b/>
              </w:rPr>
              <w:t>AAA:</w:t>
            </w:r>
          </w:p>
          <w:p w14:paraId="34BD9F0E" w14:textId="77777777" w:rsidR="0025614E" w:rsidRDefault="0025614E" w:rsidP="0025614E">
            <w:pPr>
              <w:numPr>
                <w:ilvl w:val="0"/>
                <w:numId w:val="34"/>
              </w:numPr>
              <w:tabs>
                <w:tab w:val="num" w:pos="162"/>
              </w:tabs>
              <w:ind w:left="0" w:firstLine="0"/>
              <w:rPr>
                <w:rFonts w:ascii="Garamond" w:hAnsi="Garamond"/>
              </w:rPr>
            </w:pPr>
            <w:r>
              <w:rPr>
                <w:rFonts w:ascii="Garamond" w:hAnsi="Garamond"/>
              </w:rPr>
              <w:t>PEMFAR (FY10)</w:t>
            </w:r>
          </w:p>
        </w:tc>
      </w:tr>
      <w:tr w:rsidR="0025614E" w14:paraId="25BBDCE8"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2FFD14B4" w14:textId="77777777" w:rsidR="0025614E" w:rsidRDefault="0025614E">
            <w:pPr>
              <w:pStyle w:val="BodyText0"/>
              <w:jc w:val="left"/>
              <w:rPr>
                <w:rFonts w:ascii="Garamond" w:hAnsi="Garamond"/>
                <w:b/>
                <w:color w:val="auto"/>
              </w:rPr>
            </w:pPr>
            <w:r>
              <w:rPr>
                <w:rFonts w:ascii="Garamond" w:hAnsi="Garamond"/>
                <w:b/>
                <w:color w:val="auto"/>
              </w:rPr>
              <w:t>ISN FY12-13 Outcome II.7: Improved external controls</w:t>
            </w:r>
          </w:p>
        </w:tc>
        <w:tc>
          <w:tcPr>
            <w:tcW w:w="4140" w:type="dxa"/>
            <w:tcBorders>
              <w:top w:val="single" w:sz="4" w:space="0" w:color="000000"/>
              <w:left w:val="single" w:sz="4" w:space="0" w:color="000000"/>
              <w:bottom w:val="single" w:sz="4" w:space="0" w:color="000000"/>
              <w:right w:val="single" w:sz="4" w:space="0" w:color="000000"/>
            </w:tcBorders>
          </w:tcPr>
          <w:p w14:paraId="1B0FFB36" w14:textId="77777777" w:rsidR="0025614E" w:rsidRDefault="0025614E">
            <w:pPr>
              <w:rPr>
                <w:rFonts w:ascii="Garamond" w:hAnsi="Garamond"/>
              </w:rPr>
            </w:pPr>
            <w:r>
              <w:rPr>
                <w:rFonts w:ascii="Garamond" w:hAnsi="Garamond"/>
                <w:b/>
              </w:rPr>
              <w:t>Partially Achieved</w:t>
            </w:r>
          </w:p>
          <w:p w14:paraId="4F24F479" w14:textId="77777777" w:rsidR="0025614E" w:rsidRDefault="0025614E">
            <w:pPr>
              <w:rPr>
                <w:rFonts w:ascii="Garamond" w:hAnsi="Garamond"/>
              </w:rPr>
            </w:pPr>
          </w:p>
          <w:p w14:paraId="57C3A617" w14:textId="77777777" w:rsidR="0025614E" w:rsidRDefault="0025614E" w:rsidP="0025614E">
            <w:pPr>
              <w:numPr>
                <w:ilvl w:val="0"/>
                <w:numId w:val="32"/>
              </w:numPr>
              <w:tabs>
                <w:tab w:val="num" w:pos="144"/>
              </w:tabs>
              <w:ind w:left="0" w:firstLine="0"/>
              <w:rPr>
                <w:rFonts w:ascii="Garamond" w:eastAsiaTheme="majorEastAsia" w:hAnsi="Garamond" w:cstheme="majorBidi"/>
                <w:bCs/>
              </w:rPr>
            </w:pPr>
            <w:r>
              <w:rPr>
                <w:rFonts w:ascii="Garamond" w:eastAsiaTheme="majorEastAsia" w:hAnsi="Garamond" w:cstheme="majorBidi"/>
                <w:bCs/>
              </w:rPr>
              <w:t>Court of Accounts became operational in 2010, with external audit function that complements the internal audit function of the Finance Inspectorate. Legal framework for CoA in place as of 2009.</w:t>
            </w:r>
          </w:p>
          <w:p w14:paraId="07C79BEC" w14:textId="77777777" w:rsidR="0025614E" w:rsidRDefault="0025614E" w:rsidP="0025614E">
            <w:pPr>
              <w:numPr>
                <w:ilvl w:val="0"/>
                <w:numId w:val="32"/>
              </w:numPr>
              <w:tabs>
                <w:tab w:val="num" w:pos="144"/>
              </w:tabs>
              <w:ind w:left="0" w:firstLine="0"/>
              <w:rPr>
                <w:rFonts w:ascii="Garamond" w:eastAsiaTheme="majorEastAsia" w:hAnsi="Garamond" w:cstheme="majorBidi"/>
                <w:bCs/>
              </w:rPr>
            </w:pPr>
            <w:r>
              <w:rPr>
                <w:rFonts w:ascii="Garamond" w:eastAsiaTheme="majorEastAsia" w:hAnsi="Garamond" w:cstheme="majorBidi"/>
                <w:bCs/>
              </w:rPr>
              <w:t xml:space="preserve">Financial statements for 2007 and 2008 submitted by four state-owned enterprises (SOTOCO, CEET, SNPT, and Togo Telecom) to the Court of Accounts </w:t>
            </w:r>
          </w:p>
          <w:p w14:paraId="0FB55EDD" w14:textId="77777777" w:rsidR="0025614E" w:rsidRDefault="0025614E" w:rsidP="0025614E">
            <w:pPr>
              <w:numPr>
                <w:ilvl w:val="0"/>
                <w:numId w:val="32"/>
              </w:numPr>
              <w:tabs>
                <w:tab w:val="num" w:pos="144"/>
              </w:tabs>
              <w:ind w:left="0" w:firstLine="0"/>
              <w:rPr>
                <w:rFonts w:ascii="Garamond" w:eastAsiaTheme="majorEastAsia" w:hAnsi="Garamond" w:cstheme="majorBidi"/>
                <w:b/>
                <w:bCs/>
              </w:rPr>
            </w:pPr>
            <w:r>
              <w:rPr>
                <w:rFonts w:ascii="Garamond" w:eastAsiaTheme="majorEastAsia" w:hAnsi="Garamond" w:cstheme="majorBidi"/>
                <w:bCs/>
              </w:rPr>
              <w:t>External control has improved with the above measures and legislation aimed at improving external controls has been passed. In terms of implementation, however, not much has been achieved.</w:t>
            </w:r>
          </w:p>
        </w:tc>
        <w:tc>
          <w:tcPr>
            <w:tcW w:w="2700" w:type="dxa"/>
            <w:tcBorders>
              <w:top w:val="single" w:sz="4" w:space="0" w:color="000000"/>
              <w:left w:val="single" w:sz="4" w:space="0" w:color="000000"/>
              <w:bottom w:val="single" w:sz="4" w:space="0" w:color="000000"/>
              <w:right w:val="single" w:sz="4" w:space="0" w:color="000000"/>
            </w:tcBorders>
            <w:hideMark/>
          </w:tcPr>
          <w:p w14:paraId="3C050B9E"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eastAsia="Calibri" w:hAnsi="Garamond" w:cs="Times New Roman"/>
                <w:szCs w:val="24"/>
              </w:rPr>
            </w:pPr>
            <w:r>
              <w:rPr>
                <w:rFonts w:ascii="Garamond" w:hAnsi="Garamond"/>
              </w:rPr>
              <w:t xml:space="preserve">A system to follow up on the auditors’ recommendations is implemented </w:t>
            </w:r>
            <w:r>
              <w:rPr>
                <w:rFonts w:ascii="Garamond" w:hAnsi="Garamond"/>
                <w:b/>
              </w:rPr>
              <w:t>(not yet achieved; a Pilot Committee has been created to work on this, but the time frame for completion is clear)</w:t>
            </w:r>
          </w:p>
          <w:p w14:paraId="289B833E"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hAnsi="Garamond"/>
              </w:rPr>
            </w:pPr>
            <w:r>
              <w:rPr>
                <w:rFonts w:ascii="Garamond" w:hAnsi="Garamond"/>
              </w:rPr>
              <w:t xml:space="preserve">IGF and IGE staff on risk and performance approaches are trained </w:t>
            </w:r>
            <w:r>
              <w:rPr>
                <w:rFonts w:ascii="Garamond" w:hAnsi="Garamond"/>
                <w:b/>
              </w:rPr>
              <w:t>(achieved in 2014 following a risk mapping for the Ministry of Economy and Finance, and in 2015 for the Ministries of Agriculture and of Post and Digital Economy)</w:t>
            </w:r>
          </w:p>
          <w:p w14:paraId="7106A901"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hAnsi="Garamond"/>
              </w:rPr>
            </w:pPr>
            <w:r>
              <w:rPr>
                <w:rFonts w:ascii="Garamond" w:hAnsi="Garamond"/>
              </w:rPr>
              <w:t xml:space="preserve">Court of Accounts has submitted the report on the execution of the 2007 accounts to Parliament </w:t>
            </w:r>
            <w:r>
              <w:rPr>
                <w:rFonts w:ascii="Garamond" w:hAnsi="Garamond"/>
                <w:b/>
              </w:rPr>
              <w:lastRenderedPageBreak/>
              <w:t>(achieved; accounts reviewed in 2008 and 2009 with limited reliability; reports produced for 2010-2013, which have enabled Parliament to vote on Budget Review Acts for 2010-2013. The execution report for 2014 has been completed and submitted to Parliament but not yet voted on.)</w:t>
            </w:r>
          </w:p>
        </w:tc>
        <w:tc>
          <w:tcPr>
            <w:tcW w:w="2700" w:type="dxa"/>
            <w:tcBorders>
              <w:top w:val="single" w:sz="4" w:space="0" w:color="000000"/>
              <w:left w:val="single" w:sz="4" w:space="0" w:color="000000"/>
              <w:bottom w:val="single" w:sz="4" w:space="0" w:color="000000"/>
              <w:right w:val="single" w:sz="4" w:space="0" w:color="000000"/>
            </w:tcBorders>
          </w:tcPr>
          <w:p w14:paraId="278E7025" w14:textId="77777777" w:rsidR="0025614E" w:rsidRDefault="0025614E">
            <w:pPr>
              <w:rPr>
                <w:rFonts w:ascii="Garamond" w:hAnsi="Garamond"/>
                <w:b/>
              </w:rPr>
            </w:pPr>
            <w:r>
              <w:rPr>
                <w:rFonts w:ascii="Garamond" w:hAnsi="Garamond"/>
                <w:b/>
              </w:rPr>
              <w:lastRenderedPageBreak/>
              <w:t>Operations:</w:t>
            </w:r>
          </w:p>
          <w:p w14:paraId="1E70FAC2" w14:textId="77777777" w:rsidR="0025614E" w:rsidRDefault="0025614E" w:rsidP="0025614E">
            <w:pPr>
              <w:numPr>
                <w:ilvl w:val="0"/>
                <w:numId w:val="34"/>
              </w:numPr>
              <w:tabs>
                <w:tab w:val="num" w:pos="162"/>
              </w:tabs>
              <w:ind w:left="0" w:firstLine="0"/>
              <w:rPr>
                <w:rFonts w:ascii="Garamond" w:hAnsi="Garamond"/>
              </w:rPr>
            </w:pPr>
            <w:r>
              <w:rPr>
                <w:rFonts w:ascii="Garamond" w:hAnsi="Garamond"/>
              </w:rPr>
              <w:t>FSGP (FY09)</w:t>
            </w:r>
          </w:p>
          <w:p w14:paraId="6F50AA9B" w14:textId="77777777" w:rsidR="0025614E" w:rsidRDefault="0025614E" w:rsidP="0025614E">
            <w:pPr>
              <w:numPr>
                <w:ilvl w:val="0"/>
                <w:numId w:val="34"/>
              </w:numPr>
              <w:tabs>
                <w:tab w:val="num" w:pos="162"/>
              </w:tabs>
              <w:ind w:left="0" w:firstLine="0"/>
              <w:rPr>
                <w:rFonts w:ascii="Garamond" w:hAnsi="Garamond"/>
              </w:rPr>
            </w:pPr>
            <w:r>
              <w:rPr>
                <w:rFonts w:ascii="Garamond" w:hAnsi="Garamond"/>
              </w:rPr>
              <w:t>IDF for Strengthening Capacity of the Accountancy Profession (FY11)</w:t>
            </w:r>
          </w:p>
          <w:p w14:paraId="04ADFD1D" w14:textId="77777777" w:rsidR="0025614E" w:rsidRDefault="0025614E" w:rsidP="0025614E">
            <w:pPr>
              <w:numPr>
                <w:ilvl w:val="0"/>
                <w:numId w:val="34"/>
              </w:numPr>
              <w:tabs>
                <w:tab w:val="num" w:pos="162"/>
              </w:tabs>
              <w:ind w:left="0" w:firstLine="0"/>
              <w:rPr>
                <w:rFonts w:ascii="Garamond" w:hAnsi="Garamond"/>
              </w:rPr>
            </w:pPr>
            <w:r>
              <w:rPr>
                <w:rFonts w:ascii="Garamond" w:hAnsi="Garamond"/>
              </w:rPr>
              <w:t>TA on Use of Country Systems (FY12)</w:t>
            </w:r>
          </w:p>
          <w:p w14:paraId="21D3FE4E" w14:textId="77777777" w:rsidR="0025614E" w:rsidRDefault="0025614E">
            <w:pPr>
              <w:rPr>
                <w:rFonts w:ascii="Garamond" w:hAnsi="Garamond"/>
              </w:rPr>
            </w:pPr>
          </w:p>
          <w:p w14:paraId="5CCFB5B9" w14:textId="77777777" w:rsidR="0025614E" w:rsidRDefault="0025614E">
            <w:pPr>
              <w:rPr>
                <w:rFonts w:ascii="Garamond" w:hAnsi="Garamond"/>
                <w:b/>
              </w:rPr>
            </w:pPr>
            <w:r>
              <w:rPr>
                <w:rFonts w:ascii="Garamond" w:hAnsi="Garamond"/>
                <w:b/>
              </w:rPr>
              <w:t>AAA:</w:t>
            </w:r>
          </w:p>
          <w:p w14:paraId="277B6DAC" w14:textId="77777777" w:rsidR="0025614E" w:rsidRDefault="0025614E" w:rsidP="0025614E">
            <w:pPr>
              <w:numPr>
                <w:ilvl w:val="0"/>
                <w:numId w:val="34"/>
              </w:numPr>
              <w:tabs>
                <w:tab w:val="num" w:pos="162"/>
              </w:tabs>
              <w:ind w:left="0" w:firstLine="0"/>
              <w:rPr>
                <w:rFonts w:ascii="Garamond" w:hAnsi="Garamond"/>
              </w:rPr>
            </w:pPr>
            <w:r>
              <w:rPr>
                <w:rFonts w:ascii="Garamond" w:hAnsi="Garamond"/>
              </w:rPr>
              <w:t>ROSC Follow-up (FY12)</w:t>
            </w:r>
          </w:p>
          <w:p w14:paraId="452B35CD" w14:textId="77777777" w:rsidR="0025614E" w:rsidRDefault="0025614E" w:rsidP="0025614E">
            <w:pPr>
              <w:numPr>
                <w:ilvl w:val="0"/>
                <w:numId w:val="34"/>
              </w:numPr>
              <w:tabs>
                <w:tab w:val="num" w:pos="162"/>
              </w:tabs>
              <w:ind w:left="0" w:firstLine="0"/>
              <w:rPr>
                <w:rFonts w:ascii="Garamond" w:hAnsi="Garamond"/>
              </w:rPr>
            </w:pPr>
            <w:r>
              <w:rPr>
                <w:rFonts w:ascii="Garamond" w:hAnsi="Garamond"/>
              </w:rPr>
              <w:t>CPAR (FY13)</w:t>
            </w:r>
          </w:p>
        </w:tc>
      </w:tr>
      <w:tr w:rsidR="0025614E" w14:paraId="616E6795"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3316652F" w14:textId="77777777" w:rsidR="0025614E" w:rsidRDefault="0025614E">
            <w:pPr>
              <w:pStyle w:val="BodyText0"/>
              <w:jc w:val="left"/>
              <w:rPr>
                <w:rFonts w:ascii="Garamond" w:hAnsi="Garamond"/>
                <w:b/>
              </w:rPr>
            </w:pPr>
            <w:r>
              <w:rPr>
                <w:rFonts w:ascii="Garamond" w:hAnsi="Garamond"/>
                <w:b/>
                <w:color w:val="auto"/>
              </w:rPr>
              <w:t>ISN FY12-13 Outcome II.8: Improved capacity to monitor the PRSP outcomes and deliver results</w:t>
            </w:r>
          </w:p>
        </w:tc>
        <w:tc>
          <w:tcPr>
            <w:tcW w:w="4140" w:type="dxa"/>
            <w:tcBorders>
              <w:top w:val="single" w:sz="4" w:space="0" w:color="000000"/>
              <w:left w:val="single" w:sz="4" w:space="0" w:color="000000"/>
              <w:bottom w:val="single" w:sz="4" w:space="0" w:color="000000"/>
              <w:right w:val="single" w:sz="4" w:space="0" w:color="000000"/>
            </w:tcBorders>
          </w:tcPr>
          <w:p w14:paraId="7D3478B0" w14:textId="77777777" w:rsidR="0025614E" w:rsidRDefault="0025614E">
            <w:pPr>
              <w:rPr>
                <w:rFonts w:ascii="Garamond" w:hAnsi="Garamond"/>
              </w:rPr>
            </w:pPr>
            <w:r>
              <w:rPr>
                <w:rFonts w:ascii="Garamond" w:hAnsi="Garamond"/>
                <w:b/>
              </w:rPr>
              <w:t>Achieved</w:t>
            </w:r>
          </w:p>
          <w:p w14:paraId="6106F61D" w14:textId="77777777" w:rsidR="0025614E" w:rsidRDefault="0025614E">
            <w:pPr>
              <w:rPr>
                <w:rFonts w:ascii="Garamond" w:hAnsi="Garamond"/>
              </w:rPr>
            </w:pPr>
          </w:p>
          <w:p w14:paraId="631CB23D" w14:textId="77777777" w:rsidR="0025614E" w:rsidRDefault="0025614E" w:rsidP="0025614E">
            <w:pPr>
              <w:numPr>
                <w:ilvl w:val="0"/>
                <w:numId w:val="32"/>
              </w:numPr>
              <w:tabs>
                <w:tab w:val="num" w:pos="144"/>
              </w:tabs>
              <w:ind w:left="0" w:firstLine="0"/>
              <w:rPr>
                <w:rFonts w:ascii="Garamond" w:eastAsiaTheme="majorEastAsia" w:hAnsi="Garamond" w:cstheme="majorBidi"/>
                <w:bCs/>
              </w:rPr>
            </w:pPr>
            <w:r>
              <w:rPr>
                <w:rFonts w:ascii="Garamond" w:eastAsiaTheme="majorEastAsia" w:hAnsi="Garamond" w:cstheme="majorBidi"/>
                <w:bCs/>
              </w:rPr>
              <w:t xml:space="preserve">Since 2012, trust-funded support for the modernization of the National Statistical System has led to the creation of a national statistical office, the </w:t>
            </w:r>
            <w:r>
              <w:rPr>
                <w:rFonts w:ascii="Garamond" w:eastAsiaTheme="majorEastAsia" w:hAnsi="Garamond" w:cstheme="majorBidi"/>
                <w:bCs/>
                <w:i/>
              </w:rPr>
              <w:t>Institut National de la Statistique et des Études Économiques et Démographiques (INSEED)</w:t>
            </w:r>
            <w:r>
              <w:rPr>
                <w:rFonts w:ascii="Garamond" w:eastAsiaTheme="majorEastAsia" w:hAnsi="Garamond" w:cstheme="majorBidi"/>
                <w:bCs/>
              </w:rPr>
              <w:t xml:space="preserve">. </w:t>
            </w:r>
          </w:p>
          <w:p w14:paraId="5EEECA17" w14:textId="77777777" w:rsidR="0025614E" w:rsidRDefault="0025614E" w:rsidP="0025614E">
            <w:pPr>
              <w:numPr>
                <w:ilvl w:val="0"/>
                <w:numId w:val="32"/>
              </w:numPr>
              <w:tabs>
                <w:tab w:val="num" w:pos="144"/>
              </w:tabs>
              <w:ind w:left="0" w:firstLine="0"/>
              <w:rPr>
                <w:rFonts w:ascii="Garamond" w:eastAsiaTheme="majorEastAsia" w:hAnsi="Garamond" w:cstheme="majorBidi"/>
                <w:bCs/>
              </w:rPr>
            </w:pPr>
            <w:r>
              <w:rPr>
                <w:rFonts w:ascii="Garamond" w:eastAsiaTheme="majorEastAsia" w:hAnsi="Garamond" w:cstheme="majorBidi"/>
                <w:bCs/>
              </w:rPr>
              <w:t>The grant has also supported institutional capacity building, improvements in the quality of data production and access to data through household surveys and production of socioeconomic indicators, production of national accounts data, analysis of population data, and dissemination of reports.</w:t>
            </w:r>
          </w:p>
        </w:tc>
        <w:tc>
          <w:tcPr>
            <w:tcW w:w="2700" w:type="dxa"/>
            <w:tcBorders>
              <w:top w:val="single" w:sz="4" w:space="0" w:color="000000"/>
              <w:left w:val="single" w:sz="4" w:space="0" w:color="000000"/>
              <w:bottom w:val="single" w:sz="4" w:space="0" w:color="000000"/>
              <w:right w:val="single" w:sz="4" w:space="0" w:color="000000"/>
            </w:tcBorders>
          </w:tcPr>
          <w:p w14:paraId="09CBBED5" w14:textId="77777777" w:rsidR="0025614E" w:rsidRDefault="0025614E">
            <w:pPr>
              <w:widowControl w:val="0"/>
              <w:autoSpaceDE w:val="0"/>
              <w:autoSpaceDN w:val="0"/>
              <w:adjustRightInd w:val="0"/>
              <w:rPr>
                <w:rFonts w:ascii="Garamond" w:eastAsia="Calibri" w:hAnsi="Garamond" w:cs="Times New Roman"/>
                <w:szCs w:val="24"/>
                <w:highlight w:val="yellow"/>
              </w:rPr>
            </w:pPr>
          </w:p>
        </w:tc>
        <w:tc>
          <w:tcPr>
            <w:tcW w:w="2700" w:type="dxa"/>
            <w:tcBorders>
              <w:top w:val="single" w:sz="4" w:space="0" w:color="000000"/>
              <w:left w:val="single" w:sz="4" w:space="0" w:color="000000"/>
              <w:bottom w:val="single" w:sz="4" w:space="0" w:color="000000"/>
              <w:right w:val="single" w:sz="4" w:space="0" w:color="000000"/>
            </w:tcBorders>
            <w:hideMark/>
          </w:tcPr>
          <w:p w14:paraId="6864A920" w14:textId="77777777" w:rsidR="0025614E" w:rsidRDefault="0025614E">
            <w:pPr>
              <w:rPr>
                <w:rFonts w:ascii="Garamond" w:hAnsi="Garamond"/>
                <w:b/>
              </w:rPr>
            </w:pPr>
            <w:r>
              <w:rPr>
                <w:rFonts w:ascii="Garamond" w:hAnsi="Garamond"/>
                <w:b/>
              </w:rPr>
              <w:t>Operations:</w:t>
            </w:r>
          </w:p>
          <w:p w14:paraId="78B90FDB" w14:textId="77777777" w:rsidR="0025614E" w:rsidRDefault="0025614E" w:rsidP="0025614E">
            <w:pPr>
              <w:numPr>
                <w:ilvl w:val="0"/>
                <w:numId w:val="34"/>
              </w:numPr>
              <w:tabs>
                <w:tab w:val="num" w:pos="162"/>
              </w:tabs>
              <w:ind w:left="0" w:firstLine="0"/>
              <w:rPr>
                <w:rFonts w:ascii="Garamond" w:hAnsi="Garamond"/>
              </w:rPr>
            </w:pPr>
            <w:r>
              <w:rPr>
                <w:rFonts w:ascii="Garamond" w:hAnsi="Garamond"/>
              </w:rPr>
              <w:t>IDF Grant (FY12) to strengthen monitoring capacity and practice in the public sector</w:t>
            </w:r>
          </w:p>
          <w:p w14:paraId="6EA23F97" w14:textId="77777777" w:rsidR="0025614E" w:rsidRDefault="0025614E" w:rsidP="0025614E">
            <w:pPr>
              <w:numPr>
                <w:ilvl w:val="0"/>
                <w:numId w:val="34"/>
              </w:numPr>
              <w:tabs>
                <w:tab w:val="num" w:pos="162"/>
              </w:tabs>
              <w:ind w:left="0" w:firstLine="0"/>
              <w:rPr>
                <w:rFonts w:ascii="Garamond" w:hAnsi="Garamond"/>
              </w:rPr>
            </w:pPr>
            <w:r>
              <w:rPr>
                <w:rFonts w:ascii="Garamond" w:hAnsi="Garamond"/>
              </w:rPr>
              <w:t>Trust Fund or Statistical Capacity Building III: Togo Support to NSDS Implementation (FY13)</w:t>
            </w:r>
          </w:p>
        </w:tc>
      </w:tr>
      <w:tr w:rsidR="0025614E" w14:paraId="3EED3C08"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6388B657" w14:textId="77777777" w:rsidR="0025614E" w:rsidRDefault="0025614E">
            <w:pPr>
              <w:pStyle w:val="BodyText0"/>
              <w:jc w:val="left"/>
              <w:rPr>
                <w:rFonts w:ascii="Garamond" w:hAnsi="Garamond"/>
                <w:b/>
                <w:color w:val="auto"/>
              </w:rPr>
            </w:pPr>
            <w:r>
              <w:rPr>
                <w:rFonts w:ascii="Garamond" w:hAnsi="Garamond"/>
                <w:b/>
                <w:color w:val="auto"/>
              </w:rPr>
              <w:t>ISN FY08-10 Outcome I.3: New cotton company is operating satisfactorily and cotton production has rebounded</w:t>
            </w:r>
          </w:p>
          <w:p w14:paraId="0EC80113" w14:textId="77777777" w:rsidR="0025614E" w:rsidRDefault="0025614E" w:rsidP="0025614E">
            <w:pPr>
              <w:numPr>
                <w:ilvl w:val="0"/>
                <w:numId w:val="30"/>
              </w:numPr>
              <w:tabs>
                <w:tab w:val="num" w:pos="180"/>
              </w:tabs>
              <w:ind w:left="0" w:firstLine="0"/>
              <w:rPr>
                <w:rFonts w:ascii="Garamond" w:hAnsi="Garamond"/>
              </w:rPr>
            </w:pPr>
            <w:r>
              <w:rPr>
                <w:rFonts w:ascii="Garamond" w:hAnsi="Garamond"/>
              </w:rPr>
              <w:t>Seed cotton production level has increased by 50%</w:t>
            </w:r>
          </w:p>
          <w:p w14:paraId="29DDE4BC" w14:textId="77777777" w:rsidR="0025614E" w:rsidRDefault="0025614E">
            <w:pPr>
              <w:rPr>
                <w:rFonts w:ascii="Garamond" w:hAnsi="Garamond"/>
              </w:rPr>
            </w:pPr>
            <w:r>
              <w:rPr>
                <w:rFonts w:ascii="Garamond" w:hAnsi="Garamond"/>
              </w:rPr>
              <w:lastRenderedPageBreak/>
              <w:t>Baseline: 48,000 tons (end of 2007-08 crop season)</w:t>
            </w:r>
          </w:p>
        </w:tc>
        <w:tc>
          <w:tcPr>
            <w:tcW w:w="4140" w:type="dxa"/>
            <w:tcBorders>
              <w:top w:val="single" w:sz="4" w:space="0" w:color="000000"/>
              <w:left w:val="single" w:sz="4" w:space="0" w:color="000000"/>
              <w:bottom w:val="single" w:sz="4" w:space="0" w:color="000000"/>
              <w:right w:val="single" w:sz="4" w:space="0" w:color="000000"/>
            </w:tcBorders>
          </w:tcPr>
          <w:p w14:paraId="409CC7EE" w14:textId="77777777" w:rsidR="0025614E" w:rsidRDefault="0025614E">
            <w:pPr>
              <w:rPr>
                <w:rFonts w:ascii="Garamond" w:hAnsi="Garamond"/>
              </w:rPr>
            </w:pPr>
            <w:r>
              <w:rPr>
                <w:rFonts w:ascii="Garamond" w:hAnsi="Garamond"/>
                <w:b/>
              </w:rPr>
              <w:lastRenderedPageBreak/>
              <w:t>Achieved</w:t>
            </w:r>
          </w:p>
          <w:p w14:paraId="59AEC1D0" w14:textId="77777777" w:rsidR="0025614E" w:rsidRDefault="0025614E">
            <w:pPr>
              <w:rPr>
                <w:rFonts w:ascii="Garamond" w:hAnsi="Garamond"/>
              </w:rPr>
            </w:pPr>
          </w:p>
          <w:p w14:paraId="204E25ED" w14:textId="77777777" w:rsidR="0025614E" w:rsidRDefault="0025614E">
            <w:pPr>
              <w:rPr>
                <w:rFonts w:ascii="Garamond" w:hAnsi="Garamond"/>
              </w:rPr>
            </w:pPr>
          </w:p>
          <w:p w14:paraId="7111B502" w14:textId="77777777" w:rsidR="0025614E" w:rsidRDefault="0025614E">
            <w:pPr>
              <w:rPr>
                <w:rFonts w:ascii="Garamond" w:hAnsi="Garamond"/>
              </w:rPr>
            </w:pPr>
          </w:p>
          <w:p w14:paraId="4F5A0B9B" w14:textId="77777777" w:rsidR="0025614E" w:rsidRDefault="0025614E" w:rsidP="0025614E">
            <w:pPr>
              <w:numPr>
                <w:ilvl w:val="0"/>
                <w:numId w:val="32"/>
              </w:numPr>
              <w:tabs>
                <w:tab w:val="num" w:pos="144"/>
              </w:tabs>
              <w:ind w:left="0" w:firstLine="0"/>
              <w:rPr>
                <w:rFonts w:ascii="Garamond" w:hAnsi="Garamond"/>
              </w:rPr>
            </w:pPr>
            <w:r>
              <w:rPr>
                <w:rFonts w:ascii="Garamond" w:hAnsi="Garamond"/>
              </w:rPr>
              <w:t>31,000 tons (2008-09 crop season), due in part to severe flooding</w:t>
            </w:r>
          </w:p>
          <w:p w14:paraId="4C7C1924" w14:textId="77777777" w:rsidR="0025614E" w:rsidRDefault="0025614E" w:rsidP="0025614E">
            <w:pPr>
              <w:numPr>
                <w:ilvl w:val="0"/>
                <w:numId w:val="32"/>
              </w:numPr>
              <w:tabs>
                <w:tab w:val="num" w:pos="144"/>
              </w:tabs>
              <w:ind w:left="0" w:firstLine="0"/>
              <w:rPr>
                <w:rFonts w:ascii="Garamond" w:hAnsi="Garamond"/>
              </w:rPr>
            </w:pPr>
            <w:r>
              <w:rPr>
                <w:rFonts w:ascii="Garamond" w:hAnsi="Garamond"/>
              </w:rPr>
              <w:t>28,000 tons (2009)</w:t>
            </w:r>
          </w:p>
          <w:p w14:paraId="4FDD6021" w14:textId="77777777" w:rsidR="0025614E" w:rsidRDefault="0025614E" w:rsidP="0025614E">
            <w:pPr>
              <w:numPr>
                <w:ilvl w:val="0"/>
                <w:numId w:val="32"/>
              </w:numPr>
              <w:tabs>
                <w:tab w:val="num" w:pos="144"/>
              </w:tabs>
              <w:ind w:left="0" w:firstLine="0"/>
              <w:rPr>
                <w:rFonts w:ascii="Garamond" w:hAnsi="Garamond"/>
              </w:rPr>
            </w:pPr>
            <w:r>
              <w:rPr>
                <w:rFonts w:ascii="Garamond" w:hAnsi="Garamond"/>
              </w:rPr>
              <w:lastRenderedPageBreak/>
              <w:t>79,510 tons (2011)</w:t>
            </w:r>
          </w:p>
          <w:p w14:paraId="7ABDBAF6" w14:textId="77777777" w:rsidR="0025614E" w:rsidRDefault="0025614E" w:rsidP="0025614E">
            <w:pPr>
              <w:numPr>
                <w:ilvl w:val="0"/>
                <w:numId w:val="32"/>
              </w:numPr>
              <w:tabs>
                <w:tab w:val="num" w:pos="144"/>
              </w:tabs>
              <w:ind w:left="0" w:firstLine="0"/>
              <w:rPr>
                <w:rFonts w:ascii="Garamond" w:hAnsi="Garamond"/>
              </w:rPr>
            </w:pPr>
            <w:r>
              <w:rPr>
                <w:rFonts w:ascii="Garamond" w:hAnsi="Garamond"/>
              </w:rPr>
              <w:t>80,594 tons (2012)</w:t>
            </w:r>
          </w:p>
          <w:p w14:paraId="5BBA5B90" w14:textId="77777777" w:rsidR="0025614E" w:rsidRDefault="0025614E" w:rsidP="0025614E">
            <w:pPr>
              <w:numPr>
                <w:ilvl w:val="0"/>
                <w:numId w:val="32"/>
              </w:numPr>
              <w:tabs>
                <w:tab w:val="num" w:pos="144"/>
              </w:tabs>
              <w:ind w:left="0" w:firstLine="0"/>
              <w:rPr>
                <w:rFonts w:ascii="Garamond" w:hAnsi="Garamond"/>
              </w:rPr>
            </w:pPr>
            <w:r>
              <w:rPr>
                <w:rFonts w:ascii="Garamond" w:hAnsi="Garamond"/>
              </w:rPr>
              <w:t>77,850 tons (2013)</w:t>
            </w:r>
          </w:p>
          <w:p w14:paraId="1757883E" w14:textId="77777777" w:rsidR="0025614E" w:rsidRDefault="0025614E" w:rsidP="0025614E">
            <w:pPr>
              <w:numPr>
                <w:ilvl w:val="0"/>
                <w:numId w:val="32"/>
              </w:numPr>
              <w:tabs>
                <w:tab w:val="num" w:pos="144"/>
              </w:tabs>
              <w:ind w:left="0" w:firstLine="0"/>
              <w:rPr>
                <w:rFonts w:ascii="Garamond" w:hAnsi="Garamond"/>
              </w:rPr>
            </w:pPr>
            <w:r>
              <w:rPr>
                <w:rFonts w:ascii="Garamond" w:hAnsi="Garamond"/>
              </w:rPr>
              <w:t>114,800 tons (2014)</w:t>
            </w:r>
          </w:p>
        </w:tc>
        <w:tc>
          <w:tcPr>
            <w:tcW w:w="2700" w:type="dxa"/>
            <w:tcBorders>
              <w:top w:val="single" w:sz="4" w:space="0" w:color="000000"/>
              <w:left w:val="single" w:sz="4" w:space="0" w:color="000000"/>
              <w:bottom w:val="single" w:sz="4" w:space="0" w:color="000000"/>
              <w:right w:val="single" w:sz="4" w:space="0" w:color="000000"/>
            </w:tcBorders>
            <w:hideMark/>
          </w:tcPr>
          <w:p w14:paraId="14127FB4"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lastRenderedPageBreak/>
              <w:t xml:space="preserve">New SOTOCO (NSCT) created with strong farmer participation in its capital and management </w:t>
            </w:r>
            <w:r>
              <w:rPr>
                <w:rFonts w:ascii="Garamond" w:hAnsi="Garamond"/>
                <w:b/>
              </w:rPr>
              <w:t xml:space="preserve">(achieved; NSCT created by decree in 2009; farmers received training to strengthen </w:t>
            </w:r>
            <w:r>
              <w:rPr>
                <w:rFonts w:ascii="Garamond" w:hAnsi="Garamond"/>
                <w:b/>
              </w:rPr>
              <w:lastRenderedPageBreak/>
              <w:t>their representational abilities, and their umbrella organization, FNGPC, participates in its capital, at 40%, compared to the state’s 60%)</w:t>
            </w:r>
          </w:p>
          <w:p w14:paraId="24B9D351" w14:textId="77777777" w:rsidR="0025614E" w:rsidRDefault="0025614E" w:rsidP="0025614E">
            <w:pPr>
              <w:numPr>
                <w:ilvl w:val="0"/>
                <w:numId w:val="34"/>
              </w:numPr>
              <w:tabs>
                <w:tab w:val="num" w:pos="162"/>
              </w:tabs>
              <w:ind w:left="0" w:firstLine="0"/>
              <w:rPr>
                <w:rFonts w:ascii="Garamond" w:hAnsi="Garamond"/>
              </w:rPr>
            </w:pPr>
            <w:r>
              <w:rPr>
                <w:rFonts w:ascii="Garamond" w:hAnsi="Garamond"/>
              </w:rPr>
              <w:t>Management controls and strategic partner in place</w:t>
            </w:r>
            <w:r>
              <w:rPr>
                <w:rFonts w:ascii="Garamond" w:hAnsi="Garamond"/>
                <w:b/>
              </w:rPr>
              <w:t xml:space="preserve"> (status unknown)</w:t>
            </w:r>
          </w:p>
        </w:tc>
        <w:tc>
          <w:tcPr>
            <w:tcW w:w="2700" w:type="dxa"/>
            <w:tcBorders>
              <w:top w:val="single" w:sz="4" w:space="0" w:color="000000"/>
              <w:left w:val="single" w:sz="4" w:space="0" w:color="000000"/>
              <w:bottom w:val="single" w:sz="4" w:space="0" w:color="000000"/>
              <w:right w:val="single" w:sz="4" w:space="0" w:color="000000"/>
            </w:tcBorders>
            <w:hideMark/>
          </w:tcPr>
          <w:p w14:paraId="07EC8360" w14:textId="77777777" w:rsidR="0025614E" w:rsidRDefault="0025614E">
            <w:pPr>
              <w:rPr>
                <w:rFonts w:ascii="Garamond" w:hAnsi="Garamond"/>
                <w:b/>
              </w:rPr>
            </w:pPr>
            <w:r>
              <w:rPr>
                <w:rFonts w:ascii="Garamond" w:hAnsi="Garamond"/>
                <w:b/>
              </w:rPr>
              <w:lastRenderedPageBreak/>
              <w:t>Operations:</w:t>
            </w:r>
          </w:p>
          <w:p w14:paraId="1778AF27" w14:textId="77777777" w:rsidR="0025614E" w:rsidRDefault="0025614E" w:rsidP="0025614E">
            <w:pPr>
              <w:numPr>
                <w:ilvl w:val="0"/>
                <w:numId w:val="34"/>
              </w:numPr>
              <w:tabs>
                <w:tab w:val="num" w:pos="162"/>
              </w:tabs>
              <w:ind w:left="0" w:firstLine="0"/>
              <w:rPr>
                <w:rFonts w:ascii="Garamond" w:hAnsi="Garamond"/>
              </w:rPr>
            </w:pPr>
            <w:r>
              <w:rPr>
                <w:rFonts w:ascii="Garamond" w:hAnsi="Garamond"/>
              </w:rPr>
              <w:t>ERIREG (FY08)</w:t>
            </w:r>
          </w:p>
          <w:p w14:paraId="0BE42444" w14:textId="77777777" w:rsidR="0025614E" w:rsidRDefault="0025614E" w:rsidP="0025614E">
            <w:pPr>
              <w:numPr>
                <w:ilvl w:val="0"/>
                <w:numId w:val="34"/>
              </w:numPr>
              <w:tabs>
                <w:tab w:val="num" w:pos="162"/>
              </w:tabs>
              <w:ind w:left="0" w:firstLine="0"/>
              <w:rPr>
                <w:rFonts w:ascii="Garamond" w:hAnsi="Garamond"/>
              </w:rPr>
            </w:pPr>
            <w:r>
              <w:rPr>
                <w:rFonts w:ascii="Garamond" w:hAnsi="Garamond"/>
              </w:rPr>
              <w:t>DPGs: ERGG2 (FY09); ERGG3 (FY10)</w:t>
            </w:r>
          </w:p>
          <w:p w14:paraId="4A5007EA" w14:textId="77777777" w:rsidR="0025614E" w:rsidRDefault="0025614E">
            <w:pPr>
              <w:rPr>
                <w:rFonts w:ascii="Garamond" w:hAnsi="Garamond"/>
                <w:b/>
              </w:rPr>
            </w:pPr>
            <w:r>
              <w:rPr>
                <w:rFonts w:ascii="Garamond" w:hAnsi="Garamond"/>
                <w:b/>
              </w:rPr>
              <w:t>AAA:</w:t>
            </w:r>
          </w:p>
          <w:p w14:paraId="7B4C7339" w14:textId="77777777" w:rsidR="0025614E" w:rsidRDefault="0025614E" w:rsidP="0025614E">
            <w:pPr>
              <w:numPr>
                <w:ilvl w:val="0"/>
                <w:numId w:val="34"/>
              </w:numPr>
              <w:tabs>
                <w:tab w:val="num" w:pos="162"/>
              </w:tabs>
              <w:ind w:left="0" w:firstLine="0"/>
              <w:rPr>
                <w:rFonts w:ascii="Garamond" w:eastAsiaTheme="majorEastAsia" w:hAnsi="Garamond" w:cstheme="majorBidi"/>
                <w:b/>
                <w:bCs/>
                <w:color w:val="A9A57C" w:themeColor="accent1"/>
                <w:szCs w:val="26"/>
              </w:rPr>
            </w:pPr>
            <w:r>
              <w:rPr>
                <w:rFonts w:ascii="Garamond" w:hAnsi="Garamond"/>
              </w:rPr>
              <w:lastRenderedPageBreak/>
              <w:t>Development Policy Needs Review (DPNR, FY08)</w:t>
            </w:r>
          </w:p>
        </w:tc>
      </w:tr>
      <w:tr w:rsidR="0025614E" w14:paraId="45D01F24" w14:textId="77777777" w:rsidTr="0025614E">
        <w:tc>
          <w:tcPr>
            <w:tcW w:w="3618" w:type="dxa"/>
            <w:tcBorders>
              <w:top w:val="single" w:sz="4" w:space="0" w:color="000000"/>
              <w:left w:val="single" w:sz="4" w:space="0" w:color="000000"/>
              <w:bottom w:val="single" w:sz="4" w:space="0" w:color="000000"/>
              <w:right w:val="single" w:sz="4" w:space="0" w:color="000000"/>
            </w:tcBorders>
          </w:tcPr>
          <w:p w14:paraId="2E24CF28" w14:textId="77777777" w:rsidR="0025614E" w:rsidRDefault="0025614E">
            <w:pPr>
              <w:pStyle w:val="BodyText0"/>
              <w:jc w:val="left"/>
              <w:rPr>
                <w:rFonts w:ascii="Garamond" w:hAnsi="Garamond"/>
                <w:b/>
                <w:color w:val="auto"/>
              </w:rPr>
            </w:pPr>
            <w:r>
              <w:rPr>
                <w:rFonts w:ascii="Garamond" w:hAnsi="Garamond"/>
                <w:b/>
                <w:color w:val="auto"/>
              </w:rPr>
              <w:lastRenderedPageBreak/>
              <w:t>ISN FY12-13 Outcome II.1: Management of NSCT is enhanced</w:t>
            </w:r>
          </w:p>
          <w:p w14:paraId="552BF99C" w14:textId="77777777" w:rsidR="0025614E" w:rsidRDefault="0025614E" w:rsidP="0025614E">
            <w:pPr>
              <w:numPr>
                <w:ilvl w:val="0"/>
                <w:numId w:val="30"/>
              </w:numPr>
              <w:tabs>
                <w:tab w:val="num" w:pos="180"/>
              </w:tabs>
              <w:ind w:left="0" w:firstLine="0"/>
              <w:rPr>
                <w:rFonts w:ascii="Garamond" w:hAnsi="Garamond"/>
              </w:rPr>
            </w:pPr>
            <w:r>
              <w:rPr>
                <w:rFonts w:ascii="Garamond" w:hAnsi="Garamond"/>
              </w:rPr>
              <w:t>Reduction in NSCT’s costs</w:t>
            </w:r>
          </w:p>
          <w:p w14:paraId="1313CBD6" w14:textId="44CE0265" w:rsidR="0025614E" w:rsidRDefault="0025614E">
            <w:pPr>
              <w:pStyle w:val="BodyText0"/>
              <w:rPr>
                <w:rFonts w:ascii="Garamond" w:hAnsi="Garamond"/>
                <w:b/>
                <w:color w:val="auto"/>
              </w:rPr>
            </w:pPr>
            <w:r>
              <w:rPr>
                <w:rFonts w:ascii="Garamond" w:hAnsi="Garamond"/>
                <w:color w:val="auto"/>
              </w:rPr>
              <w:t xml:space="preserve">Baseline: </w:t>
            </w:r>
            <w:r w:rsidR="003A6CA1">
              <w:rPr>
                <w:rFonts w:ascii="Garamond" w:hAnsi="Garamond"/>
                <w:color w:val="auto"/>
              </w:rPr>
              <w:t>FCFA</w:t>
            </w:r>
            <w:r w:rsidR="002130CB">
              <w:rPr>
                <w:rFonts w:ascii="Garamond" w:hAnsi="Garamond"/>
                <w:color w:val="auto"/>
              </w:rPr>
              <w:t xml:space="preserve"> </w:t>
            </w:r>
            <w:r>
              <w:rPr>
                <w:rFonts w:ascii="Garamond" w:hAnsi="Garamond"/>
                <w:color w:val="auto"/>
              </w:rPr>
              <w:t xml:space="preserve">415/ton (2010-11 season) </w:t>
            </w:r>
          </w:p>
          <w:p w14:paraId="797F9560" w14:textId="77777777" w:rsidR="0025614E" w:rsidRDefault="0025614E">
            <w:pPr>
              <w:pStyle w:val="BodyText0"/>
              <w:rPr>
                <w:rFonts w:ascii="Garamond" w:hAnsi="Garamond"/>
                <w:b/>
                <w:color w:val="auto"/>
              </w:rPr>
            </w:pPr>
            <w:r>
              <w:rPr>
                <w:rFonts w:ascii="Garamond" w:hAnsi="Garamond"/>
                <w:color w:val="auto"/>
              </w:rPr>
              <w:t>Target: 5% reduction (2011-12 season)</w:t>
            </w:r>
          </w:p>
          <w:p w14:paraId="2E926C67" w14:textId="77777777" w:rsidR="0025614E" w:rsidRDefault="0025614E">
            <w:pPr>
              <w:pStyle w:val="BodyText0"/>
              <w:rPr>
                <w:rFonts w:ascii="Garamond" w:hAnsi="Garamond"/>
                <w:b/>
                <w:color w:val="auto"/>
              </w:rPr>
            </w:pPr>
          </w:p>
          <w:p w14:paraId="42556DE1" w14:textId="37FE64CB" w:rsidR="0025614E" w:rsidRDefault="0025614E" w:rsidP="003A6CA1">
            <w:pPr>
              <w:pStyle w:val="BodyText0"/>
              <w:rPr>
                <w:rFonts w:ascii="Garamond" w:hAnsi="Garamond"/>
                <w:b/>
                <w:i/>
                <w:color w:val="auto"/>
              </w:rPr>
            </w:pPr>
            <w:r>
              <w:rPr>
                <w:rFonts w:ascii="Garamond" w:hAnsi="Garamond"/>
                <w:i/>
                <w:color w:val="auto"/>
              </w:rPr>
              <w:t xml:space="preserve">Note: The baseline figure was not specified in the ISN for FY12-13. The ICR for the ERGG-4 operation, prepared in June 2012, indicates that a 2011 study had estimated cotton production costs to be </w:t>
            </w:r>
            <w:r w:rsidR="003A6CA1">
              <w:rPr>
                <w:rFonts w:ascii="Garamond" w:hAnsi="Garamond"/>
                <w:i/>
                <w:color w:val="auto"/>
              </w:rPr>
              <w:t xml:space="preserve">FCFA </w:t>
            </w:r>
            <w:r>
              <w:rPr>
                <w:rFonts w:ascii="Garamond" w:hAnsi="Garamond"/>
                <w:i/>
                <w:color w:val="auto"/>
              </w:rPr>
              <w:t xml:space="preserve">415/ton in 2010-11 as compared to </w:t>
            </w:r>
            <w:r w:rsidR="003A6CA1">
              <w:rPr>
                <w:rFonts w:ascii="Garamond" w:hAnsi="Garamond"/>
                <w:i/>
                <w:color w:val="auto"/>
              </w:rPr>
              <w:t xml:space="preserve">FCFA </w:t>
            </w:r>
            <w:r>
              <w:rPr>
                <w:rFonts w:ascii="Garamond" w:hAnsi="Garamond"/>
                <w:i/>
                <w:color w:val="auto"/>
              </w:rPr>
              <w:t xml:space="preserve">502/ton in 2009-10. </w:t>
            </w:r>
          </w:p>
        </w:tc>
        <w:tc>
          <w:tcPr>
            <w:tcW w:w="4140" w:type="dxa"/>
            <w:tcBorders>
              <w:top w:val="single" w:sz="4" w:space="0" w:color="000000"/>
              <w:left w:val="single" w:sz="4" w:space="0" w:color="000000"/>
              <w:bottom w:val="single" w:sz="4" w:space="0" w:color="000000"/>
              <w:right w:val="single" w:sz="4" w:space="0" w:color="000000"/>
            </w:tcBorders>
          </w:tcPr>
          <w:p w14:paraId="62652EFF" w14:textId="77777777" w:rsidR="0025614E" w:rsidRDefault="0025614E">
            <w:pPr>
              <w:rPr>
                <w:rFonts w:ascii="Garamond" w:hAnsi="Garamond"/>
              </w:rPr>
            </w:pPr>
            <w:r>
              <w:rPr>
                <w:rFonts w:ascii="Garamond" w:hAnsi="Garamond"/>
                <w:b/>
              </w:rPr>
              <w:t>Achieved</w:t>
            </w:r>
          </w:p>
          <w:p w14:paraId="5EC8D9CE" w14:textId="77777777" w:rsidR="0025614E" w:rsidRDefault="0025614E">
            <w:pPr>
              <w:rPr>
                <w:rFonts w:ascii="Garamond" w:hAnsi="Garamond"/>
              </w:rPr>
            </w:pPr>
          </w:p>
          <w:p w14:paraId="5A58A6A0" w14:textId="77777777" w:rsidR="0025614E" w:rsidRDefault="0025614E" w:rsidP="0025614E">
            <w:pPr>
              <w:numPr>
                <w:ilvl w:val="0"/>
                <w:numId w:val="32"/>
              </w:numPr>
              <w:tabs>
                <w:tab w:val="num" w:pos="144"/>
              </w:tabs>
              <w:ind w:left="0" w:firstLine="0"/>
              <w:rPr>
                <w:rFonts w:ascii="Garamond" w:hAnsi="Garamond"/>
              </w:rPr>
            </w:pPr>
            <w:r>
              <w:rPr>
                <w:rFonts w:ascii="Garamond" w:hAnsi="Garamond"/>
              </w:rPr>
              <w:t>Unit costs reduced by 17% between 2009-10 and 2010-11 (status since 2011 unknown)</w:t>
            </w:r>
          </w:p>
        </w:tc>
        <w:tc>
          <w:tcPr>
            <w:tcW w:w="2700" w:type="dxa"/>
            <w:tcBorders>
              <w:top w:val="single" w:sz="4" w:space="0" w:color="000000"/>
              <w:left w:val="single" w:sz="4" w:space="0" w:color="000000"/>
              <w:bottom w:val="single" w:sz="4" w:space="0" w:color="000000"/>
              <w:right w:val="single" w:sz="4" w:space="0" w:color="000000"/>
            </w:tcBorders>
            <w:hideMark/>
          </w:tcPr>
          <w:p w14:paraId="15FD2C75"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t xml:space="preserve">Adopt the terms of reference of the consultant and initiate the study on private sector participation in the NSCT </w:t>
            </w:r>
            <w:r>
              <w:rPr>
                <w:rFonts w:ascii="Garamond" w:hAnsi="Garamond"/>
                <w:b/>
              </w:rPr>
              <w:t>(achieved; after discussions with government, the option of a study on private sector participation was dropped, and terms of reference reoriented toward preparation of a strategic plan for the cotton sector validated in June 2013)</w:t>
            </w:r>
          </w:p>
        </w:tc>
        <w:tc>
          <w:tcPr>
            <w:tcW w:w="2700" w:type="dxa"/>
            <w:tcBorders>
              <w:top w:val="single" w:sz="4" w:space="0" w:color="000000"/>
              <w:left w:val="single" w:sz="4" w:space="0" w:color="000000"/>
              <w:bottom w:val="single" w:sz="4" w:space="0" w:color="000000"/>
              <w:right w:val="single" w:sz="4" w:space="0" w:color="000000"/>
            </w:tcBorders>
            <w:hideMark/>
          </w:tcPr>
          <w:p w14:paraId="2C9F404C" w14:textId="77777777" w:rsidR="0025614E" w:rsidRDefault="0025614E">
            <w:pPr>
              <w:rPr>
                <w:rFonts w:ascii="Garamond" w:hAnsi="Garamond"/>
                <w:b/>
              </w:rPr>
            </w:pPr>
            <w:r>
              <w:rPr>
                <w:rFonts w:ascii="Garamond" w:hAnsi="Garamond"/>
                <w:b/>
              </w:rPr>
              <w:t>Operations:</w:t>
            </w:r>
          </w:p>
          <w:p w14:paraId="74727B7F" w14:textId="77777777" w:rsidR="0025614E" w:rsidRDefault="0025614E" w:rsidP="0025614E">
            <w:pPr>
              <w:numPr>
                <w:ilvl w:val="0"/>
                <w:numId w:val="34"/>
              </w:numPr>
              <w:tabs>
                <w:tab w:val="num" w:pos="162"/>
              </w:tabs>
              <w:ind w:left="0" w:firstLine="0"/>
              <w:rPr>
                <w:rFonts w:ascii="Garamond" w:hAnsi="Garamond"/>
              </w:rPr>
            </w:pPr>
            <w:r>
              <w:rPr>
                <w:rFonts w:ascii="Garamond" w:hAnsi="Garamond"/>
              </w:rPr>
              <w:t>ERGG4 (FY11)</w:t>
            </w:r>
          </w:p>
          <w:p w14:paraId="66F8B9CF" w14:textId="77777777" w:rsidR="0025614E" w:rsidRDefault="0025614E" w:rsidP="0025614E">
            <w:pPr>
              <w:numPr>
                <w:ilvl w:val="0"/>
                <w:numId w:val="34"/>
              </w:numPr>
              <w:tabs>
                <w:tab w:val="num" w:pos="162"/>
              </w:tabs>
              <w:ind w:left="0" w:firstLine="0"/>
              <w:rPr>
                <w:rFonts w:ascii="Garamond" w:hAnsi="Garamond"/>
              </w:rPr>
            </w:pPr>
            <w:r>
              <w:rPr>
                <w:rFonts w:ascii="Garamond" w:hAnsi="Garamond"/>
              </w:rPr>
              <w:t>DPOs: Economic Recovery and Governance Credit (ERGC) 5 (FY12); ERGC6 (FY13)</w:t>
            </w:r>
          </w:p>
          <w:p w14:paraId="6EFD3202" w14:textId="77777777" w:rsidR="0025614E" w:rsidRDefault="0025614E">
            <w:pPr>
              <w:rPr>
                <w:rFonts w:ascii="Garamond" w:hAnsi="Garamond"/>
                <w:b/>
              </w:rPr>
            </w:pPr>
            <w:r>
              <w:rPr>
                <w:rFonts w:ascii="Garamond" w:hAnsi="Garamond"/>
                <w:b/>
              </w:rPr>
              <w:t>AAA:</w:t>
            </w:r>
          </w:p>
          <w:p w14:paraId="02746194" w14:textId="77777777" w:rsidR="0025614E" w:rsidRDefault="0025614E" w:rsidP="0025614E">
            <w:pPr>
              <w:numPr>
                <w:ilvl w:val="0"/>
                <w:numId w:val="34"/>
              </w:numPr>
              <w:tabs>
                <w:tab w:val="num" w:pos="162"/>
              </w:tabs>
              <w:ind w:left="0" w:firstLine="0"/>
              <w:rPr>
                <w:rFonts w:ascii="Garamond" w:eastAsiaTheme="majorEastAsia" w:hAnsi="Garamond" w:cstheme="majorBidi"/>
                <w:b/>
                <w:bCs/>
                <w:color w:val="A9A57C" w:themeColor="accent1"/>
                <w:szCs w:val="26"/>
              </w:rPr>
            </w:pPr>
            <w:r>
              <w:rPr>
                <w:rFonts w:ascii="Garamond" w:hAnsi="Garamond"/>
              </w:rPr>
              <w:t>Public Expenditure Review (PER, FY13)</w:t>
            </w:r>
          </w:p>
        </w:tc>
      </w:tr>
      <w:tr w:rsidR="0025614E" w14:paraId="447BFB0D"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5C4780A5" w14:textId="77777777" w:rsidR="0025614E" w:rsidRDefault="0025614E">
            <w:pPr>
              <w:pStyle w:val="BodyText0"/>
              <w:jc w:val="left"/>
              <w:rPr>
                <w:rFonts w:ascii="Garamond" w:hAnsi="Garamond"/>
                <w:b/>
                <w:color w:val="auto"/>
              </w:rPr>
            </w:pPr>
            <w:r>
              <w:rPr>
                <w:rFonts w:ascii="Garamond" w:hAnsi="Garamond"/>
                <w:b/>
                <w:color w:val="auto"/>
              </w:rPr>
              <w:t>ISN FY08-10 Outcome I.4: Phosphate sector strategic development plan is adopted, and phosphate production has increased</w:t>
            </w:r>
          </w:p>
          <w:p w14:paraId="3E1F1F3F" w14:textId="77777777" w:rsidR="0025614E" w:rsidRDefault="0025614E" w:rsidP="0025614E">
            <w:pPr>
              <w:numPr>
                <w:ilvl w:val="0"/>
                <w:numId w:val="30"/>
              </w:numPr>
              <w:tabs>
                <w:tab w:val="num" w:pos="180"/>
              </w:tabs>
              <w:ind w:left="0" w:firstLine="0"/>
              <w:rPr>
                <w:rFonts w:ascii="Garamond" w:hAnsi="Garamond"/>
              </w:rPr>
            </w:pPr>
            <w:r>
              <w:rPr>
                <w:rFonts w:ascii="Garamond" w:hAnsi="Garamond"/>
              </w:rPr>
              <w:t>Phosphate production level has increased</w:t>
            </w:r>
          </w:p>
          <w:p w14:paraId="4AFE7D8A" w14:textId="77777777" w:rsidR="0025614E" w:rsidRDefault="0025614E">
            <w:pPr>
              <w:rPr>
                <w:rFonts w:ascii="Garamond" w:hAnsi="Garamond"/>
              </w:rPr>
            </w:pPr>
            <w:r>
              <w:rPr>
                <w:rFonts w:ascii="Garamond" w:hAnsi="Garamond"/>
              </w:rPr>
              <w:t>Baseline: 150,000 tons (first quarter of 2008)</w:t>
            </w:r>
          </w:p>
        </w:tc>
        <w:tc>
          <w:tcPr>
            <w:tcW w:w="4140" w:type="dxa"/>
            <w:tcBorders>
              <w:top w:val="single" w:sz="4" w:space="0" w:color="000000"/>
              <w:left w:val="single" w:sz="4" w:space="0" w:color="000000"/>
              <w:bottom w:val="single" w:sz="4" w:space="0" w:color="000000"/>
              <w:right w:val="single" w:sz="4" w:space="0" w:color="000000"/>
            </w:tcBorders>
          </w:tcPr>
          <w:p w14:paraId="2023062E" w14:textId="77777777" w:rsidR="0025614E" w:rsidRDefault="0025614E">
            <w:pPr>
              <w:rPr>
                <w:rFonts w:ascii="Garamond" w:hAnsi="Garamond"/>
              </w:rPr>
            </w:pPr>
            <w:r>
              <w:rPr>
                <w:rFonts w:ascii="Garamond" w:hAnsi="Garamond"/>
                <w:b/>
              </w:rPr>
              <w:t>Achieved</w:t>
            </w:r>
          </w:p>
          <w:p w14:paraId="7AB0CD87" w14:textId="77777777" w:rsidR="0025614E" w:rsidRDefault="0025614E">
            <w:pPr>
              <w:rPr>
                <w:rFonts w:ascii="Garamond" w:hAnsi="Garamond"/>
              </w:rPr>
            </w:pPr>
          </w:p>
          <w:p w14:paraId="6BC9A46F" w14:textId="77777777" w:rsidR="0025614E" w:rsidRDefault="0025614E">
            <w:pPr>
              <w:rPr>
                <w:rFonts w:ascii="Garamond" w:hAnsi="Garamond"/>
              </w:rPr>
            </w:pPr>
          </w:p>
          <w:p w14:paraId="31B621D9" w14:textId="77777777" w:rsidR="0025614E" w:rsidRDefault="0025614E">
            <w:pPr>
              <w:rPr>
                <w:rFonts w:ascii="Garamond" w:hAnsi="Garamond"/>
              </w:rPr>
            </w:pPr>
          </w:p>
          <w:p w14:paraId="333D4E7C" w14:textId="77777777" w:rsidR="0025614E" w:rsidRDefault="0025614E" w:rsidP="0025614E">
            <w:pPr>
              <w:numPr>
                <w:ilvl w:val="0"/>
                <w:numId w:val="32"/>
              </w:numPr>
              <w:tabs>
                <w:tab w:val="num" w:pos="144"/>
              </w:tabs>
              <w:ind w:left="0" w:firstLine="0"/>
              <w:rPr>
                <w:rFonts w:ascii="Garamond" w:hAnsi="Garamond"/>
              </w:rPr>
            </w:pPr>
            <w:r>
              <w:rPr>
                <w:rFonts w:ascii="Garamond" w:hAnsi="Garamond"/>
              </w:rPr>
              <w:t>725,547 tons (2009)</w:t>
            </w:r>
          </w:p>
        </w:tc>
        <w:tc>
          <w:tcPr>
            <w:tcW w:w="2700" w:type="dxa"/>
            <w:tcBorders>
              <w:top w:val="single" w:sz="4" w:space="0" w:color="000000"/>
              <w:left w:val="single" w:sz="4" w:space="0" w:color="000000"/>
              <w:bottom w:val="single" w:sz="4" w:space="0" w:color="000000"/>
              <w:right w:val="single" w:sz="4" w:space="0" w:color="000000"/>
            </w:tcBorders>
            <w:hideMark/>
          </w:tcPr>
          <w:p w14:paraId="51F8BDEB"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t>The company, SNPT, is adequately staffed, successive annual business plans are adopted, and installation of new equipment has commenced (</w:t>
            </w:r>
            <w:r>
              <w:rPr>
                <w:rFonts w:ascii="Garamond" w:hAnsi="Garamond"/>
                <w:b/>
              </w:rPr>
              <w:t>achieved in 2011</w:t>
            </w:r>
            <w:r>
              <w:rPr>
                <w:rFonts w:ascii="Garamond" w:hAnsi="Garamond"/>
              </w:rPr>
              <w:t>)</w:t>
            </w:r>
          </w:p>
        </w:tc>
        <w:tc>
          <w:tcPr>
            <w:tcW w:w="2700" w:type="dxa"/>
            <w:tcBorders>
              <w:top w:val="single" w:sz="4" w:space="0" w:color="000000"/>
              <w:left w:val="single" w:sz="4" w:space="0" w:color="000000"/>
              <w:bottom w:val="single" w:sz="4" w:space="0" w:color="000000"/>
              <w:right w:val="single" w:sz="4" w:space="0" w:color="000000"/>
            </w:tcBorders>
            <w:hideMark/>
          </w:tcPr>
          <w:p w14:paraId="4E9AB62A" w14:textId="77777777" w:rsidR="0025614E" w:rsidRDefault="0025614E">
            <w:pPr>
              <w:rPr>
                <w:rFonts w:ascii="Garamond" w:hAnsi="Garamond"/>
                <w:b/>
              </w:rPr>
            </w:pPr>
            <w:r>
              <w:rPr>
                <w:rFonts w:ascii="Garamond" w:hAnsi="Garamond"/>
                <w:b/>
              </w:rPr>
              <w:t>Operations:</w:t>
            </w:r>
          </w:p>
          <w:p w14:paraId="204B4246" w14:textId="77777777" w:rsidR="0025614E" w:rsidRDefault="0025614E" w:rsidP="0025614E">
            <w:pPr>
              <w:numPr>
                <w:ilvl w:val="0"/>
                <w:numId w:val="34"/>
              </w:numPr>
              <w:tabs>
                <w:tab w:val="num" w:pos="162"/>
              </w:tabs>
              <w:ind w:left="0" w:firstLine="0"/>
              <w:rPr>
                <w:rFonts w:ascii="Garamond" w:hAnsi="Garamond"/>
              </w:rPr>
            </w:pPr>
            <w:r>
              <w:rPr>
                <w:rFonts w:ascii="Garamond" w:hAnsi="Garamond"/>
              </w:rPr>
              <w:t>ERIREG (FY08)</w:t>
            </w:r>
          </w:p>
          <w:p w14:paraId="023A492E" w14:textId="77777777" w:rsidR="0025614E" w:rsidRDefault="0025614E">
            <w:pPr>
              <w:rPr>
                <w:rFonts w:ascii="Garamond" w:hAnsi="Garamond"/>
                <w:b/>
              </w:rPr>
            </w:pPr>
            <w:r>
              <w:rPr>
                <w:rFonts w:ascii="Garamond" w:hAnsi="Garamond"/>
              </w:rPr>
              <w:t>ERGG2 (FY09); ERGG3 (FY10) DPGs</w:t>
            </w:r>
          </w:p>
          <w:p w14:paraId="111623B5" w14:textId="77777777" w:rsidR="0025614E" w:rsidRDefault="0025614E">
            <w:pPr>
              <w:rPr>
                <w:rFonts w:ascii="Garamond" w:hAnsi="Garamond"/>
                <w:b/>
              </w:rPr>
            </w:pPr>
            <w:r>
              <w:rPr>
                <w:rFonts w:ascii="Garamond" w:hAnsi="Garamond"/>
                <w:b/>
              </w:rPr>
              <w:t>AAA:</w:t>
            </w:r>
          </w:p>
          <w:p w14:paraId="1964A0DD" w14:textId="77777777" w:rsidR="0025614E" w:rsidRDefault="0025614E" w:rsidP="0025614E">
            <w:pPr>
              <w:numPr>
                <w:ilvl w:val="0"/>
                <w:numId w:val="34"/>
              </w:numPr>
              <w:tabs>
                <w:tab w:val="num" w:pos="162"/>
              </w:tabs>
              <w:ind w:left="0" w:firstLine="0"/>
              <w:rPr>
                <w:rFonts w:ascii="Garamond" w:eastAsiaTheme="majorEastAsia" w:hAnsi="Garamond" w:cstheme="majorBidi"/>
                <w:b/>
                <w:bCs/>
                <w:color w:val="A9A57C" w:themeColor="accent1"/>
                <w:szCs w:val="26"/>
              </w:rPr>
            </w:pPr>
            <w:r>
              <w:rPr>
                <w:rFonts w:ascii="Garamond" w:hAnsi="Garamond"/>
              </w:rPr>
              <w:t>DPNR (FY08)</w:t>
            </w:r>
          </w:p>
        </w:tc>
      </w:tr>
      <w:tr w:rsidR="0025614E" w14:paraId="272E8D9D"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635B0779" w14:textId="77777777" w:rsidR="0025614E" w:rsidRDefault="0025614E">
            <w:pPr>
              <w:pStyle w:val="BodyText0"/>
              <w:rPr>
                <w:rFonts w:ascii="Garamond" w:hAnsi="Garamond"/>
                <w:color w:val="auto"/>
              </w:rPr>
            </w:pPr>
            <w:r>
              <w:rPr>
                <w:rFonts w:ascii="Garamond" w:hAnsi="Garamond"/>
                <w:color w:val="auto"/>
              </w:rPr>
              <w:lastRenderedPageBreak/>
              <w:t>ISN FY12-13 Outcome II.2: Improved transparency and accountability in the phosphate sector</w:t>
            </w:r>
          </w:p>
          <w:p w14:paraId="363AA06C" w14:textId="77777777" w:rsidR="0025614E" w:rsidRDefault="0025614E" w:rsidP="0025614E">
            <w:pPr>
              <w:numPr>
                <w:ilvl w:val="0"/>
                <w:numId w:val="30"/>
              </w:numPr>
              <w:tabs>
                <w:tab w:val="num" w:pos="180"/>
              </w:tabs>
              <w:ind w:left="0" w:firstLine="0"/>
              <w:rPr>
                <w:rFonts w:ascii="Garamond" w:hAnsi="Garamond"/>
              </w:rPr>
            </w:pPr>
            <w:r>
              <w:rPr>
                <w:rFonts w:ascii="Garamond" w:hAnsi="Garamond"/>
              </w:rPr>
              <w:t>Togo submitting its Validation Report towards becoming an EITI compliant country</w:t>
            </w:r>
          </w:p>
          <w:p w14:paraId="0229258E" w14:textId="77777777" w:rsidR="0025614E" w:rsidRDefault="0025614E">
            <w:pPr>
              <w:pStyle w:val="BodyText0"/>
              <w:rPr>
                <w:rFonts w:ascii="Garamond" w:hAnsi="Garamond"/>
                <w:b/>
                <w:color w:val="auto"/>
              </w:rPr>
            </w:pPr>
            <w:r>
              <w:rPr>
                <w:rFonts w:ascii="Garamond" w:hAnsi="Garamond"/>
                <w:color w:val="auto"/>
              </w:rPr>
              <w:t>Baseline: Not yet compliant (2011)</w:t>
            </w:r>
          </w:p>
          <w:p w14:paraId="7F9275A6" w14:textId="77777777" w:rsidR="0025614E" w:rsidRDefault="0025614E">
            <w:pPr>
              <w:pStyle w:val="BodyText0"/>
              <w:rPr>
                <w:rFonts w:ascii="Garamond" w:hAnsi="Garamond"/>
                <w:b/>
                <w:color w:val="auto"/>
              </w:rPr>
            </w:pPr>
            <w:r>
              <w:rPr>
                <w:rFonts w:ascii="Garamond" w:hAnsi="Garamond"/>
                <w:color w:val="auto"/>
              </w:rPr>
              <w:t>Target: Togo has achieved validation or been granted compliant status (2013)</w:t>
            </w:r>
          </w:p>
        </w:tc>
        <w:tc>
          <w:tcPr>
            <w:tcW w:w="4140" w:type="dxa"/>
            <w:tcBorders>
              <w:top w:val="single" w:sz="4" w:space="0" w:color="000000"/>
              <w:left w:val="single" w:sz="4" w:space="0" w:color="000000"/>
              <w:bottom w:val="single" w:sz="4" w:space="0" w:color="000000"/>
              <w:right w:val="single" w:sz="4" w:space="0" w:color="000000"/>
            </w:tcBorders>
          </w:tcPr>
          <w:p w14:paraId="30B862EF" w14:textId="77777777" w:rsidR="0025614E" w:rsidRDefault="0025614E">
            <w:pPr>
              <w:rPr>
                <w:rFonts w:ascii="Garamond" w:hAnsi="Garamond"/>
              </w:rPr>
            </w:pPr>
            <w:r>
              <w:rPr>
                <w:rFonts w:ascii="Garamond" w:hAnsi="Garamond"/>
                <w:b/>
              </w:rPr>
              <w:t>Achieved</w:t>
            </w:r>
          </w:p>
          <w:p w14:paraId="2CB83E85" w14:textId="77777777" w:rsidR="0025614E" w:rsidRDefault="0025614E">
            <w:pPr>
              <w:rPr>
                <w:rFonts w:ascii="Garamond" w:hAnsi="Garamond"/>
              </w:rPr>
            </w:pPr>
          </w:p>
          <w:p w14:paraId="33434A09" w14:textId="77777777" w:rsidR="0025614E" w:rsidRDefault="0025614E">
            <w:pPr>
              <w:rPr>
                <w:rFonts w:ascii="Garamond" w:hAnsi="Garamond"/>
              </w:rPr>
            </w:pPr>
          </w:p>
          <w:p w14:paraId="377C0D51" w14:textId="77777777" w:rsidR="0025614E" w:rsidRDefault="0025614E">
            <w:pPr>
              <w:rPr>
                <w:rFonts w:ascii="Garamond" w:hAnsi="Garamond"/>
              </w:rPr>
            </w:pPr>
          </w:p>
          <w:p w14:paraId="2D17B24C" w14:textId="77777777" w:rsidR="0025614E" w:rsidRDefault="0025614E" w:rsidP="0025614E">
            <w:pPr>
              <w:numPr>
                <w:ilvl w:val="0"/>
                <w:numId w:val="32"/>
              </w:numPr>
              <w:tabs>
                <w:tab w:val="num" w:pos="144"/>
              </w:tabs>
              <w:ind w:left="0" w:firstLine="0"/>
              <w:rPr>
                <w:rFonts w:ascii="Garamond" w:hAnsi="Garamond"/>
              </w:rPr>
            </w:pPr>
            <w:r>
              <w:rPr>
                <w:rFonts w:ascii="Garamond" w:hAnsi="Garamond"/>
              </w:rPr>
              <w:t>Validation Report submitted (2013)</w:t>
            </w:r>
          </w:p>
          <w:p w14:paraId="011FC73C" w14:textId="77777777" w:rsidR="0025614E" w:rsidRDefault="0025614E" w:rsidP="0025614E">
            <w:pPr>
              <w:numPr>
                <w:ilvl w:val="0"/>
                <w:numId w:val="32"/>
              </w:numPr>
              <w:tabs>
                <w:tab w:val="num" w:pos="144"/>
              </w:tabs>
              <w:ind w:left="0" w:firstLine="0"/>
              <w:rPr>
                <w:rFonts w:ascii="Garamond" w:hAnsi="Garamond"/>
              </w:rPr>
            </w:pPr>
            <w:r>
              <w:rPr>
                <w:rFonts w:ascii="Garamond" w:hAnsi="Garamond"/>
              </w:rPr>
              <w:t>Achieved EITI compliance status (2013)</w:t>
            </w:r>
          </w:p>
        </w:tc>
        <w:tc>
          <w:tcPr>
            <w:tcW w:w="2700" w:type="dxa"/>
            <w:tcBorders>
              <w:top w:val="single" w:sz="4" w:space="0" w:color="000000"/>
              <w:left w:val="single" w:sz="4" w:space="0" w:color="000000"/>
              <w:bottom w:val="single" w:sz="4" w:space="0" w:color="000000"/>
              <w:right w:val="single" w:sz="4" w:space="0" w:color="000000"/>
            </w:tcBorders>
            <w:hideMark/>
          </w:tcPr>
          <w:p w14:paraId="3B2AF00F"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t xml:space="preserve">An IT system for the management of the stocks and spare parts of SNPT is created and functional </w:t>
            </w:r>
            <w:r>
              <w:rPr>
                <w:rFonts w:ascii="Garamond" w:hAnsi="Garamond"/>
                <w:b/>
              </w:rPr>
              <w:t>(not achieved)</w:t>
            </w:r>
          </w:p>
          <w:p w14:paraId="7948502E" w14:textId="77777777" w:rsidR="0025614E" w:rsidRDefault="0025614E" w:rsidP="0025614E">
            <w:pPr>
              <w:numPr>
                <w:ilvl w:val="0"/>
                <w:numId w:val="34"/>
              </w:numPr>
              <w:tabs>
                <w:tab w:val="num" w:pos="162"/>
              </w:tabs>
              <w:ind w:left="0" w:firstLine="0"/>
              <w:rPr>
                <w:rFonts w:ascii="Garamond" w:hAnsi="Garamond"/>
              </w:rPr>
            </w:pPr>
            <w:r>
              <w:rPr>
                <w:rFonts w:ascii="Garamond" w:hAnsi="Garamond"/>
              </w:rPr>
              <w:t xml:space="preserve">The existing Mining Code is updated and submitted to Parliament for approval </w:t>
            </w:r>
            <w:r>
              <w:rPr>
                <w:rFonts w:ascii="Garamond" w:hAnsi="Garamond"/>
                <w:b/>
              </w:rPr>
              <w:t>(partially achieved; draft mining code prepared in 2014, but not yet adopted)</w:t>
            </w:r>
          </w:p>
          <w:p w14:paraId="6638ED1E" w14:textId="77777777" w:rsidR="0025614E" w:rsidRDefault="0025614E" w:rsidP="0025614E">
            <w:pPr>
              <w:numPr>
                <w:ilvl w:val="0"/>
                <w:numId w:val="34"/>
              </w:numPr>
              <w:tabs>
                <w:tab w:val="num" w:pos="162"/>
              </w:tabs>
              <w:ind w:left="0" w:firstLine="0"/>
              <w:rPr>
                <w:rFonts w:ascii="Garamond" w:hAnsi="Garamond"/>
              </w:rPr>
            </w:pPr>
            <w:r>
              <w:rPr>
                <w:rFonts w:ascii="Garamond" w:hAnsi="Garamond"/>
              </w:rPr>
              <w:t xml:space="preserve">The strategic plan for Phase 2 and 3, which includes the search for private partner investors, is completed </w:t>
            </w:r>
            <w:r>
              <w:rPr>
                <w:rFonts w:ascii="Garamond" w:hAnsi="Garamond"/>
                <w:b/>
              </w:rPr>
              <w:t>(not achieved; 50/50 ownership with a private entity was attempted in 2001 but failed in 2003)</w:t>
            </w:r>
          </w:p>
        </w:tc>
        <w:tc>
          <w:tcPr>
            <w:tcW w:w="2700" w:type="dxa"/>
            <w:tcBorders>
              <w:top w:val="single" w:sz="4" w:space="0" w:color="000000"/>
              <w:left w:val="single" w:sz="4" w:space="0" w:color="000000"/>
              <w:bottom w:val="single" w:sz="4" w:space="0" w:color="000000"/>
              <w:right w:val="single" w:sz="4" w:space="0" w:color="000000"/>
            </w:tcBorders>
            <w:hideMark/>
          </w:tcPr>
          <w:p w14:paraId="30ED9435" w14:textId="77777777" w:rsidR="0025614E" w:rsidRDefault="0025614E">
            <w:pPr>
              <w:rPr>
                <w:rFonts w:ascii="Garamond" w:hAnsi="Garamond"/>
                <w:b/>
              </w:rPr>
            </w:pPr>
            <w:r>
              <w:rPr>
                <w:rFonts w:ascii="Garamond" w:hAnsi="Garamond"/>
                <w:b/>
              </w:rPr>
              <w:t>Operations:</w:t>
            </w:r>
          </w:p>
          <w:p w14:paraId="255B75D8" w14:textId="77777777" w:rsidR="0025614E" w:rsidRDefault="0025614E" w:rsidP="0025614E">
            <w:pPr>
              <w:numPr>
                <w:ilvl w:val="0"/>
                <w:numId w:val="34"/>
              </w:numPr>
              <w:tabs>
                <w:tab w:val="num" w:pos="162"/>
              </w:tabs>
              <w:ind w:left="0" w:firstLine="0"/>
              <w:rPr>
                <w:rFonts w:ascii="Garamond" w:hAnsi="Garamond"/>
              </w:rPr>
            </w:pPr>
            <w:r>
              <w:rPr>
                <w:rFonts w:ascii="Garamond" w:hAnsi="Garamond"/>
              </w:rPr>
              <w:t>ERGG4 (FY11)</w:t>
            </w:r>
          </w:p>
          <w:p w14:paraId="40C4A8F9" w14:textId="77777777" w:rsidR="0025614E" w:rsidRDefault="0025614E" w:rsidP="0025614E">
            <w:pPr>
              <w:numPr>
                <w:ilvl w:val="0"/>
                <w:numId w:val="34"/>
              </w:numPr>
              <w:tabs>
                <w:tab w:val="num" w:pos="162"/>
              </w:tabs>
              <w:ind w:left="0" w:firstLine="0"/>
              <w:rPr>
                <w:rFonts w:ascii="Garamond" w:hAnsi="Garamond"/>
              </w:rPr>
            </w:pPr>
            <w:r>
              <w:rPr>
                <w:rFonts w:ascii="Garamond" w:hAnsi="Garamond"/>
              </w:rPr>
              <w:t>ERGC 5 (FY12); ERGC6 (FY13) DPOs</w:t>
            </w:r>
          </w:p>
          <w:p w14:paraId="53933990" w14:textId="77777777" w:rsidR="0025614E" w:rsidRDefault="0025614E">
            <w:pPr>
              <w:rPr>
                <w:rFonts w:ascii="Garamond" w:hAnsi="Garamond"/>
                <w:b/>
              </w:rPr>
            </w:pPr>
            <w:r>
              <w:rPr>
                <w:rFonts w:ascii="Garamond" w:hAnsi="Garamond"/>
                <w:b/>
              </w:rPr>
              <w:t>AAA:</w:t>
            </w:r>
          </w:p>
          <w:p w14:paraId="521432BC" w14:textId="77777777" w:rsidR="0025614E" w:rsidRDefault="0025614E" w:rsidP="0025614E">
            <w:pPr>
              <w:numPr>
                <w:ilvl w:val="0"/>
                <w:numId w:val="34"/>
              </w:numPr>
              <w:tabs>
                <w:tab w:val="num" w:pos="162"/>
              </w:tabs>
              <w:ind w:left="0" w:firstLine="0"/>
              <w:rPr>
                <w:rFonts w:ascii="Garamond" w:eastAsiaTheme="majorEastAsia" w:hAnsi="Garamond" w:cstheme="majorBidi"/>
                <w:b/>
                <w:bCs/>
                <w:color w:val="A9A57C" w:themeColor="accent1"/>
                <w:szCs w:val="26"/>
              </w:rPr>
            </w:pPr>
            <w:r>
              <w:rPr>
                <w:rFonts w:ascii="Garamond" w:hAnsi="Garamond"/>
              </w:rPr>
              <w:t>PER (FY13)</w:t>
            </w:r>
          </w:p>
          <w:p w14:paraId="6BEB45F0" w14:textId="77777777" w:rsidR="0025614E" w:rsidRDefault="0025614E" w:rsidP="0025614E">
            <w:pPr>
              <w:numPr>
                <w:ilvl w:val="0"/>
                <w:numId w:val="34"/>
              </w:numPr>
              <w:tabs>
                <w:tab w:val="num" w:pos="162"/>
              </w:tabs>
              <w:ind w:left="0" w:firstLine="0"/>
              <w:rPr>
                <w:rFonts w:ascii="Garamond" w:eastAsiaTheme="majorEastAsia" w:hAnsi="Garamond" w:cstheme="majorBidi"/>
                <w:b/>
                <w:bCs/>
                <w:color w:val="A9A57C" w:themeColor="accent1"/>
                <w:szCs w:val="26"/>
              </w:rPr>
            </w:pPr>
            <w:r>
              <w:rPr>
                <w:rFonts w:ascii="Garamond" w:hAnsi="Garamond"/>
              </w:rPr>
              <w:t>Phosphate Sector Strategy TA (FY11-12)</w:t>
            </w:r>
          </w:p>
          <w:p w14:paraId="3BE6FAC1" w14:textId="77777777" w:rsidR="0025614E" w:rsidRDefault="0025614E" w:rsidP="0025614E">
            <w:pPr>
              <w:numPr>
                <w:ilvl w:val="0"/>
                <w:numId w:val="34"/>
              </w:numPr>
              <w:tabs>
                <w:tab w:val="num" w:pos="162"/>
              </w:tabs>
              <w:ind w:left="0" w:firstLine="0"/>
              <w:rPr>
                <w:rFonts w:ascii="Garamond" w:eastAsiaTheme="majorEastAsia" w:hAnsi="Garamond" w:cstheme="majorBidi"/>
                <w:b/>
                <w:bCs/>
                <w:color w:val="A9A57C" w:themeColor="accent1"/>
                <w:szCs w:val="26"/>
              </w:rPr>
            </w:pPr>
            <w:r>
              <w:rPr>
                <w:rFonts w:ascii="Garamond" w:hAnsi="Garamond"/>
              </w:rPr>
              <w:t>Support for EITI Implementation (FY11-12)</w:t>
            </w:r>
          </w:p>
        </w:tc>
      </w:tr>
      <w:tr w:rsidR="0025614E" w14:paraId="540A060B" w14:textId="77777777" w:rsidTr="0025614E">
        <w:tc>
          <w:tcPr>
            <w:tcW w:w="3618" w:type="dxa"/>
            <w:tcBorders>
              <w:top w:val="single" w:sz="4" w:space="0" w:color="000000"/>
              <w:left w:val="single" w:sz="4" w:space="0" w:color="000000"/>
              <w:bottom w:val="single" w:sz="4" w:space="0" w:color="000000"/>
              <w:right w:val="single" w:sz="4" w:space="0" w:color="000000"/>
            </w:tcBorders>
          </w:tcPr>
          <w:p w14:paraId="3FFB8F29" w14:textId="77777777" w:rsidR="0025614E" w:rsidRDefault="0025614E">
            <w:pPr>
              <w:pStyle w:val="BodyText0"/>
              <w:jc w:val="left"/>
              <w:rPr>
                <w:rFonts w:ascii="Garamond" w:hAnsi="Garamond"/>
                <w:b/>
                <w:color w:val="auto"/>
              </w:rPr>
            </w:pPr>
            <w:r>
              <w:rPr>
                <w:rFonts w:ascii="Garamond" w:hAnsi="Garamond"/>
                <w:b/>
                <w:color w:val="auto"/>
              </w:rPr>
              <w:t>ISN FY12-13 Outcome II.4: Enhanced financial situation of CEET (Compagnie Energie Electrique du Togo)</w:t>
            </w:r>
          </w:p>
          <w:p w14:paraId="30AFEA8B" w14:textId="77777777" w:rsidR="0025614E" w:rsidRDefault="0025614E" w:rsidP="0025614E">
            <w:pPr>
              <w:numPr>
                <w:ilvl w:val="0"/>
                <w:numId w:val="30"/>
              </w:numPr>
              <w:tabs>
                <w:tab w:val="num" w:pos="180"/>
              </w:tabs>
              <w:ind w:left="0" w:firstLine="0"/>
              <w:rPr>
                <w:rFonts w:ascii="Garamond" w:hAnsi="Garamond"/>
              </w:rPr>
            </w:pPr>
            <w:r>
              <w:rPr>
                <w:rFonts w:ascii="Garamond" w:hAnsi="Garamond"/>
              </w:rPr>
              <w:t>Increase in the turnover of CEET (excluding Contour Global charges)</w:t>
            </w:r>
          </w:p>
          <w:p w14:paraId="67C59762" w14:textId="356D9145" w:rsidR="0025614E" w:rsidRDefault="0025614E">
            <w:pPr>
              <w:pStyle w:val="BodyText0"/>
              <w:rPr>
                <w:rFonts w:ascii="Garamond" w:hAnsi="Garamond"/>
                <w:b/>
                <w:color w:val="auto"/>
              </w:rPr>
            </w:pPr>
            <w:r>
              <w:rPr>
                <w:rFonts w:ascii="Garamond" w:hAnsi="Garamond"/>
                <w:color w:val="auto"/>
              </w:rPr>
              <w:t xml:space="preserve">Baseline: </w:t>
            </w:r>
            <w:r w:rsidR="003A6CA1">
              <w:rPr>
                <w:rFonts w:ascii="Garamond" w:hAnsi="Garamond"/>
                <w:color w:val="auto"/>
              </w:rPr>
              <w:t xml:space="preserve">FCFA </w:t>
            </w:r>
            <w:r>
              <w:rPr>
                <w:rFonts w:ascii="Garamond" w:hAnsi="Garamond"/>
                <w:color w:val="auto"/>
              </w:rPr>
              <w:t>55 billion (2010)</w:t>
            </w:r>
          </w:p>
          <w:p w14:paraId="224D6FFB" w14:textId="77777777" w:rsidR="0025614E" w:rsidRDefault="0025614E">
            <w:pPr>
              <w:pStyle w:val="BodyText0"/>
              <w:rPr>
                <w:rFonts w:ascii="Garamond" w:hAnsi="Garamond"/>
                <w:b/>
                <w:color w:val="auto"/>
              </w:rPr>
            </w:pPr>
            <w:r>
              <w:rPr>
                <w:rFonts w:ascii="Garamond" w:hAnsi="Garamond"/>
                <w:color w:val="auto"/>
              </w:rPr>
              <w:t>Target: 7% increase (2011)</w:t>
            </w:r>
          </w:p>
          <w:p w14:paraId="0FCDC0CF" w14:textId="77777777" w:rsidR="0025614E" w:rsidRDefault="0025614E">
            <w:pPr>
              <w:pStyle w:val="BodyText0"/>
              <w:rPr>
                <w:rFonts w:ascii="Garamond" w:hAnsi="Garamond"/>
                <w:b/>
                <w:color w:val="auto"/>
              </w:rPr>
            </w:pPr>
          </w:p>
          <w:p w14:paraId="636A89C2" w14:textId="67A7F7C8" w:rsidR="0025614E" w:rsidRDefault="0025614E" w:rsidP="003A6CA1">
            <w:pPr>
              <w:pStyle w:val="BodyText0"/>
              <w:rPr>
                <w:rFonts w:ascii="Garamond" w:hAnsi="Garamond"/>
                <w:b/>
                <w:i/>
                <w:color w:val="auto"/>
              </w:rPr>
            </w:pPr>
            <w:r>
              <w:rPr>
                <w:rFonts w:ascii="Garamond" w:hAnsi="Garamond"/>
                <w:i/>
                <w:color w:val="auto"/>
              </w:rPr>
              <w:t xml:space="preserve">Note: Baseline was not specified in ISN for FY12-13. The Implementation Completion Report (ICR) for the ERGG-4 operation, prepared in June 2012, indicates that turnover (excluding Contour Global) increased from </w:t>
            </w:r>
            <w:r w:rsidR="003A6CA1">
              <w:rPr>
                <w:rFonts w:ascii="Garamond" w:hAnsi="Garamond"/>
                <w:i/>
                <w:color w:val="auto"/>
              </w:rPr>
              <w:lastRenderedPageBreak/>
              <w:t xml:space="preserve">FCFA </w:t>
            </w:r>
            <w:r>
              <w:rPr>
                <w:rFonts w:ascii="Garamond" w:hAnsi="Garamond"/>
                <w:i/>
                <w:color w:val="auto"/>
              </w:rPr>
              <w:t xml:space="preserve">55 billion in 2010 to </w:t>
            </w:r>
            <w:r w:rsidR="003A6CA1">
              <w:rPr>
                <w:rFonts w:ascii="Garamond" w:hAnsi="Garamond"/>
                <w:i/>
                <w:color w:val="auto"/>
              </w:rPr>
              <w:t xml:space="preserve">FCFA </w:t>
            </w:r>
            <w:r>
              <w:rPr>
                <w:rFonts w:ascii="Garamond" w:hAnsi="Garamond"/>
                <w:i/>
                <w:color w:val="auto"/>
              </w:rPr>
              <w:t>67 billion in 2011.</w:t>
            </w:r>
          </w:p>
        </w:tc>
        <w:tc>
          <w:tcPr>
            <w:tcW w:w="4140" w:type="dxa"/>
            <w:tcBorders>
              <w:top w:val="single" w:sz="4" w:space="0" w:color="000000"/>
              <w:left w:val="single" w:sz="4" w:space="0" w:color="000000"/>
              <w:bottom w:val="single" w:sz="4" w:space="0" w:color="000000"/>
              <w:right w:val="single" w:sz="4" w:space="0" w:color="000000"/>
            </w:tcBorders>
          </w:tcPr>
          <w:p w14:paraId="0933B909" w14:textId="77777777" w:rsidR="0025614E" w:rsidRDefault="0025614E">
            <w:pPr>
              <w:rPr>
                <w:rFonts w:ascii="Garamond" w:hAnsi="Garamond"/>
              </w:rPr>
            </w:pPr>
            <w:r>
              <w:rPr>
                <w:rFonts w:ascii="Garamond" w:hAnsi="Garamond"/>
                <w:b/>
              </w:rPr>
              <w:lastRenderedPageBreak/>
              <w:t>Achieved</w:t>
            </w:r>
          </w:p>
          <w:p w14:paraId="204E54C8" w14:textId="77777777" w:rsidR="0025614E" w:rsidRDefault="0025614E">
            <w:pPr>
              <w:rPr>
                <w:rFonts w:ascii="Garamond" w:hAnsi="Garamond"/>
              </w:rPr>
            </w:pPr>
          </w:p>
          <w:p w14:paraId="78172D35" w14:textId="77777777" w:rsidR="0025614E" w:rsidRDefault="0025614E">
            <w:pPr>
              <w:rPr>
                <w:rFonts w:ascii="Garamond" w:hAnsi="Garamond"/>
              </w:rPr>
            </w:pPr>
          </w:p>
          <w:p w14:paraId="2C2E3F12" w14:textId="77777777" w:rsidR="0025614E" w:rsidRDefault="0025614E">
            <w:pPr>
              <w:rPr>
                <w:rFonts w:ascii="Garamond" w:hAnsi="Garamond"/>
              </w:rPr>
            </w:pPr>
          </w:p>
          <w:p w14:paraId="05364FEA" w14:textId="663A4A41" w:rsidR="0025614E" w:rsidRDefault="0025614E" w:rsidP="0025614E">
            <w:pPr>
              <w:numPr>
                <w:ilvl w:val="0"/>
                <w:numId w:val="32"/>
              </w:numPr>
              <w:tabs>
                <w:tab w:val="num" w:pos="144"/>
              </w:tabs>
              <w:ind w:left="0" w:firstLine="0"/>
              <w:rPr>
                <w:rFonts w:ascii="Garamond" w:hAnsi="Garamond"/>
              </w:rPr>
            </w:pPr>
            <w:r>
              <w:rPr>
                <w:rFonts w:ascii="Garamond" w:hAnsi="Garamond"/>
              </w:rPr>
              <w:t xml:space="preserve">22% increase to </w:t>
            </w:r>
            <w:r w:rsidR="003A6CA1">
              <w:rPr>
                <w:rFonts w:ascii="Garamond" w:hAnsi="Garamond"/>
              </w:rPr>
              <w:t xml:space="preserve">FCFA </w:t>
            </w:r>
            <w:r>
              <w:rPr>
                <w:rFonts w:ascii="Garamond" w:hAnsi="Garamond"/>
              </w:rPr>
              <w:t xml:space="preserve">67 billion, excluding Contour Global (2011), following a tariff adjustment effective January 1, 2011. As a consequence, CEET’s operating loss of </w:t>
            </w:r>
            <w:r w:rsidR="003A6CA1">
              <w:rPr>
                <w:rFonts w:ascii="Garamond" w:hAnsi="Garamond"/>
              </w:rPr>
              <w:t xml:space="preserve">FCFA </w:t>
            </w:r>
            <w:r>
              <w:rPr>
                <w:rFonts w:ascii="Garamond" w:hAnsi="Garamond"/>
              </w:rPr>
              <w:t xml:space="preserve">3.8 billion in 2010 became a profit of </w:t>
            </w:r>
            <w:r w:rsidR="003A6CA1">
              <w:rPr>
                <w:rFonts w:ascii="Garamond" w:hAnsi="Garamond"/>
              </w:rPr>
              <w:t xml:space="preserve">FCFA </w:t>
            </w:r>
            <w:r>
              <w:rPr>
                <w:rFonts w:ascii="Garamond" w:hAnsi="Garamond"/>
              </w:rPr>
              <w:t>1.4 billion in 2011.</w:t>
            </w:r>
          </w:p>
          <w:p w14:paraId="0FA4643B" w14:textId="006D4835" w:rsidR="0025614E" w:rsidRDefault="0025614E" w:rsidP="003A6CA1">
            <w:pPr>
              <w:numPr>
                <w:ilvl w:val="0"/>
                <w:numId w:val="32"/>
              </w:numPr>
              <w:tabs>
                <w:tab w:val="num" w:pos="144"/>
              </w:tabs>
              <w:ind w:left="0" w:firstLine="0"/>
              <w:rPr>
                <w:rFonts w:ascii="Garamond" w:hAnsi="Garamond"/>
              </w:rPr>
            </w:pPr>
            <w:r>
              <w:rPr>
                <w:rFonts w:ascii="Garamond" w:hAnsi="Garamond"/>
              </w:rPr>
              <w:t xml:space="preserve">Since then, turnover has continued to increase: </w:t>
            </w:r>
            <w:r w:rsidR="003A6CA1">
              <w:rPr>
                <w:rFonts w:ascii="Garamond" w:hAnsi="Garamond"/>
              </w:rPr>
              <w:t xml:space="preserve">FCFA </w:t>
            </w:r>
            <w:r>
              <w:rPr>
                <w:rFonts w:ascii="Garamond" w:hAnsi="Garamond"/>
              </w:rPr>
              <w:t xml:space="preserve">96.8 billion (2012); </w:t>
            </w:r>
            <w:r w:rsidR="003A6CA1">
              <w:rPr>
                <w:rFonts w:ascii="Garamond" w:hAnsi="Garamond"/>
              </w:rPr>
              <w:t xml:space="preserve">FCFA </w:t>
            </w:r>
            <w:r>
              <w:rPr>
                <w:rFonts w:ascii="Garamond" w:hAnsi="Garamond"/>
              </w:rPr>
              <w:t xml:space="preserve">108 billion (2013); </w:t>
            </w:r>
            <w:r w:rsidR="003A6CA1">
              <w:rPr>
                <w:rFonts w:ascii="Garamond" w:hAnsi="Garamond"/>
              </w:rPr>
              <w:t xml:space="preserve">FCFA </w:t>
            </w:r>
            <w:r>
              <w:rPr>
                <w:rFonts w:ascii="Garamond" w:hAnsi="Garamond"/>
              </w:rPr>
              <w:t xml:space="preserve">96.6 billion (2014); </w:t>
            </w:r>
            <w:r w:rsidR="003A6CA1">
              <w:rPr>
                <w:rFonts w:ascii="Garamond" w:hAnsi="Garamond"/>
              </w:rPr>
              <w:t xml:space="preserve">FCFA </w:t>
            </w:r>
            <w:r>
              <w:rPr>
                <w:rFonts w:ascii="Garamond" w:hAnsi="Garamond"/>
              </w:rPr>
              <w:t>107.7 billion (2015)</w:t>
            </w:r>
            <w:r>
              <w:rPr>
                <w:rFonts w:ascii="Garamond" w:hAnsi="Garamond"/>
                <w:b/>
                <w:color w:val="0000FF"/>
              </w:rPr>
              <w:t xml:space="preserve"> </w:t>
            </w:r>
          </w:p>
        </w:tc>
        <w:tc>
          <w:tcPr>
            <w:tcW w:w="2700" w:type="dxa"/>
            <w:tcBorders>
              <w:top w:val="single" w:sz="4" w:space="0" w:color="000000"/>
              <w:left w:val="single" w:sz="4" w:space="0" w:color="000000"/>
              <w:bottom w:val="single" w:sz="4" w:space="0" w:color="000000"/>
              <w:right w:val="single" w:sz="4" w:space="0" w:color="000000"/>
            </w:tcBorders>
            <w:hideMark/>
          </w:tcPr>
          <w:p w14:paraId="30A5E2F5"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t xml:space="preserve">Recommendations of the organizational audit of CEET are implemented </w:t>
            </w:r>
            <w:r>
              <w:rPr>
                <w:rFonts w:ascii="Garamond" w:hAnsi="Garamond"/>
                <w:b/>
              </w:rPr>
              <w:t>(achieved in 2013)</w:t>
            </w:r>
          </w:p>
        </w:tc>
        <w:tc>
          <w:tcPr>
            <w:tcW w:w="2700" w:type="dxa"/>
            <w:tcBorders>
              <w:top w:val="single" w:sz="4" w:space="0" w:color="000000"/>
              <w:left w:val="single" w:sz="4" w:space="0" w:color="000000"/>
              <w:bottom w:val="single" w:sz="4" w:space="0" w:color="000000"/>
              <w:right w:val="single" w:sz="4" w:space="0" w:color="000000"/>
            </w:tcBorders>
            <w:hideMark/>
          </w:tcPr>
          <w:p w14:paraId="67009B55" w14:textId="77777777" w:rsidR="0025614E" w:rsidRDefault="0025614E">
            <w:pPr>
              <w:rPr>
                <w:rFonts w:ascii="Garamond" w:hAnsi="Garamond"/>
                <w:b/>
              </w:rPr>
            </w:pPr>
            <w:r>
              <w:rPr>
                <w:rFonts w:ascii="Garamond" w:hAnsi="Garamond"/>
                <w:b/>
              </w:rPr>
              <w:t>Operations:</w:t>
            </w:r>
          </w:p>
          <w:p w14:paraId="1D53ECEA" w14:textId="77777777" w:rsidR="0025614E" w:rsidRDefault="0025614E" w:rsidP="0025614E">
            <w:pPr>
              <w:numPr>
                <w:ilvl w:val="0"/>
                <w:numId w:val="34"/>
              </w:numPr>
              <w:tabs>
                <w:tab w:val="num" w:pos="162"/>
              </w:tabs>
              <w:ind w:left="0" w:firstLine="0"/>
              <w:rPr>
                <w:rFonts w:ascii="Garamond" w:hAnsi="Garamond"/>
              </w:rPr>
            </w:pPr>
            <w:r>
              <w:rPr>
                <w:rFonts w:ascii="Garamond" w:hAnsi="Garamond"/>
              </w:rPr>
              <w:t>Financial Sector and Governance Project (FSGP, FY09)</w:t>
            </w:r>
          </w:p>
          <w:p w14:paraId="37B4891A" w14:textId="77777777" w:rsidR="0025614E" w:rsidRDefault="0025614E" w:rsidP="0025614E">
            <w:pPr>
              <w:numPr>
                <w:ilvl w:val="0"/>
                <w:numId w:val="34"/>
              </w:numPr>
              <w:tabs>
                <w:tab w:val="num" w:pos="162"/>
              </w:tabs>
              <w:ind w:left="0" w:firstLine="0"/>
              <w:rPr>
                <w:rFonts w:ascii="Garamond" w:hAnsi="Garamond"/>
              </w:rPr>
            </w:pPr>
            <w:r>
              <w:rPr>
                <w:rFonts w:ascii="Garamond" w:hAnsi="Garamond"/>
              </w:rPr>
              <w:t>IDF for Strengthening Capacity of the Accountancy Profession (FY11)</w:t>
            </w:r>
          </w:p>
          <w:p w14:paraId="23FC77D9" w14:textId="77777777" w:rsidR="0025614E" w:rsidRDefault="0025614E">
            <w:pPr>
              <w:rPr>
                <w:rFonts w:ascii="Garamond" w:hAnsi="Garamond"/>
                <w:b/>
              </w:rPr>
            </w:pPr>
            <w:r>
              <w:rPr>
                <w:rFonts w:ascii="Garamond" w:hAnsi="Garamond"/>
                <w:b/>
              </w:rPr>
              <w:t>AAA:</w:t>
            </w:r>
          </w:p>
          <w:p w14:paraId="278E8BA9" w14:textId="77777777" w:rsidR="0025614E" w:rsidRDefault="0025614E" w:rsidP="0025614E">
            <w:pPr>
              <w:numPr>
                <w:ilvl w:val="0"/>
                <w:numId w:val="34"/>
              </w:numPr>
              <w:tabs>
                <w:tab w:val="num" w:pos="162"/>
              </w:tabs>
              <w:ind w:left="0" w:firstLine="0"/>
              <w:rPr>
                <w:rFonts w:ascii="Garamond" w:hAnsi="Garamond"/>
              </w:rPr>
            </w:pPr>
            <w:r>
              <w:rPr>
                <w:rFonts w:ascii="Garamond" w:hAnsi="Garamond"/>
              </w:rPr>
              <w:t>TA on Use of Country Systems (FY12)</w:t>
            </w:r>
          </w:p>
          <w:p w14:paraId="2290A558" w14:textId="77777777" w:rsidR="0025614E" w:rsidRDefault="0025614E" w:rsidP="0025614E">
            <w:pPr>
              <w:numPr>
                <w:ilvl w:val="0"/>
                <w:numId w:val="34"/>
              </w:numPr>
              <w:tabs>
                <w:tab w:val="num" w:pos="162"/>
              </w:tabs>
              <w:ind w:left="0" w:firstLine="0"/>
              <w:rPr>
                <w:rFonts w:ascii="Garamond" w:eastAsiaTheme="majorEastAsia" w:hAnsi="Garamond" w:cstheme="majorBidi"/>
                <w:bCs/>
                <w:szCs w:val="26"/>
              </w:rPr>
            </w:pPr>
            <w:r>
              <w:rPr>
                <w:rFonts w:ascii="Garamond" w:eastAsiaTheme="majorEastAsia" w:hAnsi="Garamond" w:cstheme="majorBidi"/>
                <w:bCs/>
                <w:szCs w:val="26"/>
              </w:rPr>
              <w:t>Report on the Observance of Standards and Codes (ROSC) Follow-up (FY12)</w:t>
            </w:r>
          </w:p>
          <w:p w14:paraId="2223D75E" w14:textId="77777777" w:rsidR="0025614E" w:rsidRDefault="0025614E" w:rsidP="0025614E">
            <w:pPr>
              <w:numPr>
                <w:ilvl w:val="0"/>
                <w:numId w:val="34"/>
              </w:numPr>
              <w:tabs>
                <w:tab w:val="num" w:pos="162"/>
              </w:tabs>
              <w:ind w:left="0" w:firstLine="0"/>
              <w:rPr>
                <w:rFonts w:ascii="Garamond" w:eastAsiaTheme="majorEastAsia" w:hAnsi="Garamond" w:cstheme="majorBidi"/>
                <w:b/>
                <w:bCs/>
                <w:color w:val="A9A57C" w:themeColor="accent1"/>
                <w:szCs w:val="26"/>
              </w:rPr>
            </w:pPr>
            <w:r>
              <w:rPr>
                <w:rFonts w:ascii="Garamond" w:eastAsiaTheme="majorEastAsia" w:hAnsi="Garamond" w:cstheme="majorBidi"/>
                <w:bCs/>
                <w:szCs w:val="26"/>
              </w:rPr>
              <w:lastRenderedPageBreak/>
              <w:t>Country Procurement Assessment Report (CPAR) (FY13)</w:t>
            </w:r>
          </w:p>
        </w:tc>
      </w:tr>
      <w:tr w:rsidR="0025614E" w14:paraId="7F373C06"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1F96A61F" w14:textId="77777777" w:rsidR="0025614E" w:rsidRDefault="0025614E">
            <w:pPr>
              <w:pStyle w:val="BodyText0"/>
              <w:jc w:val="left"/>
              <w:rPr>
                <w:rFonts w:ascii="Garamond" w:hAnsi="Garamond"/>
                <w:b/>
                <w:color w:val="auto"/>
              </w:rPr>
            </w:pPr>
            <w:r>
              <w:rPr>
                <w:rFonts w:ascii="Garamond" w:hAnsi="Garamond"/>
                <w:b/>
                <w:color w:val="auto"/>
              </w:rPr>
              <w:lastRenderedPageBreak/>
              <w:t>ISN FY08-10 Outcome I.5: Banking sector is restructured and recapitalization of at least the two state banks started</w:t>
            </w:r>
          </w:p>
          <w:p w14:paraId="716FA9BB" w14:textId="77777777" w:rsidR="0025614E" w:rsidRDefault="0025614E" w:rsidP="0025614E">
            <w:pPr>
              <w:numPr>
                <w:ilvl w:val="0"/>
                <w:numId w:val="30"/>
              </w:numPr>
              <w:tabs>
                <w:tab w:val="num" w:pos="180"/>
              </w:tabs>
              <w:ind w:left="0" w:firstLine="0"/>
              <w:rPr>
                <w:rFonts w:ascii="Garamond" w:hAnsi="Garamond"/>
              </w:rPr>
            </w:pPr>
            <w:r>
              <w:rPr>
                <w:rFonts w:ascii="Garamond" w:hAnsi="Garamond"/>
              </w:rPr>
              <w:t>Net worth of BTCI and UTB are at least 8 percent, consistent with WAEMU prudential norms</w:t>
            </w:r>
          </w:p>
          <w:p w14:paraId="63CF6D28" w14:textId="77777777" w:rsidR="0025614E" w:rsidRDefault="0025614E">
            <w:pPr>
              <w:rPr>
                <w:rFonts w:ascii="Garamond" w:hAnsi="Garamond"/>
              </w:rPr>
            </w:pPr>
            <w:r>
              <w:rPr>
                <w:rFonts w:ascii="Garamond" w:hAnsi="Garamond"/>
              </w:rPr>
              <w:t>Baseline: Net worth of both banks negative (end-2007)</w:t>
            </w:r>
          </w:p>
        </w:tc>
        <w:tc>
          <w:tcPr>
            <w:tcW w:w="4140" w:type="dxa"/>
            <w:tcBorders>
              <w:top w:val="single" w:sz="4" w:space="0" w:color="000000"/>
              <w:left w:val="single" w:sz="4" w:space="0" w:color="000000"/>
              <w:bottom w:val="single" w:sz="4" w:space="0" w:color="000000"/>
              <w:right w:val="single" w:sz="4" w:space="0" w:color="000000"/>
            </w:tcBorders>
          </w:tcPr>
          <w:p w14:paraId="279B8C0C" w14:textId="77777777" w:rsidR="0025614E" w:rsidRDefault="0025614E">
            <w:pPr>
              <w:rPr>
                <w:rFonts w:ascii="Garamond" w:hAnsi="Garamond"/>
              </w:rPr>
            </w:pPr>
            <w:r>
              <w:rPr>
                <w:rFonts w:ascii="Garamond" w:hAnsi="Garamond"/>
                <w:b/>
              </w:rPr>
              <w:t>Not Achieved</w:t>
            </w:r>
          </w:p>
          <w:p w14:paraId="15586D25" w14:textId="77777777" w:rsidR="0025614E" w:rsidRDefault="0025614E">
            <w:pPr>
              <w:rPr>
                <w:rFonts w:ascii="Garamond" w:hAnsi="Garamond"/>
              </w:rPr>
            </w:pPr>
          </w:p>
          <w:p w14:paraId="7C5FF489" w14:textId="77777777" w:rsidR="0025614E" w:rsidRDefault="0025614E">
            <w:pPr>
              <w:rPr>
                <w:rFonts w:ascii="Garamond" w:hAnsi="Garamond"/>
              </w:rPr>
            </w:pPr>
          </w:p>
          <w:p w14:paraId="083532A5" w14:textId="77777777" w:rsidR="0025614E" w:rsidRDefault="0025614E">
            <w:pPr>
              <w:rPr>
                <w:rFonts w:ascii="Garamond" w:hAnsi="Garamond"/>
              </w:rPr>
            </w:pPr>
          </w:p>
          <w:p w14:paraId="7BE4959E" w14:textId="77777777" w:rsidR="0025614E" w:rsidRDefault="0025614E" w:rsidP="0025614E">
            <w:pPr>
              <w:numPr>
                <w:ilvl w:val="0"/>
                <w:numId w:val="32"/>
              </w:numPr>
              <w:tabs>
                <w:tab w:val="num" w:pos="144"/>
              </w:tabs>
              <w:ind w:left="0" w:firstLine="0"/>
              <w:rPr>
                <w:rFonts w:ascii="Garamond" w:hAnsi="Garamond"/>
              </w:rPr>
            </w:pPr>
            <w:r>
              <w:rPr>
                <w:rFonts w:ascii="Garamond" w:hAnsi="Garamond"/>
              </w:rPr>
              <w:t>BTCI: 6.11% (2009); -42.91% (2016)</w:t>
            </w:r>
          </w:p>
          <w:p w14:paraId="0B4CB8A6" w14:textId="77777777" w:rsidR="0025614E" w:rsidRDefault="0025614E" w:rsidP="0025614E">
            <w:pPr>
              <w:numPr>
                <w:ilvl w:val="0"/>
                <w:numId w:val="32"/>
              </w:numPr>
              <w:tabs>
                <w:tab w:val="num" w:pos="144"/>
              </w:tabs>
              <w:ind w:left="0" w:firstLine="0"/>
              <w:rPr>
                <w:rFonts w:ascii="Garamond" w:hAnsi="Garamond"/>
              </w:rPr>
            </w:pPr>
            <w:r>
              <w:rPr>
                <w:rFonts w:ascii="Garamond" w:hAnsi="Garamond"/>
              </w:rPr>
              <w:t>UTB: 13.83% (2009); negative (2016)</w:t>
            </w:r>
          </w:p>
          <w:p w14:paraId="195481AA" w14:textId="4B58D15A" w:rsidR="0025614E" w:rsidRDefault="0025614E" w:rsidP="00982543">
            <w:pPr>
              <w:numPr>
                <w:ilvl w:val="0"/>
                <w:numId w:val="32"/>
              </w:numPr>
              <w:tabs>
                <w:tab w:val="num" w:pos="144"/>
              </w:tabs>
              <w:ind w:left="0" w:firstLine="0"/>
              <w:rPr>
                <w:rFonts w:ascii="Garamond" w:hAnsi="Garamond"/>
              </w:rPr>
            </w:pPr>
            <w:r>
              <w:rPr>
                <w:rFonts w:ascii="Garamond" w:hAnsi="Garamond"/>
              </w:rPr>
              <w:t>The two banks (BTCI and UTB) have negative equity. Their capitalization, which needs to attain the minimum capital standards (</w:t>
            </w:r>
            <w:r w:rsidR="003A6CA1">
              <w:rPr>
                <w:rFonts w:ascii="Garamond" w:hAnsi="Garamond"/>
              </w:rPr>
              <w:t xml:space="preserve">FCFA </w:t>
            </w:r>
            <w:r>
              <w:rPr>
                <w:rFonts w:ascii="Garamond" w:hAnsi="Garamond"/>
              </w:rPr>
              <w:t xml:space="preserve">5 billion before July 2017) set by the WAEMU, is at about </w:t>
            </w:r>
            <w:r w:rsidR="003A6CA1">
              <w:rPr>
                <w:rFonts w:ascii="Garamond" w:hAnsi="Garamond"/>
              </w:rPr>
              <w:t xml:space="preserve">FCFA </w:t>
            </w:r>
            <w:r>
              <w:rPr>
                <w:rFonts w:ascii="Garamond" w:hAnsi="Garamond"/>
              </w:rPr>
              <w:t xml:space="preserve">36 billion and </w:t>
            </w:r>
            <w:r w:rsidR="003A6CA1">
              <w:rPr>
                <w:rFonts w:ascii="Garamond" w:hAnsi="Garamond"/>
              </w:rPr>
              <w:t xml:space="preserve">FCFA </w:t>
            </w:r>
            <w:r>
              <w:rPr>
                <w:rFonts w:ascii="Garamond" w:hAnsi="Garamond"/>
              </w:rPr>
              <w:t xml:space="preserve">50 billion, respectively. </w:t>
            </w:r>
          </w:p>
        </w:tc>
        <w:tc>
          <w:tcPr>
            <w:tcW w:w="2700" w:type="dxa"/>
            <w:tcBorders>
              <w:top w:val="single" w:sz="4" w:space="0" w:color="000000"/>
              <w:left w:val="single" w:sz="4" w:space="0" w:color="000000"/>
              <w:bottom w:val="single" w:sz="4" w:space="0" w:color="000000"/>
              <w:right w:val="single" w:sz="4" w:space="0" w:color="000000"/>
            </w:tcBorders>
            <w:hideMark/>
          </w:tcPr>
          <w:p w14:paraId="59FF0390"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t xml:space="preserve">The three largest banks with negative equity have a credible restructuring plan under satisfactory implementation according to the timetable </w:t>
            </w:r>
            <w:r>
              <w:rPr>
                <w:rFonts w:ascii="Garamond" w:hAnsi="Garamond"/>
                <w:b/>
              </w:rPr>
              <w:t xml:space="preserve">(partially achieved; achieved for BTD (2012) and BIA (2013), both privatized; however, privatization process for BTCI and UTB was unsuccessful. BTCI and UTB still have negative equity. BTCI is under receivership and has a provisional restructuring plan, but UTB does not and its management changed in June 2016.) </w:t>
            </w:r>
          </w:p>
        </w:tc>
        <w:tc>
          <w:tcPr>
            <w:tcW w:w="2700" w:type="dxa"/>
            <w:tcBorders>
              <w:top w:val="single" w:sz="4" w:space="0" w:color="000000"/>
              <w:left w:val="single" w:sz="4" w:space="0" w:color="000000"/>
              <w:bottom w:val="single" w:sz="4" w:space="0" w:color="000000"/>
              <w:right w:val="single" w:sz="4" w:space="0" w:color="000000"/>
            </w:tcBorders>
            <w:hideMark/>
          </w:tcPr>
          <w:p w14:paraId="27389CFB" w14:textId="77777777" w:rsidR="0025614E" w:rsidRDefault="0025614E">
            <w:pPr>
              <w:rPr>
                <w:rFonts w:ascii="Garamond" w:hAnsi="Garamond"/>
                <w:b/>
              </w:rPr>
            </w:pPr>
            <w:r>
              <w:rPr>
                <w:rFonts w:ascii="Garamond" w:hAnsi="Garamond"/>
                <w:b/>
              </w:rPr>
              <w:t>Operations:</w:t>
            </w:r>
          </w:p>
          <w:p w14:paraId="41EB11B7" w14:textId="77777777" w:rsidR="0025614E" w:rsidRDefault="0025614E" w:rsidP="0025614E">
            <w:pPr>
              <w:numPr>
                <w:ilvl w:val="0"/>
                <w:numId w:val="34"/>
              </w:numPr>
              <w:tabs>
                <w:tab w:val="num" w:pos="162"/>
              </w:tabs>
              <w:ind w:left="0" w:firstLine="0"/>
              <w:rPr>
                <w:rFonts w:ascii="Garamond" w:hAnsi="Garamond"/>
              </w:rPr>
            </w:pPr>
            <w:r>
              <w:rPr>
                <w:rFonts w:ascii="Garamond" w:hAnsi="Garamond"/>
              </w:rPr>
              <w:t>FSGP (FY09)</w:t>
            </w:r>
          </w:p>
          <w:p w14:paraId="72136CB9" w14:textId="77777777" w:rsidR="0025614E" w:rsidRDefault="0025614E">
            <w:pPr>
              <w:rPr>
                <w:rFonts w:ascii="Garamond" w:hAnsi="Garamond"/>
                <w:b/>
              </w:rPr>
            </w:pPr>
            <w:r>
              <w:rPr>
                <w:rFonts w:ascii="Garamond" w:hAnsi="Garamond"/>
                <w:b/>
              </w:rPr>
              <w:t>AAA:</w:t>
            </w:r>
          </w:p>
          <w:p w14:paraId="6E3EEDD7" w14:textId="77777777" w:rsidR="0025614E" w:rsidRDefault="0025614E" w:rsidP="0025614E">
            <w:pPr>
              <w:numPr>
                <w:ilvl w:val="0"/>
                <w:numId w:val="34"/>
              </w:numPr>
              <w:tabs>
                <w:tab w:val="num" w:pos="162"/>
              </w:tabs>
              <w:ind w:left="0" w:firstLine="0"/>
              <w:rPr>
                <w:rFonts w:ascii="Garamond" w:eastAsiaTheme="majorEastAsia" w:hAnsi="Garamond" w:cstheme="majorBidi"/>
                <w:b/>
                <w:bCs/>
                <w:color w:val="A9A57C" w:themeColor="accent1"/>
                <w:szCs w:val="26"/>
              </w:rPr>
            </w:pPr>
            <w:r>
              <w:rPr>
                <w:rFonts w:ascii="Garamond" w:hAnsi="Garamond"/>
              </w:rPr>
              <w:t>DPNR (FY08)</w:t>
            </w:r>
          </w:p>
        </w:tc>
      </w:tr>
      <w:tr w:rsidR="0025614E" w14:paraId="2877701C" w14:textId="77777777" w:rsidTr="0025614E">
        <w:tc>
          <w:tcPr>
            <w:tcW w:w="3618" w:type="dxa"/>
            <w:tcBorders>
              <w:top w:val="single" w:sz="4" w:space="0" w:color="000000"/>
              <w:left w:val="single" w:sz="4" w:space="0" w:color="000000"/>
              <w:bottom w:val="single" w:sz="4" w:space="0" w:color="000000"/>
              <w:right w:val="single" w:sz="4" w:space="0" w:color="000000"/>
            </w:tcBorders>
          </w:tcPr>
          <w:p w14:paraId="0506BA2E" w14:textId="77777777" w:rsidR="0025614E" w:rsidRDefault="0025614E">
            <w:pPr>
              <w:pStyle w:val="BodyText0"/>
              <w:jc w:val="left"/>
              <w:rPr>
                <w:rFonts w:ascii="Garamond" w:hAnsi="Garamond"/>
                <w:b/>
                <w:color w:val="auto"/>
              </w:rPr>
            </w:pPr>
            <w:r>
              <w:rPr>
                <w:rFonts w:ascii="Garamond" w:hAnsi="Garamond"/>
                <w:b/>
                <w:color w:val="auto"/>
              </w:rPr>
              <w:t>ISN FY12-13 Outcome II.3: Improved performance of BTCI, UTB and BIA</w:t>
            </w:r>
          </w:p>
          <w:p w14:paraId="6E211DE5" w14:textId="77777777" w:rsidR="0025614E" w:rsidRDefault="0025614E" w:rsidP="0025614E">
            <w:pPr>
              <w:numPr>
                <w:ilvl w:val="0"/>
                <w:numId w:val="30"/>
              </w:numPr>
              <w:tabs>
                <w:tab w:val="num" w:pos="180"/>
              </w:tabs>
              <w:ind w:left="0" w:firstLine="0"/>
              <w:rPr>
                <w:rFonts w:ascii="Garamond" w:hAnsi="Garamond"/>
              </w:rPr>
            </w:pPr>
            <w:r>
              <w:rPr>
                <w:rFonts w:ascii="Garamond" w:hAnsi="Garamond"/>
              </w:rPr>
              <w:t>The three targeted banks have entered into partnerships (which involve the sale of a majority of shares) with strategic banking investors</w:t>
            </w:r>
          </w:p>
          <w:p w14:paraId="0784DA53" w14:textId="77777777" w:rsidR="0025614E" w:rsidRDefault="0025614E">
            <w:pPr>
              <w:pStyle w:val="BodyText0"/>
              <w:rPr>
                <w:rFonts w:ascii="Garamond" w:hAnsi="Garamond"/>
                <w:b/>
                <w:color w:val="auto"/>
              </w:rPr>
            </w:pPr>
            <w:r>
              <w:rPr>
                <w:rFonts w:ascii="Garamond" w:hAnsi="Garamond"/>
                <w:color w:val="auto"/>
              </w:rPr>
              <w:t>Baseline: 0 (2011)</w:t>
            </w:r>
          </w:p>
          <w:p w14:paraId="0EB846A5" w14:textId="77777777" w:rsidR="0025614E" w:rsidRDefault="0025614E">
            <w:pPr>
              <w:pStyle w:val="BodyText0"/>
              <w:rPr>
                <w:rFonts w:ascii="Garamond" w:hAnsi="Garamond"/>
                <w:b/>
                <w:color w:val="auto"/>
              </w:rPr>
            </w:pPr>
            <w:r>
              <w:rPr>
                <w:rFonts w:ascii="Garamond" w:hAnsi="Garamond"/>
                <w:color w:val="auto"/>
              </w:rPr>
              <w:t>Target: 2 banks by 2012, and the 3</w:t>
            </w:r>
            <w:r>
              <w:rPr>
                <w:rFonts w:ascii="Garamond" w:hAnsi="Garamond"/>
                <w:color w:val="auto"/>
                <w:vertAlign w:val="superscript"/>
              </w:rPr>
              <w:t>rd</w:t>
            </w:r>
            <w:r>
              <w:rPr>
                <w:rFonts w:ascii="Garamond" w:hAnsi="Garamond"/>
                <w:color w:val="auto"/>
              </w:rPr>
              <w:t xml:space="preserve"> bank by 2013</w:t>
            </w:r>
          </w:p>
          <w:p w14:paraId="4E7AED06" w14:textId="77777777" w:rsidR="0025614E" w:rsidRDefault="0025614E">
            <w:pPr>
              <w:pStyle w:val="BodyText0"/>
              <w:rPr>
                <w:rFonts w:ascii="Garamond" w:hAnsi="Garamond"/>
                <w:b/>
              </w:rPr>
            </w:pPr>
          </w:p>
        </w:tc>
        <w:tc>
          <w:tcPr>
            <w:tcW w:w="4140" w:type="dxa"/>
            <w:tcBorders>
              <w:top w:val="single" w:sz="4" w:space="0" w:color="000000"/>
              <w:left w:val="single" w:sz="4" w:space="0" w:color="000000"/>
              <w:bottom w:val="single" w:sz="4" w:space="0" w:color="000000"/>
              <w:right w:val="single" w:sz="4" w:space="0" w:color="000000"/>
            </w:tcBorders>
          </w:tcPr>
          <w:p w14:paraId="5CE3EB26" w14:textId="77777777" w:rsidR="0025614E" w:rsidRDefault="0025614E">
            <w:pPr>
              <w:rPr>
                <w:rFonts w:ascii="Garamond" w:hAnsi="Garamond"/>
              </w:rPr>
            </w:pPr>
            <w:r>
              <w:rPr>
                <w:rFonts w:ascii="Garamond" w:hAnsi="Garamond"/>
                <w:b/>
              </w:rPr>
              <w:t>Partially Achieved</w:t>
            </w:r>
          </w:p>
          <w:p w14:paraId="2EC10731" w14:textId="77777777" w:rsidR="0025614E" w:rsidRDefault="0025614E">
            <w:pPr>
              <w:rPr>
                <w:rFonts w:ascii="Garamond" w:hAnsi="Garamond"/>
              </w:rPr>
            </w:pPr>
          </w:p>
          <w:p w14:paraId="3E3DBC57" w14:textId="77777777" w:rsidR="0025614E" w:rsidRDefault="0025614E">
            <w:pPr>
              <w:rPr>
                <w:rFonts w:ascii="Garamond" w:hAnsi="Garamond"/>
              </w:rPr>
            </w:pPr>
          </w:p>
          <w:p w14:paraId="616F31C4" w14:textId="77777777" w:rsidR="0025614E" w:rsidRDefault="0025614E" w:rsidP="0025614E">
            <w:pPr>
              <w:numPr>
                <w:ilvl w:val="0"/>
                <w:numId w:val="32"/>
              </w:numPr>
              <w:tabs>
                <w:tab w:val="num" w:pos="144"/>
              </w:tabs>
              <w:ind w:left="0" w:firstLine="0"/>
              <w:rPr>
                <w:rFonts w:ascii="Garamond" w:hAnsi="Garamond"/>
              </w:rPr>
            </w:pPr>
            <w:r>
              <w:rPr>
                <w:rFonts w:ascii="Garamond" w:hAnsi="Garamond"/>
              </w:rPr>
              <w:t xml:space="preserve">2 banks (BTD and BIA) have entered into public-private partnerships </w:t>
            </w:r>
            <w:r>
              <w:rPr>
                <w:rFonts w:ascii="Garamond" w:hAnsi="Garamond"/>
                <w:b/>
              </w:rPr>
              <w:t xml:space="preserve">(achieved in December 2012 for BTD and September 2013 for BIA) </w:t>
            </w:r>
          </w:p>
          <w:p w14:paraId="01D51615" w14:textId="77777777" w:rsidR="0025614E" w:rsidRDefault="0025614E" w:rsidP="0025614E">
            <w:pPr>
              <w:numPr>
                <w:ilvl w:val="0"/>
                <w:numId w:val="32"/>
              </w:numPr>
              <w:tabs>
                <w:tab w:val="num" w:pos="144"/>
              </w:tabs>
              <w:ind w:left="0" w:firstLine="0"/>
              <w:rPr>
                <w:rFonts w:ascii="Garamond" w:hAnsi="Garamond"/>
              </w:rPr>
            </w:pPr>
            <w:r>
              <w:rPr>
                <w:rFonts w:ascii="Garamond" w:hAnsi="Garamond"/>
              </w:rPr>
              <w:t>The 2 remaining state-owned banks continue to face challenges, and a solution has not yet been decided.</w:t>
            </w:r>
          </w:p>
        </w:tc>
        <w:tc>
          <w:tcPr>
            <w:tcW w:w="2700" w:type="dxa"/>
            <w:tcBorders>
              <w:top w:val="single" w:sz="4" w:space="0" w:color="000000"/>
              <w:left w:val="single" w:sz="4" w:space="0" w:color="000000"/>
              <w:bottom w:val="single" w:sz="4" w:space="0" w:color="000000"/>
              <w:right w:val="single" w:sz="4" w:space="0" w:color="000000"/>
            </w:tcBorders>
            <w:hideMark/>
          </w:tcPr>
          <w:p w14:paraId="66BCC9FD"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t xml:space="preserve">Financial restructuring of BTCI, UTB and BIA completed </w:t>
            </w:r>
            <w:r>
              <w:rPr>
                <w:rFonts w:ascii="Garamond" w:hAnsi="Garamond"/>
                <w:b/>
              </w:rPr>
              <w:t>(partially achieved; 55% of BIA capital transferred to Attijariwafa Bank in September 2013)</w:t>
            </w:r>
          </w:p>
        </w:tc>
        <w:tc>
          <w:tcPr>
            <w:tcW w:w="2700" w:type="dxa"/>
            <w:tcBorders>
              <w:top w:val="single" w:sz="4" w:space="0" w:color="000000"/>
              <w:left w:val="single" w:sz="4" w:space="0" w:color="000000"/>
              <w:bottom w:val="single" w:sz="4" w:space="0" w:color="000000"/>
              <w:right w:val="single" w:sz="4" w:space="0" w:color="000000"/>
            </w:tcBorders>
            <w:hideMark/>
          </w:tcPr>
          <w:p w14:paraId="739DEF1D" w14:textId="77777777" w:rsidR="0025614E" w:rsidRDefault="0025614E">
            <w:pPr>
              <w:rPr>
                <w:rFonts w:ascii="Garamond" w:hAnsi="Garamond"/>
                <w:b/>
              </w:rPr>
            </w:pPr>
            <w:r>
              <w:rPr>
                <w:rFonts w:ascii="Garamond" w:hAnsi="Garamond"/>
                <w:b/>
              </w:rPr>
              <w:t>Operations:</w:t>
            </w:r>
          </w:p>
          <w:p w14:paraId="0CEB1437" w14:textId="77777777" w:rsidR="0025614E" w:rsidRDefault="0025614E" w:rsidP="0025614E">
            <w:pPr>
              <w:numPr>
                <w:ilvl w:val="0"/>
                <w:numId w:val="34"/>
              </w:numPr>
              <w:tabs>
                <w:tab w:val="num" w:pos="162"/>
              </w:tabs>
              <w:ind w:left="0" w:firstLine="0"/>
              <w:rPr>
                <w:rFonts w:ascii="Garamond" w:hAnsi="Garamond"/>
              </w:rPr>
            </w:pPr>
            <w:r>
              <w:rPr>
                <w:rFonts w:ascii="Garamond" w:hAnsi="Garamond"/>
              </w:rPr>
              <w:t>FSGP (FY09)</w:t>
            </w:r>
          </w:p>
          <w:p w14:paraId="31732C04" w14:textId="77777777" w:rsidR="0025614E" w:rsidRDefault="0025614E" w:rsidP="0025614E">
            <w:pPr>
              <w:numPr>
                <w:ilvl w:val="0"/>
                <w:numId w:val="34"/>
              </w:numPr>
              <w:tabs>
                <w:tab w:val="num" w:pos="162"/>
              </w:tabs>
              <w:ind w:left="0" w:firstLine="0"/>
              <w:rPr>
                <w:rFonts w:ascii="Garamond" w:hAnsi="Garamond"/>
              </w:rPr>
            </w:pPr>
            <w:r>
              <w:rPr>
                <w:rFonts w:ascii="Garamond" w:hAnsi="Garamond"/>
              </w:rPr>
              <w:t>IDF for Strengthening Capacity of the Accountancy Profession (FY11)</w:t>
            </w:r>
          </w:p>
          <w:p w14:paraId="2A6C6B79" w14:textId="77777777" w:rsidR="0025614E" w:rsidRDefault="0025614E">
            <w:pPr>
              <w:rPr>
                <w:rFonts w:ascii="Garamond" w:hAnsi="Garamond"/>
                <w:b/>
              </w:rPr>
            </w:pPr>
            <w:r>
              <w:rPr>
                <w:rFonts w:ascii="Garamond" w:hAnsi="Garamond"/>
                <w:b/>
              </w:rPr>
              <w:t>AAA:</w:t>
            </w:r>
          </w:p>
          <w:p w14:paraId="1C63C884" w14:textId="77777777" w:rsidR="0025614E" w:rsidRDefault="0025614E" w:rsidP="0025614E">
            <w:pPr>
              <w:numPr>
                <w:ilvl w:val="0"/>
                <w:numId w:val="34"/>
              </w:numPr>
              <w:tabs>
                <w:tab w:val="num" w:pos="162"/>
              </w:tabs>
              <w:ind w:left="0" w:firstLine="0"/>
              <w:rPr>
                <w:rFonts w:ascii="Garamond" w:hAnsi="Garamond"/>
              </w:rPr>
            </w:pPr>
            <w:r>
              <w:rPr>
                <w:rFonts w:ascii="Garamond" w:hAnsi="Garamond"/>
              </w:rPr>
              <w:t>TA on Use of Country Systems (FY12)</w:t>
            </w:r>
          </w:p>
          <w:p w14:paraId="3B103556" w14:textId="77777777" w:rsidR="0025614E" w:rsidRDefault="0025614E" w:rsidP="0025614E">
            <w:pPr>
              <w:numPr>
                <w:ilvl w:val="0"/>
                <w:numId w:val="34"/>
              </w:numPr>
              <w:tabs>
                <w:tab w:val="num" w:pos="162"/>
              </w:tabs>
              <w:ind w:left="0" w:firstLine="0"/>
              <w:rPr>
                <w:rFonts w:ascii="Garamond" w:eastAsiaTheme="majorEastAsia" w:hAnsi="Garamond" w:cstheme="majorBidi"/>
                <w:bCs/>
                <w:szCs w:val="26"/>
              </w:rPr>
            </w:pPr>
            <w:r>
              <w:rPr>
                <w:rFonts w:ascii="Garamond" w:eastAsiaTheme="majorEastAsia" w:hAnsi="Garamond" w:cstheme="majorBidi"/>
                <w:bCs/>
                <w:szCs w:val="26"/>
              </w:rPr>
              <w:t>ROSC Follow-up (FY12)</w:t>
            </w:r>
          </w:p>
          <w:p w14:paraId="77DB05B9" w14:textId="77777777" w:rsidR="0025614E" w:rsidRDefault="0025614E" w:rsidP="0025614E">
            <w:pPr>
              <w:numPr>
                <w:ilvl w:val="0"/>
                <w:numId w:val="34"/>
              </w:numPr>
              <w:tabs>
                <w:tab w:val="num" w:pos="162"/>
              </w:tabs>
              <w:ind w:left="0" w:firstLine="0"/>
              <w:rPr>
                <w:rFonts w:ascii="Garamond" w:eastAsiaTheme="majorEastAsia" w:hAnsi="Garamond" w:cstheme="majorBidi"/>
                <w:b/>
                <w:bCs/>
                <w:color w:val="A9A57C" w:themeColor="accent1"/>
                <w:szCs w:val="26"/>
              </w:rPr>
            </w:pPr>
            <w:r>
              <w:rPr>
                <w:rFonts w:ascii="Garamond" w:eastAsiaTheme="majorEastAsia" w:hAnsi="Garamond" w:cstheme="majorBidi"/>
                <w:bCs/>
                <w:szCs w:val="26"/>
              </w:rPr>
              <w:t>CPAR (FY13)</w:t>
            </w:r>
          </w:p>
        </w:tc>
      </w:tr>
      <w:tr w:rsidR="0025614E" w14:paraId="7F8E007A" w14:textId="77777777" w:rsidTr="0025614E">
        <w:trPr>
          <w:trHeight w:val="504"/>
        </w:trPr>
        <w:tc>
          <w:tcPr>
            <w:tcW w:w="13158" w:type="dxa"/>
            <w:gridSpan w:val="4"/>
            <w:tcBorders>
              <w:top w:val="single" w:sz="4" w:space="0" w:color="000000"/>
              <w:left w:val="single" w:sz="4" w:space="0" w:color="000000"/>
              <w:bottom w:val="single" w:sz="4" w:space="0" w:color="2F2B20" w:themeColor="text1"/>
              <w:right w:val="single" w:sz="4" w:space="0" w:color="000000"/>
            </w:tcBorders>
            <w:shd w:val="clear" w:color="auto" w:fill="99CCFF"/>
            <w:hideMark/>
          </w:tcPr>
          <w:p w14:paraId="0914BD37" w14:textId="77777777" w:rsidR="0025614E" w:rsidRDefault="0025614E">
            <w:pPr>
              <w:jc w:val="center"/>
              <w:rPr>
                <w:rFonts w:ascii="Garamond" w:eastAsia="Calibri" w:hAnsi="Garamond" w:cs="Times New Roman"/>
                <w:b/>
                <w:szCs w:val="24"/>
              </w:rPr>
            </w:pPr>
            <w:r>
              <w:rPr>
                <w:rFonts w:ascii="Garamond" w:hAnsi="Garamond"/>
                <w:b/>
              </w:rPr>
              <w:lastRenderedPageBreak/>
              <w:t>ISN FY08-10 PILLAR II: HELP THE ECONOMIC RECOVERY</w:t>
            </w:r>
          </w:p>
          <w:p w14:paraId="7BAB8EB0" w14:textId="77777777" w:rsidR="0025614E" w:rsidRDefault="0025614E">
            <w:pPr>
              <w:jc w:val="center"/>
              <w:rPr>
                <w:rFonts w:ascii="Garamond" w:hAnsi="Garamond"/>
                <w:b/>
              </w:rPr>
            </w:pPr>
            <w:r>
              <w:rPr>
                <w:rFonts w:ascii="Garamond" w:hAnsi="Garamond"/>
                <w:b/>
              </w:rPr>
              <w:t>IPRSP Area 2: Strengthening the Process of Achieving Economic Recovery and Promoting Sustainable Development</w:t>
            </w:r>
          </w:p>
        </w:tc>
      </w:tr>
      <w:tr w:rsidR="0025614E" w14:paraId="0157B00D" w14:textId="77777777" w:rsidTr="0025614E">
        <w:trPr>
          <w:trHeight w:val="504"/>
        </w:trPr>
        <w:tc>
          <w:tcPr>
            <w:tcW w:w="13158" w:type="dxa"/>
            <w:gridSpan w:val="4"/>
            <w:tcBorders>
              <w:top w:val="single" w:sz="4" w:space="0" w:color="000000"/>
              <w:left w:val="single" w:sz="4" w:space="0" w:color="000000"/>
              <w:bottom w:val="single" w:sz="4" w:space="0" w:color="2F2B20" w:themeColor="text1"/>
              <w:right w:val="single" w:sz="4" w:space="0" w:color="000000"/>
            </w:tcBorders>
            <w:shd w:val="clear" w:color="auto" w:fill="99CCFF"/>
            <w:hideMark/>
          </w:tcPr>
          <w:p w14:paraId="05B542FB" w14:textId="77777777" w:rsidR="0025614E" w:rsidRDefault="0025614E">
            <w:pPr>
              <w:jc w:val="center"/>
              <w:rPr>
                <w:rFonts w:ascii="Garamond" w:hAnsi="Garamond"/>
                <w:b/>
              </w:rPr>
            </w:pPr>
            <w:r>
              <w:rPr>
                <w:rFonts w:ascii="Garamond" w:hAnsi="Garamond"/>
                <w:b/>
              </w:rPr>
              <w:t>ISN FY12-13 PILLAR I: DEEPENING ECONOMIC RECOVERY AND PROMOTING SUSTAINABLE DEVELOPMENT</w:t>
            </w:r>
          </w:p>
          <w:p w14:paraId="15D75800" w14:textId="77777777" w:rsidR="0025614E" w:rsidRDefault="0025614E">
            <w:pPr>
              <w:jc w:val="center"/>
              <w:rPr>
                <w:rFonts w:ascii="Garamond" w:hAnsi="Garamond"/>
                <w:b/>
              </w:rPr>
            </w:pPr>
            <w:r>
              <w:rPr>
                <w:rFonts w:ascii="Garamond" w:hAnsi="Garamond"/>
                <w:b/>
              </w:rPr>
              <w:t>PRSP Second Pillar: Consolidation of the Foundations of Strong and Sustainable Growth</w:t>
            </w:r>
          </w:p>
        </w:tc>
      </w:tr>
      <w:tr w:rsidR="0025614E" w14:paraId="1779497A"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1C09911B" w14:textId="77777777" w:rsidR="0025614E" w:rsidRDefault="0025614E">
            <w:pPr>
              <w:pStyle w:val="BodyText0"/>
              <w:jc w:val="left"/>
              <w:rPr>
                <w:rFonts w:ascii="Garamond" w:hAnsi="Garamond"/>
                <w:b/>
                <w:color w:val="auto"/>
              </w:rPr>
            </w:pPr>
            <w:r>
              <w:rPr>
                <w:rFonts w:ascii="Garamond" w:hAnsi="Garamond"/>
                <w:b/>
                <w:color w:val="auto"/>
              </w:rPr>
              <w:t>ISN FY08-10 Outcome II.1: Adoption and commenced implementation of a strategic development plan for the Lomé Port, and key port services improved</w:t>
            </w:r>
          </w:p>
          <w:p w14:paraId="36107CFF" w14:textId="77777777" w:rsidR="0025614E" w:rsidRDefault="0025614E" w:rsidP="0025614E">
            <w:pPr>
              <w:numPr>
                <w:ilvl w:val="0"/>
                <w:numId w:val="32"/>
              </w:numPr>
              <w:tabs>
                <w:tab w:val="num" w:pos="144"/>
              </w:tabs>
              <w:ind w:left="0" w:firstLine="0"/>
              <w:rPr>
                <w:rFonts w:ascii="Garamond" w:hAnsi="Garamond"/>
              </w:rPr>
            </w:pPr>
            <w:r>
              <w:rPr>
                <w:rFonts w:ascii="Garamond" w:hAnsi="Garamond"/>
              </w:rPr>
              <w:t>Action plan under implementation</w:t>
            </w:r>
          </w:p>
          <w:p w14:paraId="31980CDB" w14:textId="77777777" w:rsidR="0025614E" w:rsidRDefault="0025614E">
            <w:pPr>
              <w:rPr>
                <w:rFonts w:ascii="Garamond" w:hAnsi="Garamond"/>
              </w:rPr>
            </w:pPr>
            <w:r>
              <w:rPr>
                <w:rFonts w:ascii="Garamond" w:hAnsi="Garamond"/>
              </w:rPr>
              <w:t>Baseline: No formal integrated plan exists (2008)</w:t>
            </w:r>
          </w:p>
        </w:tc>
        <w:tc>
          <w:tcPr>
            <w:tcW w:w="4140" w:type="dxa"/>
            <w:tcBorders>
              <w:top w:val="single" w:sz="4" w:space="0" w:color="000000"/>
              <w:left w:val="single" w:sz="4" w:space="0" w:color="000000"/>
              <w:bottom w:val="single" w:sz="4" w:space="0" w:color="000000"/>
              <w:right w:val="single" w:sz="4" w:space="0" w:color="000000"/>
            </w:tcBorders>
          </w:tcPr>
          <w:p w14:paraId="3131F0FF" w14:textId="77777777" w:rsidR="0025614E" w:rsidRDefault="0025614E">
            <w:pPr>
              <w:rPr>
                <w:rFonts w:ascii="Garamond" w:hAnsi="Garamond"/>
              </w:rPr>
            </w:pPr>
            <w:r>
              <w:rPr>
                <w:rFonts w:ascii="Garamond" w:hAnsi="Garamond"/>
                <w:b/>
              </w:rPr>
              <w:t>Achieved</w:t>
            </w:r>
          </w:p>
          <w:p w14:paraId="63F72C65" w14:textId="77777777" w:rsidR="0025614E" w:rsidRDefault="0025614E">
            <w:pPr>
              <w:rPr>
                <w:rFonts w:ascii="Garamond" w:hAnsi="Garamond"/>
              </w:rPr>
            </w:pPr>
          </w:p>
          <w:p w14:paraId="1C6EFCA7" w14:textId="77777777" w:rsidR="0025614E" w:rsidRDefault="0025614E">
            <w:pPr>
              <w:rPr>
                <w:rFonts w:ascii="Garamond" w:hAnsi="Garamond"/>
              </w:rPr>
            </w:pPr>
          </w:p>
          <w:p w14:paraId="68DF63F7" w14:textId="77777777" w:rsidR="0025614E" w:rsidRDefault="0025614E">
            <w:pPr>
              <w:rPr>
                <w:rFonts w:ascii="Garamond" w:hAnsi="Garamond"/>
              </w:rPr>
            </w:pPr>
          </w:p>
          <w:p w14:paraId="5D0AD7A4" w14:textId="77777777" w:rsidR="0025614E" w:rsidRDefault="0025614E" w:rsidP="0025614E">
            <w:pPr>
              <w:numPr>
                <w:ilvl w:val="0"/>
                <w:numId w:val="32"/>
              </w:numPr>
              <w:tabs>
                <w:tab w:val="num" w:pos="144"/>
              </w:tabs>
              <w:ind w:left="0" w:firstLine="0"/>
              <w:rPr>
                <w:rFonts w:ascii="Garamond" w:eastAsiaTheme="majorEastAsia" w:hAnsi="Garamond" w:cstheme="majorBidi"/>
                <w:b/>
                <w:bCs/>
                <w:color w:val="A9A57C" w:themeColor="accent1"/>
              </w:rPr>
            </w:pPr>
            <w:r>
              <w:rPr>
                <w:rFonts w:ascii="Garamond" w:hAnsi="Garamond"/>
              </w:rPr>
              <w:t>Although the team has been unable to confirm the status of the planned national strategic plan for the port, it is important to note that through IDA and IFC support, significant improvements were made in port infrastructure and services. IFC supported construction, development, and operation of the Lomé Container Terminal (the 1</w:t>
            </w:r>
            <w:r>
              <w:rPr>
                <w:rFonts w:ascii="Garamond" w:hAnsi="Garamond"/>
                <w:vertAlign w:val="superscript"/>
              </w:rPr>
              <w:t>st</w:t>
            </w:r>
            <w:r>
              <w:rPr>
                <w:rFonts w:ascii="Garamond" w:hAnsi="Garamond"/>
              </w:rPr>
              <w:t xml:space="preserve"> modern transshipment hub in West and Central Africa) and extension of the Lomé Port to accommodate 3-4 larger container ships. </w:t>
            </w:r>
          </w:p>
          <w:p w14:paraId="03FF916A" w14:textId="77777777" w:rsidR="0025614E" w:rsidRDefault="0025614E" w:rsidP="0025614E">
            <w:pPr>
              <w:numPr>
                <w:ilvl w:val="0"/>
                <w:numId w:val="32"/>
              </w:numPr>
              <w:tabs>
                <w:tab w:val="num" w:pos="144"/>
              </w:tabs>
              <w:ind w:left="0" w:firstLine="0"/>
              <w:rPr>
                <w:rFonts w:ascii="Garamond" w:eastAsiaTheme="majorEastAsia" w:hAnsi="Garamond" w:cstheme="majorBidi"/>
                <w:b/>
                <w:bCs/>
                <w:color w:val="A9A57C" w:themeColor="accent1"/>
              </w:rPr>
            </w:pPr>
            <w:r>
              <w:rPr>
                <w:rFonts w:ascii="Garamond" w:hAnsi="Garamond"/>
              </w:rPr>
              <w:t xml:space="preserve">Congestion at the border post in Aneho was reduced through provision of a large parking space for trucks, and traffic flow was improved through the rehabilitation and expansion of road and bridge infrastructure and a station and commercial platform at the border with Benin. </w:t>
            </w:r>
          </w:p>
          <w:p w14:paraId="7E7A3305" w14:textId="77777777" w:rsidR="0025614E" w:rsidRDefault="0025614E" w:rsidP="0025614E">
            <w:pPr>
              <w:numPr>
                <w:ilvl w:val="0"/>
                <w:numId w:val="32"/>
              </w:numPr>
              <w:tabs>
                <w:tab w:val="num" w:pos="144"/>
              </w:tabs>
              <w:ind w:left="0" w:firstLine="0"/>
              <w:rPr>
                <w:rFonts w:ascii="Garamond" w:eastAsiaTheme="majorEastAsia" w:hAnsi="Garamond" w:cstheme="majorBidi"/>
                <w:b/>
                <w:bCs/>
                <w:color w:val="A9A57C" w:themeColor="accent1"/>
              </w:rPr>
            </w:pPr>
            <w:r>
              <w:rPr>
                <w:rFonts w:ascii="Garamond" w:hAnsi="Garamond"/>
              </w:rPr>
              <w:t xml:space="preserve">Customs improvements included installation of the SYDONIA++ customs management system, strengthening of control services, and simplification of procedures such that the time that ships spend registering their manifestos dropped from 4 days in 2011 to 24 hours in 2013; and the time to dispatch their cargo from 23 days in 2010 to 7 days in </w:t>
            </w:r>
            <w:r>
              <w:rPr>
                <w:rFonts w:ascii="Garamond" w:hAnsi="Garamond"/>
              </w:rPr>
              <w:lastRenderedPageBreak/>
              <w:t xml:space="preserve">2013. Customs receipts increased by 31 percent between 2012 and 2013. </w:t>
            </w:r>
          </w:p>
          <w:p w14:paraId="31044AC4" w14:textId="77777777" w:rsidR="0025614E" w:rsidRDefault="0025614E" w:rsidP="0025614E">
            <w:pPr>
              <w:numPr>
                <w:ilvl w:val="0"/>
                <w:numId w:val="32"/>
              </w:numPr>
              <w:tabs>
                <w:tab w:val="num" w:pos="144"/>
              </w:tabs>
              <w:ind w:left="0" w:firstLine="0"/>
              <w:rPr>
                <w:rFonts w:ascii="Garamond" w:eastAsiaTheme="majorEastAsia" w:hAnsi="Garamond" w:cstheme="majorBidi"/>
                <w:b/>
                <w:bCs/>
                <w:color w:val="A9A57C" w:themeColor="accent1"/>
              </w:rPr>
            </w:pPr>
            <w:r>
              <w:rPr>
                <w:rFonts w:ascii="Garamond" w:hAnsi="Garamond"/>
              </w:rPr>
              <w:t>In 2014, Togo launched a one-stop-shop for external commerce, contributing significantly to reducing the time it takes to handle and deliver containers from the port—from 11 days to 3 hours.</w:t>
            </w:r>
          </w:p>
        </w:tc>
        <w:tc>
          <w:tcPr>
            <w:tcW w:w="2700" w:type="dxa"/>
            <w:tcBorders>
              <w:top w:val="single" w:sz="4" w:space="0" w:color="000000"/>
              <w:left w:val="single" w:sz="4" w:space="0" w:color="000000"/>
              <w:bottom w:val="single" w:sz="4" w:space="0" w:color="000000"/>
              <w:right w:val="single" w:sz="4" w:space="0" w:color="000000"/>
            </w:tcBorders>
            <w:hideMark/>
          </w:tcPr>
          <w:p w14:paraId="0CB5161A"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eastAsia="Calibri" w:hAnsi="Garamond" w:cs="Times New Roman"/>
                <w:szCs w:val="24"/>
              </w:rPr>
            </w:pPr>
            <w:r>
              <w:rPr>
                <w:rFonts w:ascii="Garamond" w:hAnsi="Garamond"/>
              </w:rPr>
              <w:lastRenderedPageBreak/>
              <w:t xml:space="preserve">Completion of a national strategic plan for the port </w:t>
            </w:r>
            <w:r>
              <w:rPr>
                <w:rFonts w:ascii="Garamond" w:hAnsi="Garamond"/>
                <w:b/>
              </w:rPr>
              <w:t>(status unknown)</w:t>
            </w:r>
          </w:p>
          <w:p w14:paraId="1A1D8F35"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hAnsi="Garamond"/>
              </w:rPr>
            </w:pPr>
            <w:r>
              <w:rPr>
                <w:rFonts w:ascii="Garamond" w:hAnsi="Garamond"/>
              </w:rPr>
              <w:t xml:space="preserve">Adoption of an action plan to implement the strategic development plan </w:t>
            </w:r>
            <w:r>
              <w:rPr>
                <w:rFonts w:ascii="Garamond" w:hAnsi="Garamond"/>
                <w:b/>
              </w:rPr>
              <w:t>(status unknown)</w:t>
            </w:r>
          </w:p>
        </w:tc>
        <w:tc>
          <w:tcPr>
            <w:tcW w:w="2700" w:type="dxa"/>
            <w:tcBorders>
              <w:top w:val="single" w:sz="4" w:space="0" w:color="000000"/>
              <w:left w:val="single" w:sz="4" w:space="0" w:color="000000"/>
              <w:bottom w:val="single" w:sz="4" w:space="0" w:color="000000"/>
              <w:right w:val="single" w:sz="4" w:space="0" w:color="000000"/>
            </w:tcBorders>
            <w:hideMark/>
          </w:tcPr>
          <w:p w14:paraId="7B0B9AB9" w14:textId="77777777" w:rsidR="0025614E" w:rsidRDefault="0025614E">
            <w:pPr>
              <w:rPr>
                <w:rFonts w:ascii="Garamond" w:hAnsi="Garamond"/>
                <w:b/>
              </w:rPr>
            </w:pPr>
            <w:r>
              <w:rPr>
                <w:rFonts w:ascii="Garamond" w:hAnsi="Garamond"/>
                <w:b/>
              </w:rPr>
              <w:t>Operations:</w:t>
            </w:r>
          </w:p>
          <w:p w14:paraId="073BAD70" w14:textId="77777777" w:rsidR="0025614E" w:rsidRDefault="0025614E" w:rsidP="0025614E">
            <w:pPr>
              <w:numPr>
                <w:ilvl w:val="0"/>
                <w:numId w:val="34"/>
              </w:numPr>
              <w:tabs>
                <w:tab w:val="num" w:pos="162"/>
              </w:tabs>
              <w:ind w:left="0" w:firstLine="0"/>
              <w:rPr>
                <w:rFonts w:ascii="Garamond" w:hAnsi="Garamond"/>
              </w:rPr>
            </w:pPr>
            <w:r>
              <w:rPr>
                <w:rFonts w:ascii="Garamond" w:hAnsi="Garamond"/>
              </w:rPr>
              <w:t>ERIREG (FY08)</w:t>
            </w:r>
          </w:p>
        </w:tc>
      </w:tr>
      <w:tr w:rsidR="0025614E" w14:paraId="2AAC9EB1"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2304921B" w14:textId="77777777" w:rsidR="0025614E" w:rsidRDefault="0025614E">
            <w:pPr>
              <w:pStyle w:val="BodyText0"/>
              <w:jc w:val="left"/>
              <w:rPr>
                <w:rFonts w:ascii="Garamond" w:hAnsi="Garamond"/>
                <w:b/>
                <w:color w:val="auto"/>
              </w:rPr>
            </w:pPr>
            <w:r>
              <w:rPr>
                <w:rFonts w:ascii="Garamond" w:hAnsi="Garamond"/>
                <w:b/>
                <w:color w:val="auto"/>
              </w:rPr>
              <w:t>ISN FY08-10 Outcome II.2: Reduced flooding in the Bé community of Lomé benefiting from rehabilitated drainage; adoption of a road, drainage and solid waste reform program for key urban areas, incorporating the lessons from the LICUS-supported Lomé pilot</w:t>
            </w:r>
          </w:p>
          <w:p w14:paraId="0165E5E9" w14:textId="77777777" w:rsidR="0025614E" w:rsidRDefault="0025614E" w:rsidP="0025614E">
            <w:pPr>
              <w:numPr>
                <w:ilvl w:val="0"/>
                <w:numId w:val="32"/>
              </w:numPr>
              <w:tabs>
                <w:tab w:val="num" w:pos="144"/>
              </w:tabs>
              <w:ind w:left="0" w:firstLine="0"/>
              <w:rPr>
                <w:rFonts w:ascii="Garamond" w:hAnsi="Garamond"/>
              </w:rPr>
            </w:pPr>
            <w:r>
              <w:rPr>
                <w:rFonts w:ascii="Garamond" w:hAnsi="Garamond"/>
              </w:rPr>
              <w:t>Level of flooding in the Bé community with rehabilitated drains</w:t>
            </w:r>
          </w:p>
          <w:p w14:paraId="3D31D5CA" w14:textId="77777777" w:rsidR="0025614E" w:rsidRDefault="0025614E">
            <w:pPr>
              <w:rPr>
                <w:rFonts w:ascii="Garamond" w:hAnsi="Garamond"/>
              </w:rPr>
            </w:pPr>
            <w:r>
              <w:rPr>
                <w:rFonts w:ascii="Garamond" w:hAnsi="Garamond"/>
              </w:rPr>
              <w:t>Baseline: Extensive seasonal flooding in the community (2008)</w:t>
            </w:r>
          </w:p>
        </w:tc>
        <w:tc>
          <w:tcPr>
            <w:tcW w:w="4140" w:type="dxa"/>
            <w:tcBorders>
              <w:top w:val="single" w:sz="4" w:space="0" w:color="000000"/>
              <w:left w:val="single" w:sz="4" w:space="0" w:color="000000"/>
              <w:bottom w:val="single" w:sz="4" w:space="0" w:color="000000"/>
              <w:right w:val="single" w:sz="4" w:space="0" w:color="000000"/>
            </w:tcBorders>
          </w:tcPr>
          <w:p w14:paraId="3BE37E6D" w14:textId="77777777" w:rsidR="0025614E" w:rsidRDefault="0025614E">
            <w:pPr>
              <w:rPr>
                <w:rFonts w:ascii="Garamond" w:hAnsi="Garamond"/>
              </w:rPr>
            </w:pPr>
            <w:r>
              <w:rPr>
                <w:rFonts w:ascii="Garamond" w:hAnsi="Garamond"/>
                <w:b/>
              </w:rPr>
              <w:t>Achieved</w:t>
            </w:r>
          </w:p>
          <w:p w14:paraId="2175EAF3" w14:textId="77777777" w:rsidR="0025614E" w:rsidRDefault="0025614E">
            <w:pPr>
              <w:rPr>
                <w:rFonts w:ascii="Garamond" w:hAnsi="Garamond"/>
              </w:rPr>
            </w:pPr>
          </w:p>
          <w:p w14:paraId="43C32D77" w14:textId="77777777" w:rsidR="0025614E" w:rsidRDefault="0025614E">
            <w:pPr>
              <w:rPr>
                <w:rFonts w:ascii="Garamond" w:hAnsi="Garamond"/>
              </w:rPr>
            </w:pPr>
          </w:p>
          <w:p w14:paraId="31B4091F" w14:textId="77777777" w:rsidR="0025614E" w:rsidRDefault="0025614E">
            <w:pPr>
              <w:rPr>
                <w:rFonts w:ascii="Garamond" w:hAnsi="Garamond"/>
              </w:rPr>
            </w:pPr>
          </w:p>
          <w:p w14:paraId="62CEAA66" w14:textId="77777777" w:rsidR="0025614E" w:rsidRDefault="0025614E">
            <w:pPr>
              <w:rPr>
                <w:rFonts w:ascii="Garamond" w:hAnsi="Garamond"/>
              </w:rPr>
            </w:pPr>
          </w:p>
          <w:p w14:paraId="2D6BF77A" w14:textId="77777777" w:rsidR="0025614E" w:rsidRDefault="0025614E">
            <w:pPr>
              <w:rPr>
                <w:rFonts w:ascii="Garamond" w:hAnsi="Garamond"/>
              </w:rPr>
            </w:pPr>
          </w:p>
          <w:p w14:paraId="2201D6CB" w14:textId="77777777" w:rsidR="0025614E" w:rsidRDefault="0025614E">
            <w:pPr>
              <w:rPr>
                <w:rFonts w:ascii="Garamond" w:hAnsi="Garamond"/>
              </w:rPr>
            </w:pPr>
          </w:p>
          <w:p w14:paraId="3B99EA8F" w14:textId="77777777" w:rsidR="0025614E" w:rsidRDefault="0025614E">
            <w:pPr>
              <w:rPr>
                <w:rFonts w:ascii="Garamond" w:hAnsi="Garamond"/>
              </w:rPr>
            </w:pPr>
          </w:p>
          <w:p w14:paraId="1AC84E5D" w14:textId="77777777" w:rsidR="0025614E" w:rsidRDefault="0025614E" w:rsidP="0025614E">
            <w:pPr>
              <w:numPr>
                <w:ilvl w:val="0"/>
                <w:numId w:val="32"/>
              </w:numPr>
              <w:tabs>
                <w:tab w:val="num" w:pos="144"/>
              </w:tabs>
              <w:ind w:left="0" w:firstLine="0"/>
              <w:rPr>
                <w:rFonts w:ascii="Garamond" w:eastAsiaTheme="majorEastAsia" w:hAnsi="Garamond" w:cstheme="majorBidi"/>
                <w:b/>
                <w:bCs/>
                <w:color w:val="A9A57C" w:themeColor="accent1"/>
              </w:rPr>
            </w:pPr>
            <w:r>
              <w:rPr>
                <w:rFonts w:ascii="Garamond" w:hAnsi="Garamond"/>
              </w:rPr>
              <w:t>52,000 people protected against flooding in 2011 (as compared to 2,000 people in 2009)</w:t>
            </w:r>
          </w:p>
          <w:p w14:paraId="1172F42B" w14:textId="77777777" w:rsidR="0025614E" w:rsidRDefault="0025614E" w:rsidP="0025614E">
            <w:pPr>
              <w:numPr>
                <w:ilvl w:val="0"/>
                <w:numId w:val="32"/>
              </w:numPr>
              <w:tabs>
                <w:tab w:val="num" w:pos="144"/>
              </w:tabs>
              <w:ind w:left="0" w:firstLine="0"/>
              <w:rPr>
                <w:rFonts w:ascii="Garamond" w:eastAsiaTheme="majorEastAsia" w:hAnsi="Garamond" w:cstheme="majorBidi"/>
                <w:b/>
                <w:bCs/>
                <w:color w:val="A9A57C" w:themeColor="accent1"/>
              </w:rPr>
            </w:pPr>
            <w:r>
              <w:rPr>
                <w:rFonts w:ascii="Garamond" w:hAnsi="Garamond"/>
              </w:rPr>
              <w:t>By June 2016, over 120 km of drainage systems had been cleaned out (compared to 98.2 km planned), 31.3 km of drains rehabilitated (compared to 22.2 km planned), 760,055 people protected from floods (compared to 720,000 planned), and overall more than 1.55 million people throughout the city of Lomé have emerged as beneficiaries (compared to 1.1 million people as estimated at the beginning of the project)</w:t>
            </w:r>
          </w:p>
        </w:tc>
        <w:tc>
          <w:tcPr>
            <w:tcW w:w="2700" w:type="dxa"/>
            <w:tcBorders>
              <w:top w:val="single" w:sz="4" w:space="0" w:color="000000"/>
              <w:left w:val="single" w:sz="4" w:space="0" w:color="000000"/>
              <w:bottom w:val="single" w:sz="4" w:space="0" w:color="000000"/>
              <w:right w:val="single" w:sz="4" w:space="0" w:color="000000"/>
            </w:tcBorders>
            <w:hideMark/>
          </w:tcPr>
          <w:p w14:paraId="020DD9CF"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eastAsia="Calibri" w:hAnsi="Garamond" w:cs="Times New Roman"/>
                <w:szCs w:val="24"/>
              </w:rPr>
            </w:pPr>
            <w:r>
              <w:rPr>
                <w:rFonts w:ascii="Garamond" w:hAnsi="Garamond"/>
              </w:rPr>
              <w:t xml:space="preserve">Drainage works completed in a selected disadvantaged Lomé neighborhood (Bé) and a stretch of road in Bé that has become a bottleneck to traffic flow rehabilitated </w:t>
            </w:r>
            <w:r>
              <w:rPr>
                <w:rFonts w:ascii="Garamond" w:hAnsi="Garamond"/>
                <w:b/>
              </w:rPr>
              <w:t>(achieved December 2010)</w:t>
            </w:r>
          </w:p>
        </w:tc>
        <w:tc>
          <w:tcPr>
            <w:tcW w:w="2700" w:type="dxa"/>
            <w:tcBorders>
              <w:top w:val="single" w:sz="4" w:space="0" w:color="000000"/>
              <w:left w:val="single" w:sz="4" w:space="0" w:color="000000"/>
              <w:bottom w:val="single" w:sz="4" w:space="0" w:color="000000"/>
              <w:right w:val="single" w:sz="4" w:space="0" w:color="000000"/>
            </w:tcBorders>
            <w:hideMark/>
          </w:tcPr>
          <w:p w14:paraId="686998E9" w14:textId="77777777" w:rsidR="0025614E" w:rsidRDefault="0025614E">
            <w:pPr>
              <w:rPr>
                <w:rFonts w:ascii="Garamond" w:hAnsi="Garamond"/>
                <w:b/>
              </w:rPr>
            </w:pPr>
            <w:r>
              <w:rPr>
                <w:rFonts w:ascii="Garamond" w:hAnsi="Garamond"/>
                <w:b/>
              </w:rPr>
              <w:t>Operations:</w:t>
            </w:r>
          </w:p>
          <w:p w14:paraId="361C2420" w14:textId="77777777" w:rsidR="0025614E" w:rsidRPr="0025614E" w:rsidRDefault="0025614E" w:rsidP="0025614E">
            <w:pPr>
              <w:numPr>
                <w:ilvl w:val="0"/>
                <w:numId w:val="34"/>
              </w:numPr>
              <w:tabs>
                <w:tab w:val="num" w:pos="162"/>
              </w:tabs>
              <w:ind w:left="0" w:firstLine="0"/>
              <w:rPr>
                <w:rFonts w:ascii="Garamond" w:hAnsi="Garamond"/>
                <w:lang w:val="fr-FR"/>
              </w:rPr>
            </w:pPr>
            <w:r w:rsidRPr="0025614E">
              <w:rPr>
                <w:rFonts w:ascii="Garamond" w:hAnsi="Garamond"/>
                <w:lang w:val="fr-FR"/>
              </w:rPr>
              <w:t>Lomé Infrastructure Rehabilitation and Maintenance (LICUS, FY08)</w:t>
            </w:r>
          </w:p>
          <w:p w14:paraId="70A2A54E" w14:textId="77777777" w:rsidR="0025614E" w:rsidRDefault="0025614E" w:rsidP="0025614E">
            <w:pPr>
              <w:numPr>
                <w:ilvl w:val="0"/>
                <w:numId w:val="34"/>
              </w:numPr>
              <w:tabs>
                <w:tab w:val="num" w:pos="162"/>
              </w:tabs>
              <w:ind w:left="0" w:firstLine="0"/>
              <w:rPr>
                <w:rFonts w:ascii="Garamond" w:hAnsi="Garamond"/>
              </w:rPr>
            </w:pPr>
            <w:r>
              <w:rPr>
                <w:rFonts w:ascii="Garamond" w:hAnsi="Garamond"/>
              </w:rPr>
              <w:t>Emergency Infrastructure Rehabilitation and Energy Project (PURISE, FY09)</w:t>
            </w:r>
          </w:p>
        </w:tc>
      </w:tr>
      <w:tr w:rsidR="0025614E" w14:paraId="0BD32468"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3B50C1CB" w14:textId="77777777" w:rsidR="0025614E" w:rsidRDefault="0025614E">
            <w:pPr>
              <w:pStyle w:val="BodyText0"/>
              <w:jc w:val="left"/>
              <w:rPr>
                <w:rFonts w:ascii="Garamond" w:hAnsi="Garamond"/>
                <w:b/>
                <w:color w:val="auto"/>
              </w:rPr>
            </w:pPr>
            <w:r>
              <w:rPr>
                <w:rFonts w:ascii="Garamond" w:hAnsi="Garamond"/>
                <w:b/>
                <w:color w:val="auto"/>
              </w:rPr>
              <w:t>ISN FY12-13 Outcome I.4</w:t>
            </w:r>
          </w:p>
          <w:p w14:paraId="24276C41" w14:textId="77777777" w:rsidR="0025614E" w:rsidRDefault="0025614E">
            <w:pPr>
              <w:pStyle w:val="BodyText0"/>
              <w:jc w:val="left"/>
              <w:rPr>
                <w:rFonts w:ascii="Garamond" w:hAnsi="Garamond"/>
                <w:b/>
                <w:color w:val="auto"/>
              </w:rPr>
            </w:pPr>
            <w:r>
              <w:rPr>
                <w:rFonts w:ascii="Garamond" w:hAnsi="Garamond"/>
                <w:b/>
                <w:color w:val="auto"/>
              </w:rPr>
              <w:t>Drainage rehabilitation</w:t>
            </w:r>
          </w:p>
          <w:p w14:paraId="1770B57C" w14:textId="77777777" w:rsidR="0025614E" w:rsidRDefault="0025614E" w:rsidP="0025614E">
            <w:pPr>
              <w:numPr>
                <w:ilvl w:val="0"/>
                <w:numId w:val="32"/>
              </w:numPr>
              <w:tabs>
                <w:tab w:val="num" w:pos="144"/>
              </w:tabs>
              <w:ind w:left="0" w:firstLine="0"/>
              <w:rPr>
                <w:rFonts w:ascii="Garamond" w:hAnsi="Garamond"/>
              </w:rPr>
            </w:pPr>
            <w:r>
              <w:rPr>
                <w:rFonts w:ascii="Garamond" w:hAnsi="Garamond"/>
              </w:rPr>
              <w:t>Km of drains cleaned</w:t>
            </w:r>
          </w:p>
          <w:p w14:paraId="59EF0E8B" w14:textId="77777777" w:rsidR="0025614E" w:rsidRDefault="0025614E">
            <w:pPr>
              <w:pStyle w:val="BodyText0"/>
              <w:rPr>
                <w:rFonts w:ascii="Garamond" w:hAnsi="Garamond"/>
                <w:b/>
                <w:color w:val="auto"/>
              </w:rPr>
            </w:pPr>
            <w:r>
              <w:rPr>
                <w:rFonts w:ascii="Garamond" w:hAnsi="Garamond"/>
                <w:color w:val="auto"/>
              </w:rPr>
              <w:t>Baseline: 0 (2010)</w:t>
            </w:r>
          </w:p>
          <w:p w14:paraId="430DC2B0" w14:textId="77777777" w:rsidR="0025614E" w:rsidRDefault="0025614E">
            <w:pPr>
              <w:pStyle w:val="BodyText0"/>
              <w:rPr>
                <w:rFonts w:ascii="Garamond" w:hAnsi="Garamond"/>
                <w:b/>
                <w:color w:val="auto"/>
              </w:rPr>
            </w:pPr>
            <w:r>
              <w:rPr>
                <w:rFonts w:ascii="Garamond" w:hAnsi="Garamond"/>
                <w:color w:val="auto"/>
              </w:rPr>
              <w:t>Target: 80 km (2013)</w:t>
            </w:r>
          </w:p>
        </w:tc>
        <w:tc>
          <w:tcPr>
            <w:tcW w:w="4140" w:type="dxa"/>
            <w:tcBorders>
              <w:top w:val="single" w:sz="4" w:space="0" w:color="000000"/>
              <w:left w:val="single" w:sz="4" w:space="0" w:color="000000"/>
              <w:bottom w:val="single" w:sz="4" w:space="0" w:color="000000"/>
              <w:right w:val="single" w:sz="4" w:space="0" w:color="000000"/>
            </w:tcBorders>
          </w:tcPr>
          <w:p w14:paraId="01F2ABC3" w14:textId="77777777" w:rsidR="0025614E" w:rsidRDefault="0025614E">
            <w:pPr>
              <w:rPr>
                <w:rFonts w:ascii="Garamond" w:hAnsi="Garamond"/>
              </w:rPr>
            </w:pPr>
            <w:r>
              <w:rPr>
                <w:rFonts w:ascii="Garamond" w:hAnsi="Garamond"/>
                <w:b/>
              </w:rPr>
              <w:t>Achieved</w:t>
            </w:r>
          </w:p>
          <w:p w14:paraId="55B418CD" w14:textId="77777777" w:rsidR="0025614E" w:rsidRDefault="0025614E">
            <w:pPr>
              <w:rPr>
                <w:rFonts w:ascii="Garamond" w:hAnsi="Garamond"/>
              </w:rPr>
            </w:pPr>
          </w:p>
          <w:p w14:paraId="79285CD1" w14:textId="77777777" w:rsidR="0025614E" w:rsidRDefault="0025614E" w:rsidP="0025614E">
            <w:pPr>
              <w:numPr>
                <w:ilvl w:val="0"/>
                <w:numId w:val="32"/>
              </w:numPr>
              <w:tabs>
                <w:tab w:val="num" w:pos="144"/>
              </w:tabs>
              <w:ind w:left="0" w:firstLine="0"/>
              <w:rPr>
                <w:rFonts w:ascii="Garamond" w:hAnsi="Garamond"/>
              </w:rPr>
            </w:pPr>
            <w:r>
              <w:rPr>
                <w:rFonts w:ascii="Garamond" w:hAnsi="Garamond"/>
              </w:rPr>
              <w:t>122 km (2014)</w:t>
            </w:r>
          </w:p>
        </w:tc>
        <w:tc>
          <w:tcPr>
            <w:tcW w:w="2700" w:type="dxa"/>
            <w:tcBorders>
              <w:top w:val="single" w:sz="4" w:space="0" w:color="000000"/>
              <w:left w:val="single" w:sz="4" w:space="0" w:color="000000"/>
              <w:bottom w:val="single" w:sz="4" w:space="0" w:color="000000"/>
              <w:right w:val="single" w:sz="4" w:space="0" w:color="000000"/>
            </w:tcBorders>
            <w:hideMark/>
          </w:tcPr>
          <w:p w14:paraId="1C7DC7CC"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hAnsi="Garamond"/>
                <w:szCs w:val="24"/>
              </w:rPr>
            </w:pPr>
            <w:r>
              <w:rPr>
                <w:rFonts w:ascii="Garamond" w:hAnsi="Garamond"/>
              </w:rPr>
              <w:t xml:space="preserve">Drainage systems cleaned </w:t>
            </w:r>
            <w:r>
              <w:rPr>
                <w:rFonts w:ascii="Garamond" w:hAnsi="Garamond"/>
                <w:b/>
              </w:rPr>
              <w:t>(achieved)</w:t>
            </w:r>
          </w:p>
        </w:tc>
        <w:tc>
          <w:tcPr>
            <w:tcW w:w="2700" w:type="dxa"/>
            <w:tcBorders>
              <w:top w:val="single" w:sz="4" w:space="0" w:color="000000"/>
              <w:left w:val="single" w:sz="4" w:space="0" w:color="000000"/>
              <w:bottom w:val="single" w:sz="4" w:space="0" w:color="000000"/>
              <w:right w:val="single" w:sz="4" w:space="0" w:color="000000"/>
            </w:tcBorders>
            <w:hideMark/>
          </w:tcPr>
          <w:p w14:paraId="206698FB" w14:textId="77777777" w:rsidR="0025614E" w:rsidRDefault="0025614E">
            <w:pPr>
              <w:rPr>
                <w:rFonts w:ascii="Garamond" w:hAnsi="Garamond"/>
                <w:b/>
              </w:rPr>
            </w:pPr>
            <w:r>
              <w:rPr>
                <w:rFonts w:ascii="Garamond" w:hAnsi="Garamond"/>
                <w:b/>
              </w:rPr>
              <w:t>Operations:</w:t>
            </w:r>
          </w:p>
          <w:p w14:paraId="1B078DAF" w14:textId="77777777" w:rsidR="0025614E" w:rsidRDefault="0025614E" w:rsidP="0025614E">
            <w:pPr>
              <w:numPr>
                <w:ilvl w:val="0"/>
                <w:numId w:val="34"/>
              </w:numPr>
              <w:tabs>
                <w:tab w:val="num" w:pos="162"/>
              </w:tabs>
              <w:ind w:left="0" w:firstLine="0"/>
              <w:rPr>
                <w:rFonts w:ascii="Garamond" w:hAnsi="Garamond"/>
              </w:rPr>
            </w:pPr>
            <w:r>
              <w:rPr>
                <w:rFonts w:ascii="Garamond" w:hAnsi="Garamond"/>
              </w:rPr>
              <w:t>PURISE (FY09); PURISE Additional Financing (AF) (FY11); PURISE AF2 (FY13)</w:t>
            </w:r>
          </w:p>
        </w:tc>
      </w:tr>
      <w:tr w:rsidR="0025614E" w14:paraId="2C439293"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3E28553D" w14:textId="77777777" w:rsidR="0025614E" w:rsidRDefault="0025614E">
            <w:pPr>
              <w:pStyle w:val="BodyText0"/>
              <w:jc w:val="left"/>
              <w:rPr>
                <w:rFonts w:ascii="Garamond" w:hAnsi="Garamond"/>
                <w:b/>
                <w:color w:val="auto"/>
              </w:rPr>
            </w:pPr>
            <w:r>
              <w:rPr>
                <w:rFonts w:ascii="Garamond" w:hAnsi="Garamond"/>
                <w:b/>
                <w:color w:val="auto"/>
              </w:rPr>
              <w:lastRenderedPageBreak/>
              <w:t>ISN FY12-13 Outcome III.3: Flood reduction, especially in Lomé township and its environs</w:t>
            </w:r>
          </w:p>
          <w:p w14:paraId="2C5AEC7D" w14:textId="77777777" w:rsidR="0025614E" w:rsidRDefault="0025614E" w:rsidP="0025614E">
            <w:pPr>
              <w:numPr>
                <w:ilvl w:val="0"/>
                <w:numId w:val="30"/>
              </w:numPr>
              <w:tabs>
                <w:tab w:val="num" w:pos="180"/>
              </w:tabs>
              <w:ind w:left="0" w:firstLine="0"/>
              <w:rPr>
                <w:rFonts w:ascii="Garamond" w:hAnsi="Garamond"/>
              </w:rPr>
            </w:pPr>
            <w:r>
              <w:rPr>
                <w:rFonts w:ascii="Garamond" w:hAnsi="Garamond"/>
              </w:rPr>
              <w:t>Number of kilometers of rehabilitated drainage network</w:t>
            </w:r>
          </w:p>
          <w:p w14:paraId="372F3D65" w14:textId="77777777" w:rsidR="0025614E" w:rsidRDefault="0025614E">
            <w:pPr>
              <w:rPr>
                <w:rFonts w:ascii="Garamond" w:hAnsi="Garamond"/>
              </w:rPr>
            </w:pPr>
            <w:r>
              <w:rPr>
                <w:rFonts w:ascii="Garamond" w:hAnsi="Garamond"/>
              </w:rPr>
              <w:t>Baseline: 0 (2010)</w:t>
            </w:r>
          </w:p>
          <w:p w14:paraId="2A531832" w14:textId="77777777" w:rsidR="0025614E" w:rsidRDefault="0025614E">
            <w:pPr>
              <w:rPr>
                <w:rFonts w:ascii="Garamond" w:hAnsi="Garamond"/>
              </w:rPr>
            </w:pPr>
            <w:r>
              <w:rPr>
                <w:rFonts w:ascii="Garamond" w:hAnsi="Garamond"/>
              </w:rPr>
              <w:t>Target: 30 km (2013)</w:t>
            </w:r>
          </w:p>
        </w:tc>
        <w:tc>
          <w:tcPr>
            <w:tcW w:w="4140" w:type="dxa"/>
            <w:tcBorders>
              <w:top w:val="single" w:sz="4" w:space="0" w:color="000000"/>
              <w:left w:val="single" w:sz="4" w:space="0" w:color="000000"/>
              <w:bottom w:val="single" w:sz="4" w:space="0" w:color="000000"/>
              <w:right w:val="single" w:sz="4" w:space="0" w:color="000000"/>
            </w:tcBorders>
          </w:tcPr>
          <w:p w14:paraId="50D3FB19" w14:textId="77777777" w:rsidR="0025614E" w:rsidRDefault="0025614E">
            <w:pPr>
              <w:rPr>
                <w:rFonts w:ascii="Garamond" w:hAnsi="Garamond"/>
              </w:rPr>
            </w:pPr>
            <w:r>
              <w:rPr>
                <w:rFonts w:ascii="Garamond" w:hAnsi="Garamond"/>
                <w:b/>
              </w:rPr>
              <w:t>Achieved</w:t>
            </w:r>
          </w:p>
          <w:p w14:paraId="6F54CC1D" w14:textId="77777777" w:rsidR="0025614E" w:rsidRDefault="0025614E">
            <w:pPr>
              <w:rPr>
                <w:rFonts w:ascii="Garamond" w:hAnsi="Garamond"/>
              </w:rPr>
            </w:pPr>
          </w:p>
          <w:p w14:paraId="2327732B" w14:textId="77777777" w:rsidR="0025614E" w:rsidRDefault="0025614E">
            <w:pPr>
              <w:rPr>
                <w:rFonts w:ascii="Garamond" w:hAnsi="Garamond"/>
              </w:rPr>
            </w:pPr>
          </w:p>
          <w:p w14:paraId="3B79EB33" w14:textId="77777777" w:rsidR="0025614E" w:rsidRDefault="0025614E" w:rsidP="0025614E">
            <w:pPr>
              <w:numPr>
                <w:ilvl w:val="0"/>
                <w:numId w:val="32"/>
              </w:numPr>
              <w:tabs>
                <w:tab w:val="num" w:pos="144"/>
              </w:tabs>
              <w:ind w:left="0" w:firstLine="0"/>
              <w:rPr>
                <w:rFonts w:ascii="Garamond" w:hAnsi="Garamond"/>
              </w:rPr>
            </w:pPr>
            <w:r>
              <w:rPr>
                <w:rFonts w:ascii="Garamond" w:hAnsi="Garamond"/>
              </w:rPr>
              <w:t xml:space="preserve">31.3 km (2016) </w:t>
            </w:r>
          </w:p>
        </w:tc>
        <w:tc>
          <w:tcPr>
            <w:tcW w:w="2700" w:type="dxa"/>
            <w:tcBorders>
              <w:top w:val="single" w:sz="4" w:space="0" w:color="000000"/>
              <w:left w:val="single" w:sz="4" w:space="0" w:color="000000"/>
              <w:bottom w:val="single" w:sz="4" w:space="0" w:color="000000"/>
              <w:right w:val="single" w:sz="4" w:space="0" w:color="000000"/>
            </w:tcBorders>
            <w:hideMark/>
          </w:tcPr>
          <w:p w14:paraId="4F40CE4E"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t xml:space="preserve">An early warning system installed </w:t>
            </w:r>
            <w:r>
              <w:rPr>
                <w:rFonts w:ascii="Garamond" w:hAnsi="Garamond"/>
                <w:b/>
                <w:color w:val="2F2B20" w:themeColor="text1"/>
              </w:rPr>
              <w:t>(not achieved)</w:t>
            </w:r>
          </w:p>
        </w:tc>
        <w:tc>
          <w:tcPr>
            <w:tcW w:w="2700" w:type="dxa"/>
            <w:tcBorders>
              <w:top w:val="single" w:sz="4" w:space="0" w:color="000000"/>
              <w:left w:val="single" w:sz="4" w:space="0" w:color="000000"/>
              <w:bottom w:val="single" w:sz="4" w:space="0" w:color="000000"/>
              <w:right w:val="single" w:sz="4" w:space="0" w:color="000000"/>
            </w:tcBorders>
            <w:hideMark/>
          </w:tcPr>
          <w:p w14:paraId="04376AD2" w14:textId="77777777" w:rsidR="0025614E" w:rsidRDefault="0025614E">
            <w:pPr>
              <w:rPr>
                <w:rFonts w:ascii="Garamond" w:hAnsi="Garamond"/>
                <w:b/>
              </w:rPr>
            </w:pPr>
            <w:r>
              <w:rPr>
                <w:rFonts w:ascii="Garamond" w:hAnsi="Garamond"/>
                <w:b/>
              </w:rPr>
              <w:t>Operations:</w:t>
            </w:r>
          </w:p>
          <w:p w14:paraId="5D099DA7" w14:textId="77777777" w:rsidR="0025614E" w:rsidRDefault="0025614E" w:rsidP="0025614E">
            <w:pPr>
              <w:numPr>
                <w:ilvl w:val="0"/>
                <w:numId w:val="34"/>
              </w:numPr>
              <w:tabs>
                <w:tab w:val="num" w:pos="162"/>
              </w:tabs>
              <w:ind w:left="0" w:firstLine="0"/>
              <w:rPr>
                <w:rFonts w:ascii="Garamond" w:hAnsi="Garamond"/>
              </w:rPr>
            </w:pPr>
            <w:r>
              <w:rPr>
                <w:rFonts w:ascii="Garamond" w:hAnsi="Garamond"/>
              </w:rPr>
              <w:t xml:space="preserve">PURISE (FY09); PURISE AF (FY11); PURISE AF2 (FY13) </w:t>
            </w:r>
          </w:p>
          <w:p w14:paraId="54F205AE" w14:textId="77777777" w:rsidR="0025614E" w:rsidRDefault="0025614E" w:rsidP="0025614E">
            <w:pPr>
              <w:numPr>
                <w:ilvl w:val="0"/>
                <w:numId w:val="34"/>
              </w:numPr>
              <w:tabs>
                <w:tab w:val="num" w:pos="162"/>
              </w:tabs>
              <w:ind w:left="0" w:firstLine="0"/>
              <w:rPr>
                <w:rFonts w:ascii="Garamond" w:hAnsi="Garamond"/>
              </w:rPr>
            </w:pPr>
            <w:r>
              <w:rPr>
                <w:rFonts w:ascii="Garamond" w:hAnsi="Garamond"/>
              </w:rPr>
              <w:t>Integrated Disaster and Land Management Project (FY12; GFDRR, GEF, Terr Africa, LDCF, and SFM)</w:t>
            </w:r>
          </w:p>
          <w:p w14:paraId="63D0C145" w14:textId="77777777" w:rsidR="0025614E" w:rsidRDefault="0025614E">
            <w:pPr>
              <w:rPr>
                <w:rFonts w:ascii="Garamond" w:hAnsi="Garamond"/>
                <w:b/>
              </w:rPr>
            </w:pPr>
            <w:r>
              <w:rPr>
                <w:rFonts w:ascii="Garamond" w:hAnsi="Garamond"/>
                <w:b/>
              </w:rPr>
              <w:t>AAA:</w:t>
            </w:r>
          </w:p>
          <w:p w14:paraId="5A9364D5" w14:textId="77777777" w:rsidR="0025614E" w:rsidRDefault="0025614E" w:rsidP="0025614E">
            <w:pPr>
              <w:numPr>
                <w:ilvl w:val="0"/>
                <w:numId w:val="34"/>
              </w:numPr>
              <w:tabs>
                <w:tab w:val="num" w:pos="162"/>
              </w:tabs>
              <w:ind w:left="0" w:firstLine="0"/>
              <w:rPr>
                <w:rFonts w:ascii="Garamond" w:hAnsi="Garamond"/>
              </w:rPr>
            </w:pPr>
            <w:r>
              <w:rPr>
                <w:rFonts w:ascii="Garamond" w:hAnsi="Garamond"/>
              </w:rPr>
              <w:t>Post Disaster Needs Assessment (FY11)</w:t>
            </w:r>
          </w:p>
          <w:p w14:paraId="63902761" w14:textId="77777777" w:rsidR="0025614E" w:rsidRDefault="0025614E" w:rsidP="0025614E">
            <w:pPr>
              <w:numPr>
                <w:ilvl w:val="0"/>
                <w:numId w:val="34"/>
              </w:numPr>
              <w:tabs>
                <w:tab w:val="num" w:pos="162"/>
              </w:tabs>
              <w:ind w:left="0" w:firstLine="0"/>
              <w:rPr>
                <w:rFonts w:ascii="Garamond" w:hAnsi="Garamond"/>
              </w:rPr>
            </w:pPr>
            <w:r>
              <w:rPr>
                <w:rFonts w:ascii="Garamond" w:hAnsi="Garamond"/>
              </w:rPr>
              <w:t>Environment and Social Background Review (FY11)</w:t>
            </w:r>
          </w:p>
        </w:tc>
      </w:tr>
      <w:tr w:rsidR="0025614E" w14:paraId="5F510151"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375ADF2E" w14:textId="77777777" w:rsidR="0025614E" w:rsidRDefault="0025614E">
            <w:pPr>
              <w:pStyle w:val="BodyText0"/>
              <w:jc w:val="left"/>
              <w:rPr>
                <w:rFonts w:ascii="Garamond" w:hAnsi="Garamond"/>
                <w:b/>
                <w:color w:val="auto"/>
              </w:rPr>
            </w:pPr>
            <w:r>
              <w:rPr>
                <w:rFonts w:ascii="Garamond" w:hAnsi="Garamond"/>
                <w:b/>
                <w:color w:val="auto"/>
              </w:rPr>
              <w:t>ISN FY12-13 Outcome I.3</w:t>
            </w:r>
          </w:p>
          <w:p w14:paraId="3430B005" w14:textId="77777777" w:rsidR="0025614E" w:rsidRDefault="0025614E">
            <w:pPr>
              <w:pStyle w:val="BodyText0"/>
              <w:jc w:val="left"/>
              <w:rPr>
                <w:rFonts w:ascii="Garamond" w:hAnsi="Garamond"/>
                <w:b/>
                <w:color w:val="auto"/>
              </w:rPr>
            </w:pPr>
            <w:r>
              <w:rPr>
                <w:rFonts w:ascii="Garamond" w:hAnsi="Garamond"/>
                <w:b/>
                <w:color w:val="auto"/>
              </w:rPr>
              <w:t>Improved access to electricity</w:t>
            </w:r>
          </w:p>
          <w:p w14:paraId="4ADD6E28" w14:textId="77777777" w:rsidR="0025614E" w:rsidRDefault="0025614E" w:rsidP="0025614E">
            <w:pPr>
              <w:numPr>
                <w:ilvl w:val="0"/>
                <w:numId w:val="32"/>
              </w:numPr>
              <w:tabs>
                <w:tab w:val="num" w:pos="144"/>
              </w:tabs>
              <w:ind w:left="0" w:firstLine="0"/>
              <w:rPr>
                <w:rFonts w:ascii="Garamond" w:hAnsi="Garamond"/>
              </w:rPr>
            </w:pPr>
            <w:r>
              <w:rPr>
                <w:rFonts w:ascii="Garamond" w:hAnsi="Garamond"/>
              </w:rPr>
              <w:t>Number of transformer stations rehabilitated</w:t>
            </w:r>
          </w:p>
          <w:p w14:paraId="2BD7D32B" w14:textId="77777777" w:rsidR="0025614E" w:rsidRDefault="0025614E">
            <w:pPr>
              <w:pStyle w:val="BodyText0"/>
              <w:rPr>
                <w:rFonts w:ascii="Garamond" w:hAnsi="Garamond"/>
                <w:b/>
                <w:color w:val="auto"/>
              </w:rPr>
            </w:pPr>
            <w:r>
              <w:rPr>
                <w:rFonts w:ascii="Garamond" w:hAnsi="Garamond"/>
                <w:color w:val="auto"/>
              </w:rPr>
              <w:t>Baseline: 0 (2010)</w:t>
            </w:r>
          </w:p>
          <w:p w14:paraId="11CCDBE9" w14:textId="77777777" w:rsidR="0025614E" w:rsidRDefault="0025614E">
            <w:pPr>
              <w:pStyle w:val="BodyText0"/>
              <w:rPr>
                <w:rFonts w:ascii="Garamond" w:hAnsi="Garamond"/>
                <w:b/>
                <w:color w:val="auto"/>
              </w:rPr>
            </w:pPr>
            <w:r>
              <w:rPr>
                <w:rFonts w:ascii="Garamond" w:hAnsi="Garamond"/>
                <w:color w:val="auto"/>
              </w:rPr>
              <w:t>Target: 20 (2013)</w:t>
            </w:r>
          </w:p>
          <w:p w14:paraId="7B1D3176" w14:textId="77777777" w:rsidR="0025614E" w:rsidRDefault="0025614E" w:rsidP="0025614E">
            <w:pPr>
              <w:numPr>
                <w:ilvl w:val="0"/>
                <w:numId w:val="32"/>
              </w:numPr>
              <w:tabs>
                <w:tab w:val="num" w:pos="144"/>
              </w:tabs>
              <w:ind w:left="0" w:firstLine="0"/>
              <w:rPr>
                <w:rFonts w:ascii="Garamond" w:hAnsi="Garamond"/>
              </w:rPr>
            </w:pPr>
            <w:r>
              <w:rPr>
                <w:rFonts w:ascii="Garamond" w:hAnsi="Garamond"/>
              </w:rPr>
              <w:t>Extension of electricity supply network</w:t>
            </w:r>
          </w:p>
          <w:p w14:paraId="29FF886F" w14:textId="77777777" w:rsidR="0025614E" w:rsidRDefault="0025614E">
            <w:pPr>
              <w:pStyle w:val="BodyText0"/>
              <w:rPr>
                <w:rFonts w:ascii="Garamond" w:hAnsi="Garamond"/>
                <w:b/>
                <w:color w:val="auto"/>
              </w:rPr>
            </w:pPr>
            <w:r>
              <w:rPr>
                <w:rFonts w:ascii="Garamond" w:hAnsi="Garamond"/>
                <w:color w:val="auto"/>
              </w:rPr>
              <w:t>Baseline: 0 (2010)</w:t>
            </w:r>
          </w:p>
          <w:p w14:paraId="4B21DADF" w14:textId="77777777" w:rsidR="0025614E" w:rsidRDefault="0025614E">
            <w:pPr>
              <w:pStyle w:val="BodyText0"/>
              <w:rPr>
                <w:rFonts w:ascii="Garamond" w:hAnsi="Garamond"/>
                <w:color w:val="auto"/>
              </w:rPr>
            </w:pPr>
            <w:r>
              <w:rPr>
                <w:rFonts w:ascii="Garamond" w:hAnsi="Garamond"/>
                <w:color w:val="auto"/>
              </w:rPr>
              <w:t>Target: 30 km (2013)</w:t>
            </w:r>
          </w:p>
        </w:tc>
        <w:tc>
          <w:tcPr>
            <w:tcW w:w="4140" w:type="dxa"/>
            <w:tcBorders>
              <w:top w:val="single" w:sz="4" w:space="0" w:color="000000"/>
              <w:left w:val="single" w:sz="4" w:space="0" w:color="000000"/>
              <w:bottom w:val="single" w:sz="4" w:space="0" w:color="000000"/>
              <w:right w:val="single" w:sz="4" w:space="0" w:color="000000"/>
            </w:tcBorders>
          </w:tcPr>
          <w:p w14:paraId="6CD680F7" w14:textId="77777777" w:rsidR="0025614E" w:rsidRDefault="0025614E">
            <w:pPr>
              <w:rPr>
                <w:rFonts w:ascii="Garamond" w:hAnsi="Garamond"/>
              </w:rPr>
            </w:pPr>
            <w:r>
              <w:rPr>
                <w:rFonts w:ascii="Garamond" w:hAnsi="Garamond"/>
                <w:b/>
              </w:rPr>
              <w:t>Achieved</w:t>
            </w:r>
          </w:p>
          <w:p w14:paraId="7C1E6968" w14:textId="77777777" w:rsidR="0025614E" w:rsidRDefault="0025614E">
            <w:pPr>
              <w:rPr>
                <w:rFonts w:ascii="Garamond" w:hAnsi="Garamond"/>
              </w:rPr>
            </w:pPr>
          </w:p>
          <w:p w14:paraId="35BEA75A" w14:textId="77777777" w:rsidR="0025614E" w:rsidRDefault="0025614E" w:rsidP="0025614E">
            <w:pPr>
              <w:numPr>
                <w:ilvl w:val="0"/>
                <w:numId w:val="32"/>
              </w:numPr>
              <w:tabs>
                <w:tab w:val="num" w:pos="144"/>
              </w:tabs>
              <w:ind w:left="0" w:firstLine="0"/>
              <w:rPr>
                <w:rFonts w:ascii="Garamond" w:hAnsi="Garamond"/>
              </w:rPr>
            </w:pPr>
            <w:r>
              <w:rPr>
                <w:rFonts w:ascii="Garamond" w:hAnsi="Garamond"/>
              </w:rPr>
              <w:t>21 (2014)</w:t>
            </w:r>
          </w:p>
          <w:p w14:paraId="6E27092D" w14:textId="77777777" w:rsidR="0025614E" w:rsidRDefault="0025614E">
            <w:pPr>
              <w:rPr>
                <w:rFonts w:ascii="Garamond" w:hAnsi="Garamond"/>
              </w:rPr>
            </w:pPr>
          </w:p>
          <w:p w14:paraId="6A97E93F" w14:textId="77777777" w:rsidR="0025614E" w:rsidRDefault="0025614E">
            <w:pPr>
              <w:rPr>
                <w:rFonts w:ascii="Garamond" w:hAnsi="Garamond"/>
              </w:rPr>
            </w:pPr>
          </w:p>
          <w:p w14:paraId="60DC1749" w14:textId="77777777" w:rsidR="0025614E" w:rsidRDefault="0025614E">
            <w:pPr>
              <w:rPr>
                <w:rFonts w:ascii="Garamond" w:hAnsi="Garamond"/>
              </w:rPr>
            </w:pPr>
          </w:p>
          <w:p w14:paraId="76763FF5" w14:textId="77777777" w:rsidR="0025614E" w:rsidRDefault="0025614E">
            <w:pPr>
              <w:rPr>
                <w:rFonts w:ascii="Garamond" w:hAnsi="Garamond"/>
                <w:b/>
              </w:rPr>
            </w:pPr>
            <w:r>
              <w:rPr>
                <w:rFonts w:ascii="Garamond" w:hAnsi="Garamond"/>
              </w:rPr>
              <w:t xml:space="preserve">33 km (2014) </w:t>
            </w:r>
          </w:p>
        </w:tc>
        <w:tc>
          <w:tcPr>
            <w:tcW w:w="2700" w:type="dxa"/>
            <w:tcBorders>
              <w:top w:val="single" w:sz="4" w:space="0" w:color="000000"/>
              <w:left w:val="single" w:sz="4" w:space="0" w:color="000000"/>
              <w:bottom w:val="single" w:sz="4" w:space="0" w:color="000000"/>
              <w:right w:val="single" w:sz="4" w:space="0" w:color="000000"/>
            </w:tcBorders>
            <w:hideMark/>
          </w:tcPr>
          <w:p w14:paraId="31807E2F"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hAnsi="Garamond"/>
                <w:szCs w:val="24"/>
              </w:rPr>
            </w:pPr>
            <w:r>
              <w:rPr>
                <w:rFonts w:ascii="Garamond" w:hAnsi="Garamond"/>
              </w:rPr>
              <w:t xml:space="preserve">Rehabilitation of transformer stations completed </w:t>
            </w:r>
            <w:r>
              <w:rPr>
                <w:rFonts w:ascii="Garamond" w:hAnsi="Garamond"/>
                <w:b/>
              </w:rPr>
              <w:t>(achieved)</w:t>
            </w:r>
          </w:p>
          <w:p w14:paraId="2975A55F"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hAnsi="Garamond"/>
              </w:rPr>
            </w:pPr>
            <w:r>
              <w:rPr>
                <w:rFonts w:ascii="Garamond" w:hAnsi="Garamond"/>
              </w:rPr>
              <w:t xml:space="preserve">Extension of electricity supply network by 30 kilometers completed </w:t>
            </w:r>
            <w:r>
              <w:rPr>
                <w:rFonts w:ascii="Garamond" w:hAnsi="Garamond"/>
                <w:b/>
              </w:rPr>
              <w:t>(achieved)</w:t>
            </w:r>
          </w:p>
        </w:tc>
        <w:tc>
          <w:tcPr>
            <w:tcW w:w="2700" w:type="dxa"/>
            <w:tcBorders>
              <w:top w:val="single" w:sz="4" w:space="0" w:color="000000"/>
              <w:left w:val="single" w:sz="4" w:space="0" w:color="000000"/>
              <w:bottom w:val="single" w:sz="4" w:space="0" w:color="000000"/>
              <w:right w:val="single" w:sz="4" w:space="0" w:color="000000"/>
            </w:tcBorders>
            <w:hideMark/>
          </w:tcPr>
          <w:p w14:paraId="2155EE41" w14:textId="77777777" w:rsidR="0025614E" w:rsidRDefault="0025614E">
            <w:pPr>
              <w:rPr>
                <w:rFonts w:ascii="Garamond" w:hAnsi="Garamond"/>
                <w:b/>
              </w:rPr>
            </w:pPr>
            <w:r>
              <w:rPr>
                <w:rFonts w:ascii="Garamond" w:hAnsi="Garamond"/>
                <w:b/>
              </w:rPr>
              <w:t>Operations:</w:t>
            </w:r>
          </w:p>
          <w:p w14:paraId="78A1E4B0" w14:textId="77777777" w:rsidR="0025614E" w:rsidRDefault="0025614E" w:rsidP="0025614E">
            <w:pPr>
              <w:numPr>
                <w:ilvl w:val="0"/>
                <w:numId w:val="34"/>
              </w:numPr>
              <w:tabs>
                <w:tab w:val="num" w:pos="162"/>
              </w:tabs>
              <w:ind w:left="0" w:firstLine="0"/>
              <w:rPr>
                <w:rFonts w:ascii="Garamond" w:hAnsi="Garamond"/>
              </w:rPr>
            </w:pPr>
            <w:r>
              <w:rPr>
                <w:rFonts w:ascii="Garamond" w:hAnsi="Garamond"/>
              </w:rPr>
              <w:t>PURISE (FY09); PURISE AF (FY11); PURISE AF2 (FY13)</w:t>
            </w:r>
          </w:p>
          <w:p w14:paraId="75CF332A" w14:textId="77777777" w:rsidR="0025614E" w:rsidRDefault="0025614E" w:rsidP="0025614E">
            <w:pPr>
              <w:numPr>
                <w:ilvl w:val="0"/>
                <w:numId w:val="34"/>
              </w:numPr>
              <w:tabs>
                <w:tab w:val="num" w:pos="162"/>
              </w:tabs>
              <w:ind w:left="0" w:firstLine="0"/>
              <w:rPr>
                <w:rFonts w:ascii="Garamond" w:hAnsi="Garamond"/>
              </w:rPr>
            </w:pPr>
            <w:r>
              <w:rPr>
                <w:rFonts w:ascii="Garamond" w:hAnsi="Garamond"/>
              </w:rPr>
              <w:t>Regional Abidjan Lagos Trade and Transport Facilitation (FY10)</w:t>
            </w:r>
          </w:p>
          <w:p w14:paraId="28EABC95" w14:textId="77777777" w:rsidR="0025614E" w:rsidRDefault="0025614E" w:rsidP="0025614E">
            <w:pPr>
              <w:numPr>
                <w:ilvl w:val="0"/>
                <w:numId w:val="34"/>
              </w:numPr>
              <w:tabs>
                <w:tab w:val="num" w:pos="162"/>
              </w:tabs>
              <w:ind w:left="0" w:firstLine="0"/>
              <w:rPr>
                <w:rFonts w:ascii="Garamond" w:hAnsi="Garamond"/>
              </w:rPr>
            </w:pPr>
            <w:r>
              <w:rPr>
                <w:rFonts w:ascii="Garamond" w:hAnsi="Garamond"/>
              </w:rPr>
              <w:t>IFC equity investment (FY10) in Contour Global</w:t>
            </w:r>
          </w:p>
          <w:p w14:paraId="50517060" w14:textId="77777777" w:rsidR="0025614E" w:rsidRDefault="0025614E" w:rsidP="0025614E">
            <w:pPr>
              <w:numPr>
                <w:ilvl w:val="0"/>
                <w:numId w:val="34"/>
              </w:numPr>
              <w:tabs>
                <w:tab w:val="num" w:pos="162"/>
              </w:tabs>
              <w:ind w:left="0" w:firstLine="0"/>
              <w:rPr>
                <w:rFonts w:ascii="Garamond" w:hAnsi="Garamond"/>
              </w:rPr>
            </w:pPr>
            <w:r>
              <w:rPr>
                <w:rFonts w:ascii="Garamond" w:hAnsi="Garamond"/>
              </w:rPr>
              <w:t>IFC support for development of transshipment container handling at Lomé Port</w:t>
            </w:r>
          </w:p>
        </w:tc>
      </w:tr>
      <w:tr w:rsidR="0025614E" w14:paraId="6740A974"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41AC7697" w14:textId="77777777" w:rsidR="0025614E" w:rsidRDefault="0025614E">
            <w:pPr>
              <w:pStyle w:val="BodyText0"/>
              <w:jc w:val="left"/>
              <w:rPr>
                <w:rFonts w:ascii="Garamond" w:hAnsi="Garamond"/>
                <w:b/>
                <w:color w:val="auto"/>
              </w:rPr>
            </w:pPr>
            <w:r>
              <w:rPr>
                <w:rFonts w:ascii="Garamond" w:hAnsi="Garamond"/>
                <w:b/>
                <w:color w:val="auto"/>
              </w:rPr>
              <w:t>ISN FY08-10 Outcome II.3: Agreement between Government and cocoa/coffee professional organization on rehabilitation plan to increase production of cocoa/coffee</w:t>
            </w:r>
          </w:p>
          <w:p w14:paraId="104E437E" w14:textId="77777777" w:rsidR="0025614E" w:rsidRDefault="0025614E" w:rsidP="0025614E">
            <w:pPr>
              <w:numPr>
                <w:ilvl w:val="0"/>
                <w:numId w:val="32"/>
              </w:numPr>
              <w:tabs>
                <w:tab w:val="num" w:pos="144"/>
              </w:tabs>
              <w:ind w:left="0" w:firstLine="0"/>
              <w:rPr>
                <w:rFonts w:ascii="Garamond" w:hAnsi="Garamond"/>
              </w:rPr>
            </w:pPr>
            <w:r>
              <w:rPr>
                <w:rFonts w:ascii="Garamond" w:hAnsi="Garamond"/>
              </w:rPr>
              <w:t>Existence of a sector rehabilitation plan under implementation</w:t>
            </w:r>
          </w:p>
          <w:p w14:paraId="257FFAF0" w14:textId="77777777" w:rsidR="0025614E" w:rsidRDefault="0025614E">
            <w:pPr>
              <w:rPr>
                <w:rFonts w:ascii="Garamond" w:hAnsi="Garamond"/>
              </w:rPr>
            </w:pPr>
            <w:r>
              <w:rPr>
                <w:rFonts w:ascii="Garamond" w:hAnsi="Garamond"/>
              </w:rPr>
              <w:lastRenderedPageBreak/>
              <w:t>Baseline: No rehabilitation plan in place (end-2007)</w:t>
            </w:r>
          </w:p>
        </w:tc>
        <w:tc>
          <w:tcPr>
            <w:tcW w:w="4140" w:type="dxa"/>
            <w:tcBorders>
              <w:top w:val="single" w:sz="4" w:space="0" w:color="000000"/>
              <w:left w:val="single" w:sz="4" w:space="0" w:color="000000"/>
              <w:bottom w:val="single" w:sz="4" w:space="0" w:color="000000"/>
              <w:right w:val="single" w:sz="4" w:space="0" w:color="000000"/>
            </w:tcBorders>
          </w:tcPr>
          <w:p w14:paraId="39CA8B93" w14:textId="77777777" w:rsidR="0025614E" w:rsidRDefault="0025614E">
            <w:pPr>
              <w:rPr>
                <w:rFonts w:ascii="Garamond" w:hAnsi="Garamond"/>
              </w:rPr>
            </w:pPr>
            <w:r>
              <w:rPr>
                <w:rFonts w:ascii="Garamond" w:hAnsi="Garamond"/>
                <w:b/>
              </w:rPr>
              <w:lastRenderedPageBreak/>
              <w:t>Achieved</w:t>
            </w:r>
          </w:p>
          <w:p w14:paraId="2A595DB2" w14:textId="77777777" w:rsidR="0025614E" w:rsidRDefault="0025614E">
            <w:pPr>
              <w:rPr>
                <w:rFonts w:ascii="Garamond" w:hAnsi="Garamond"/>
              </w:rPr>
            </w:pPr>
          </w:p>
          <w:p w14:paraId="416C4098" w14:textId="77777777" w:rsidR="0025614E" w:rsidRDefault="0025614E">
            <w:pPr>
              <w:rPr>
                <w:rFonts w:ascii="Garamond" w:hAnsi="Garamond"/>
              </w:rPr>
            </w:pPr>
          </w:p>
          <w:p w14:paraId="70F6D345" w14:textId="77777777" w:rsidR="0025614E" w:rsidRDefault="0025614E">
            <w:pPr>
              <w:rPr>
                <w:rFonts w:ascii="Garamond" w:hAnsi="Garamond"/>
              </w:rPr>
            </w:pPr>
          </w:p>
          <w:p w14:paraId="4813E5EB" w14:textId="77777777" w:rsidR="0025614E" w:rsidRDefault="0025614E">
            <w:pPr>
              <w:rPr>
                <w:rFonts w:ascii="Garamond" w:hAnsi="Garamond"/>
              </w:rPr>
            </w:pPr>
          </w:p>
          <w:p w14:paraId="3E6838EB" w14:textId="77777777" w:rsidR="0025614E" w:rsidRDefault="0025614E">
            <w:pPr>
              <w:rPr>
                <w:rFonts w:ascii="Garamond" w:hAnsi="Garamond"/>
              </w:rPr>
            </w:pPr>
          </w:p>
          <w:p w14:paraId="3F5C7353" w14:textId="77777777" w:rsidR="0025614E" w:rsidRDefault="0025614E" w:rsidP="0025614E">
            <w:pPr>
              <w:numPr>
                <w:ilvl w:val="0"/>
                <w:numId w:val="32"/>
              </w:numPr>
              <w:tabs>
                <w:tab w:val="num" w:pos="144"/>
              </w:tabs>
              <w:ind w:left="0" w:firstLine="0"/>
              <w:rPr>
                <w:rFonts w:ascii="Garamond" w:eastAsiaTheme="majorEastAsia" w:hAnsi="Garamond" w:cstheme="majorBidi"/>
                <w:bCs/>
              </w:rPr>
            </w:pPr>
            <w:r>
              <w:rPr>
                <w:rFonts w:ascii="Garamond" w:eastAsiaTheme="majorEastAsia" w:hAnsi="Garamond" w:cstheme="majorBidi"/>
                <w:bCs/>
              </w:rPr>
              <w:t xml:space="preserve">A sector rehabilitation plan supported under the Agricultural Sector Support Project </w:t>
            </w:r>
            <w:r>
              <w:rPr>
                <w:rFonts w:ascii="Garamond" w:eastAsiaTheme="majorEastAsia" w:hAnsi="Garamond" w:cstheme="majorBidi"/>
                <w:bCs/>
              </w:rPr>
              <w:lastRenderedPageBreak/>
              <w:t>(PASA) under implementation since 2013. This support led to: (i) an increase in coffee and cocoa production through provision of improved technologies, advisory services, and access to better-quality agricultural inputs; (ii) strengthening of the capacity of producer organizations; and (iii) creation of an interprofessional council for coffee and cocoa (CICC-Togo) in September 2014, with a strategic plan for 2016-2020 finalized and adopted in August 2015.</w:t>
            </w:r>
          </w:p>
        </w:tc>
        <w:tc>
          <w:tcPr>
            <w:tcW w:w="2700" w:type="dxa"/>
            <w:tcBorders>
              <w:top w:val="single" w:sz="4" w:space="0" w:color="000000"/>
              <w:left w:val="single" w:sz="4" w:space="0" w:color="000000"/>
              <w:bottom w:val="single" w:sz="4" w:space="0" w:color="000000"/>
              <w:right w:val="single" w:sz="4" w:space="0" w:color="000000"/>
            </w:tcBorders>
            <w:hideMark/>
          </w:tcPr>
          <w:p w14:paraId="58C11CD4"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eastAsia="Calibri" w:hAnsi="Garamond" w:cs="Times New Roman"/>
                <w:szCs w:val="24"/>
              </w:rPr>
            </w:pPr>
            <w:r>
              <w:rPr>
                <w:rFonts w:ascii="Garamond" w:hAnsi="Garamond"/>
              </w:rPr>
              <w:lastRenderedPageBreak/>
              <w:t xml:space="preserve">Completion of a diagnostic study of the cocoa/coffee sector </w:t>
            </w:r>
            <w:r>
              <w:rPr>
                <w:rFonts w:ascii="Garamond" w:hAnsi="Garamond"/>
                <w:b/>
              </w:rPr>
              <w:t>(achieved in 2011 within the framework of the preparation of PASA)</w:t>
            </w:r>
          </w:p>
        </w:tc>
        <w:tc>
          <w:tcPr>
            <w:tcW w:w="2700" w:type="dxa"/>
            <w:tcBorders>
              <w:top w:val="single" w:sz="4" w:space="0" w:color="000000"/>
              <w:left w:val="single" w:sz="4" w:space="0" w:color="000000"/>
              <w:bottom w:val="single" w:sz="4" w:space="0" w:color="000000"/>
              <w:right w:val="single" w:sz="4" w:space="0" w:color="000000"/>
            </w:tcBorders>
            <w:hideMark/>
          </w:tcPr>
          <w:p w14:paraId="037BDD84" w14:textId="77777777" w:rsidR="0025614E" w:rsidRDefault="0025614E">
            <w:pPr>
              <w:rPr>
                <w:rFonts w:ascii="Garamond" w:hAnsi="Garamond"/>
                <w:b/>
              </w:rPr>
            </w:pPr>
            <w:r>
              <w:rPr>
                <w:rFonts w:ascii="Garamond" w:hAnsi="Garamond"/>
                <w:b/>
              </w:rPr>
              <w:t>Operations:</w:t>
            </w:r>
          </w:p>
          <w:p w14:paraId="41EDC507" w14:textId="77777777" w:rsidR="0025614E" w:rsidRDefault="0025614E" w:rsidP="0025614E">
            <w:pPr>
              <w:numPr>
                <w:ilvl w:val="0"/>
                <w:numId w:val="34"/>
              </w:numPr>
              <w:tabs>
                <w:tab w:val="num" w:pos="162"/>
              </w:tabs>
              <w:ind w:left="0" w:firstLine="0"/>
              <w:rPr>
                <w:rFonts w:ascii="Garamond" w:hAnsi="Garamond"/>
              </w:rPr>
            </w:pPr>
            <w:r>
              <w:rPr>
                <w:rFonts w:ascii="Garamond" w:hAnsi="Garamond"/>
              </w:rPr>
              <w:t>ERIREG (FY08)</w:t>
            </w:r>
          </w:p>
          <w:p w14:paraId="59AC8099" w14:textId="77777777" w:rsidR="0025614E" w:rsidRDefault="0025614E" w:rsidP="0025614E">
            <w:pPr>
              <w:numPr>
                <w:ilvl w:val="0"/>
                <w:numId w:val="34"/>
              </w:numPr>
              <w:tabs>
                <w:tab w:val="num" w:pos="162"/>
              </w:tabs>
              <w:ind w:left="0" w:firstLine="0"/>
              <w:rPr>
                <w:rFonts w:ascii="Garamond" w:hAnsi="Garamond"/>
              </w:rPr>
            </w:pPr>
            <w:r>
              <w:rPr>
                <w:rFonts w:ascii="Garamond" w:hAnsi="Garamond"/>
              </w:rPr>
              <w:t>PASA (FY11)</w:t>
            </w:r>
          </w:p>
          <w:p w14:paraId="49CE4C5E" w14:textId="77777777" w:rsidR="0025614E" w:rsidRDefault="0025614E">
            <w:pPr>
              <w:rPr>
                <w:rFonts w:ascii="Garamond" w:hAnsi="Garamond"/>
                <w:b/>
              </w:rPr>
            </w:pPr>
            <w:r>
              <w:rPr>
                <w:rFonts w:ascii="Garamond" w:hAnsi="Garamond"/>
                <w:b/>
              </w:rPr>
              <w:t>AAA:</w:t>
            </w:r>
          </w:p>
          <w:p w14:paraId="0A548360" w14:textId="77777777" w:rsidR="0025614E" w:rsidRDefault="0025614E" w:rsidP="0025614E">
            <w:pPr>
              <w:numPr>
                <w:ilvl w:val="0"/>
                <w:numId w:val="34"/>
              </w:numPr>
              <w:tabs>
                <w:tab w:val="num" w:pos="162"/>
              </w:tabs>
              <w:ind w:left="0" w:firstLine="0"/>
              <w:rPr>
                <w:rFonts w:ascii="Garamond" w:hAnsi="Garamond"/>
              </w:rPr>
            </w:pPr>
            <w:r>
              <w:rPr>
                <w:rFonts w:ascii="Garamond" w:hAnsi="Garamond"/>
              </w:rPr>
              <w:t>Country Economic Memorandum (CEM) on Sources of Growth (FY09)</w:t>
            </w:r>
          </w:p>
        </w:tc>
      </w:tr>
      <w:tr w:rsidR="0025614E" w14:paraId="2E960A3A"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36B1AE18" w14:textId="77777777" w:rsidR="0025614E" w:rsidRDefault="0025614E">
            <w:pPr>
              <w:pStyle w:val="BodyText0"/>
              <w:jc w:val="left"/>
              <w:rPr>
                <w:rFonts w:ascii="Garamond" w:hAnsi="Garamond"/>
                <w:b/>
                <w:color w:val="auto"/>
              </w:rPr>
            </w:pPr>
            <w:r>
              <w:rPr>
                <w:rFonts w:ascii="Garamond" w:hAnsi="Garamond"/>
                <w:b/>
                <w:color w:val="auto"/>
              </w:rPr>
              <w:t>ISN FY12-13 Outcome I.2: Increased crop output</w:t>
            </w:r>
          </w:p>
          <w:p w14:paraId="59709839" w14:textId="77777777" w:rsidR="0025614E" w:rsidRDefault="0025614E" w:rsidP="0025614E">
            <w:pPr>
              <w:numPr>
                <w:ilvl w:val="0"/>
                <w:numId w:val="32"/>
              </w:numPr>
              <w:tabs>
                <w:tab w:val="num" w:pos="144"/>
              </w:tabs>
              <w:ind w:left="0" w:firstLine="0"/>
              <w:rPr>
                <w:rFonts w:ascii="Garamond" w:hAnsi="Garamond"/>
              </w:rPr>
            </w:pPr>
            <w:r>
              <w:rPr>
                <w:rFonts w:ascii="Garamond" w:hAnsi="Garamond"/>
              </w:rPr>
              <w:t>Volume of crop output (tons)</w:t>
            </w:r>
          </w:p>
          <w:p w14:paraId="4F8CA3D0" w14:textId="77777777" w:rsidR="0025614E" w:rsidRDefault="0025614E">
            <w:pPr>
              <w:rPr>
                <w:rFonts w:ascii="Garamond" w:hAnsi="Garamond"/>
              </w:rPr>
            </w:pPr>
            <w:r>
              <w:rPr>
                <w:rFonts w:ascii="Garamond" w:hAnsi="Garamond"/>
              </w:rPr>
              <w:t>Baseline: Coffee 13,000 tons; Cocoa 6,000 tons; Husked Rice 0 tons; Warranted Corn 0 tons (2010)</w:t>
            </w:r>
          </w:p>
          <w:p w14:paraId="61754BFC" w14:textId="77777777" w:rsidR="0025614E" w:rsidRDefault="0025614E">
            <w:pPr>
              <w:rPr>
                <w:rFonts w:ascii="Garamond" w:hAnsi="Garamond"/>
              </w:rPr>
            </w:pPr>
            <w:r>
              <w:rPr>
                <w:rFonts w:ascii="Garamond" w:hAnsi="Garamond"/>
              </w:rPr>
              <w:t>Target: Coffee 15,000 tons; Cocoa 7,000 tons; Husked Rice 3,000 tons; Warranted Corn 800 tons (2013)</w:t>
            </w:r>
          </w:p>
        </w:tc>
        <w:tc>
          <w:tcPr>
            <w:tcW w:w="4140" w:type="dxa"/>
            <w:tcBorders>
              <w:top w:val="single" w:sz="4" w:space="0" w:color="000000"/>
              <w:left w:val="single" w:sz="4" w:space="0" w:color="000000"/>
              <w:bottom w:val="single" w:sz="4" w:space="0" w:color="000000"/>
              <w:right w:val="single" w:sz="4" w:space="0" w:color="000000"/>
            </w:tcBorders>
          </w:tcPr>
          <w:p w14:paraId="6BF0F230" w14:textId="77777777" w:rsidR="0025614E" w:rsidRDefault="0025614E">
            <w:pPr>
              <w:rPr>
                <w:rFonts w:ascii="Garamond" w:hAnsi="Garamond"/>
              </w:rPr>
            </w:pPr>
            <w:r>
              <w:rPr>
                <w:rFonts w:ascii="Garamond" w:hAnsi="Garamond"/>
                <w:b/>
              </w:rPr>
              <w:t>Achieved</w:t>
            </w:r>
          </w:p>
          <w:p w14:paraId="15880E01" w14:textId="77777777" w:rsidR="0025614E" w:rsidRDefault="0025614E">
            <w:pPr>
              <w:rPr>
                <w:rFonts w:ascii="Garamond" w:hAnsi="Garamond"/>
              </w:rPr>
            </w:pPr>
          </w:p>
          <w:p w14:paraId="1F8E0BDD" w14:textId="77777777" w:rsidR="0025614E" w:rsidRDefault="0025614E" w:rsidP="0025614E">
            <w:pPr>
              <w:numPr>
                <w:ilvl w:val="0"/>
                <w:numId w:val="32"/>
              </w:numPr>
              <w:tabs>
                <w:tab w:val="num" w:pos="144"/>
              </w:tabs>
              <w:ind w:left="0" w:firstLine="0"/>
              <w:rPr>
                <w:rFonts w:ascii="Garamond" w:eastAsiaTheme="majorEastAsia" w:hAnsi="Garamond" w:cstheme="majorBidi"/>
                <w:b/>
                <w:bCs/>
                <w:color w:val="A9A57C" w:themeColor="accent1"/>
              </w:rPr>
            </w:pPr>
            <w:r>
              <w:rPr>
                <w:rFonts w:ascii="Garamond" w:hAnsi="Garamond"/>
              </w:rPr>
              <w:t xml:space="preserve">Coffee: 16,092 tons (2016) </w:t>
            </w:r>
          </w:p>
          <w:p w14:paraId="2769EC69" w14:textId="77777777" w:rsidR="0025614E" w:rsidRDefault="0025614E" w:rsidP="0025614E">
            <w:pPr>
              <w:numPr>
                <w:ilvl w:val="0"/>
                <w:numId w:val="32"/>
              </w:numPr>
              <w:tabs>
                <w:tab w:val="num" w:pos="144"/>
              </w:tabs>
              <w:ind w:left="0" w:firstLine="0"/>
              <w:rPr>
                <w:rFonts w:ascii="Garamond" w:eastAsiaTheme="majorEastAsia" w:hAnsi="Garamond" w:cstheme="majorBidi"/>
                <w:b/>
                <w:bCs/>
                <w:color w:val="A9A57C" w:themeColor="accent1"/>
              </w:rPr>
            </w:pPr>
            <w:r>
              <w:rPr>
                <w:rFonts w:ascii="Garamond" w:hAnsi="Garamond"/>
              </w:rPr>
              <w:t xml:space="preserve">Cocoa: 10,384 tons (2016) </w:t>
            </w:r>
          </w:p>
          <w:p w14:paraId="259F4ACB" w14:textId="77777777" w:rsidR="0025614E" w:rsidRDefault="0025614E" w:rsidP="0025614E">
            <w:pPr>
              <w:numPr>
                <w:ilvl w:val="0"/>
                <w:numId w:val="32"/>
              </w:numPr>
              <w:tabs>
                <w:tab w:val="num" w:pos="144"/>
              </w:tabs>
              <w:ind w:left="0" w:firstLine="0"/>
              <w:rPr>
                <w:rFonts w:ascii="Garamond" w:eastAsiaTheme="majorEastAsia" w:hAnsi="Garamond" w:cstheme="majorBidi"/>
                <w:b/>
                <w:bCs/>
                <w:color w:val="A9A57C" w:themeColor="accent1"/>
              </w:rPr>
            </w:pPr>
            <w:r>
              <w:rPr>
                <w:rFonts w:ascii="Garamond" w:hAnsi="Garamond"/>
              </w:rPr>
              <w:t xml:space="preserve">Husked Rice: 6,213 tons (2016) </w:t>
            </w:r>
          </w:p>
          <w:p w14:paraId="6B050EA2" w14:textId="77777777" w:rsidR="0025614E" w:rsidRDefault="0025614E" w:rsidP="0025614E">
            <w:pPr>
              <w:numPr>
                <w:ilvl w:val="0"/>
                <w:numId w:val="32"/>
              </w:numPr>
              <w:tabs>
                <w:tab w:val="num" w:pos="144"/>
              </w:tabs>
              <w:ind w:left="0" w:firstLine="0"/>
              <w:rPr>
                <w:rFonts w:ascii="Garamond" w:eastAsiaTheme="majorEastAsia" w:hAnsi="Garamond" w:cstheme="majorBidi"/>
                <w:b/>
                <w:bCs/>
                <w:color w:val="A9A57C" w:themeColor="accent1"/>
              </w:rPr>
            </w:pPr>
            <w:r>
              <w:rPr>
                <w:rFonts w:ascii="Garamond" w:hAnsi="Garamond"/>
              </w:rPr>
              <w:t xml:space="preserve">Warranted Corn: 5,084 tons (2014) </w:t>
            </w:r>
          </w:p>
        </w:tc>
        <w:tc>
          <w:tcPr>
            <w:tcW w:w="2700" w:type="dxa"/>
            <w:tcBorders>
              <w:top w:val="single" w:sz="4" w:space="0" w:color="000000"/>
              <w:left w:val="single" w:sz="4" w:space="0" w:color="000000"/>
              <w:bottom w:val="single" w:sz="4" w:space="0" w:color="000000"/>
              <w:right w:val="single" w:sz="4" w:space="0" w:color="000000"/>
            </w:tcBorders>
            <w:hideMark/>
          </w:tcPr>
          <w:p w14:paraId="3C0F423B"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eastAsia="Calibri" w:hAnsi="Garamond" w:cs="Times New Roman"/>
                <w:szCs w:val="24"/>
              </w:rPr>
            </w:pPr>
            <w:r>
              <w:rPr>
                <w:rFonts w:ascii="Garamond" w:hAnsi="Garamond"/>
              </w:rPr>
              <w:t xml:space="preserve">Farmers provided with improved technologies, advisory services, and access to better quality agricultural inputs </w:t>
            </w:r>
            <w:r>
              <w:rPr>
                <w:rFonts w:ascii="Garamond" w:hAnsi="Garamond"/>
                <w:b/>
              </w:rPr>
              <w:t>(achieved)</w:t>
            </w:r>
          </w:p>
        </w:tc>
        <w:tc>
          <w:tcPr>
            <w:tcW w:w="2700" w:type="dxa"/>
            <w:tcBorders>
              <w:top w:val="single" w:sz="4" w:space="0" w:color="000000"/>
              <w:left w:val="single" w:sz="4" w:space="0" w:color="000000"/>
              <w:bottom w:val="single" w:sz="4" w:space="0" w:color="000000"/>
              <w:right w:val="single" w:sz="4" w:space="0" w:color="000000"/>
            </w:tcBorders>
            <w:hideMark/>
          </w:tcPr>
          <w:p w14:paraId="306CA222" w14:textId="77777777" w:rsidR="0025614E" w:rsidRDefault="0025614E">
            <w:pPr>
              <w:rPr>
                <w:rFonts w:ascii="Garamond" w:hAnsi="Garamond"/>
                <w:b/>
              </w:rPr>
            </w:pPr>
            <w:r>
              <w:rPr>
                <w:rFonts w:ascii="Garamond" w:hAnsi="Garamond"/>
                <w:b/>
              </w:rPr>
              <w:t>Operations:</w:t>
            </w:r>
          </w:p>
          <w:p w14:paraId="5294BDE1" w14:textId="77777777" w:rsidR="0025614E" w:rsidRDefault="0025614E" w:rsidP="0025614E">
            <w:pPr>
              <w:numPr>
                <w:ilvl w:val="0"/>
                <w:numId w:val="34"/>
              </w:numPr>
              <w:tabs>
                <w:tab w:val="num" w:pos="162"/>
              </w:tabs>
              <w:ind w:left="0" w:firstLine="0"/>
              <w:rPr>
                <w:rFonts w:ascii="Garamond" w:hAnsi="Garamond"/>
              </w:rPr>
            </w:pPr>
            <w:r>
              <w:rPr>
                <w:rFonts w:ascii="Garamond" w:hAnsi="Garamond"/>
              </w:rPr>
              <w:t>PASA (FY11)</w:t>
            </w:r>
          </w:p>
          <w:p w14:paraId="2F453E2D" w14:textId="77777777" w:rsidR="0025614E" w:rsidRDefault="0025614E" w:rsidP="0025614E">
            <w:pPr>
              <w:numPr>
                <w:ilvl w:val="0"/>
                <w:numId w:val="34"/>
              </w:numPr>
              <w:tabs>
                <w:tab w:val="num" w:pos="162"/>
              </w:tabs>
              <w:ind w:left="0" w:firstLine="0"/>
              <w:rPr>
                <w:rFonts w:ascii="Garamond" w:hAnsi="Garamond"/>
              </w:rPr>
            </w:pPr>
            <w:r>
              <w:rPr>
                <w:rFonts w:ascii="Garamond" w:hAnsi="Garamond"/>
              </w:rPr>
              <w:t>Regional Agricultural Productivity Program (FY11)</w:t>
            </w:r>
          </w:p>
          <w:p w14:paraId="0E6F0B3C" w14:textId="77777777" w:rsidR="0025614E" w:rsidRDefault="0025614E">
            <w:pPr>
              <w:rPr>
                <w:rFonts w:ascii="Garamond" w:hAnsi="Garamond"/>
                <w:b/>
              </w:rPr>
            </w:pPr>
            <w:r>
              <w:rPr>
                <w:rFonts w:ascii="Garamond" w:hAnsi="Garamond"/>
                <w:b/>
              </w:rPr>
              <w:t>AAA:</w:t>
            </w:r>
          </w:p>
          <w:p w14:paraId="550EA9D4" w14:textId="77777777" w:rsidR="0025614E" w:rsidRDefault="0025614E" w:rsidP="0025614E">
            <w:pPr>
              <w:numPr>
                <w:ilvl w:val="0"/>
                <w:numId w:val="34"/>
              </w:numPr>
              <w:tabs>
                <w:tab w:val="num" w:pos="162"/>
              </w:tabs>
              <w:ind w:left="0" w:firstLine="0"/>
              <w:rPr>
                <w:rFonts w:ascii="Garamond" w:hAnsi="Garamond"/>
              </w:rPr>
            </w:pPr>
            <w:r>
              <w:rPr>
                <w:rFonts w:ascii="Garamond" w:hAnsi="Garamond"/>
              </w:rPr>
              <w:t>PER of Agricultural Sector (FY12, BTEF TF)</w:t>
            </w:r>
          </w:p>
        </w:tc>
      </w:tr>
      <w:tr w:rsidR="0025614E" w14:paraId="08BCB515"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4D130F3D" w14:textId="77777777" w:rsidR="0025614E" w:rsidRDefault="0025614E">
            <w:pPr>
              <w:pStyle w:val="BodyText0"/>
              <w:jc w:val="left"/>
              <w:rPr>
                <w:rFonts w:ascii="Garamond" w:hAnsi="Garamond"/>
                <w:b/>
                <w:color w:val="auto"/>
              </w:rPr>
            </w:pPr>
            <w:r>
              <w:rPr>
                <w:rFonts w:ascii="Garamond" w:hAnsi="Garamond"/>
                <w:b/>
                <w:color w:val="auto"/>
              </w:rPr>
              <w:t>ISN FY08-10 Outcome II.4: Plan to clear the arrears vis-à-vis the private sector is in place and under implementation; clarity on the potential drivers of economic growth</w:t>
            </w:r>
          </w:p>
          <w:p w14:paraId="6F3C6B87" w14:textId="77777777" w:rsidR="0025614E" w:rsidRDefault="0025614E" w:rsidP="0025614E">
            <w:pPr>
              <w:numPr>
                <w:ilvl w:val="0"/>
                <w:numId w:val="32"/>
              </w:numPr>
              <w:tabs>
                <w:tab w:val="num" w:pos="144"/>
              </w:tabs>
              <w:ind w:left="0" w:firstLine="0"/>
              <w:rPr>
                <w:rFonts w:ascii="Garamond" w:hAnsi="Garamond"/>
              </w:rPr>
            </w:pPr>
            <w:r>
              <w:rPr>
                <w:rFonts w:ascii="Garamond" w:hAnsi="Garamond"/>
              </w:rPr>
              <w:t>Level of domestic arrears to the private sector</w:t>
            </w:r>
          </w:p>
          <w:p w14:paraId="7BF6081C" w14:textId="29644D0D" w:rsidR="0025614E" w:rsidRDefault="0025614E" w:rsidP="003A6CA1">
            <w:pPr>
              <w:rPr>
                <w:rFonts w:ascii="Garamond" w:hAnsi="Garamond"/>
              </w:rPr>
            </w:pPr>
            <w:r>
              <w:rPr>
                <w:rFonts w:ascii="Garamond" w:hAnsi="Garamond"/>
              </w:rPr>
              <w:t xml:space="preserve">Baseline: </w:t>
            </w:r>
            <w:r w:rsidR="003A6CA1">
              <w:rPr>
                <w:rFonts w:ascii="Garamond" w:hAnsi="Garamond"/>
              </w:rPr>
              <w:t xml:space="preserve">FCFA </w:t>
            </w:r>
            <w:r>
              <w:rPr>
                <w:rFonts w:ascii="Garamond" w:hAnsi="Garamond"/>
              </w:rPr>
              <w:t>278.37 billion (end-2005), equivalent to US$528.3m</w:t>
            </w:r>
          </w:p>
        </w:tc>
        <w:tc>
          <w:tcPr>
            <w:tcW w:w="4140" w:type="dxa"/>
            <w:tcBorders>
              <w:top w:val="single" w:sz="4" w:space="0" w:color="000000"/>
              <w:left w:val="single" w:sz="4" w:space="0" w:color="000000"/>
              <w:bottom w:val="single" w:sz="4" w:space="0" w:color="000000"/>
              <w:right w:val="single" w:sz="4" w:space="0" w:color="000000"/>
            </w:tcBorders>
          </w:tcPr>
          <w:p w14:paraId="28A213EF" w14:textId="77777777" w:rsidR="0025614E" w:rsidRDefault="0025614E">
            <w:pPr>
              <w:rPr>
                <w:rFonts w:ascii="Garamond" w:hAnsi="Garamond"/>
              </w:rPr>
            </w:pPr>
            <w:r>
              <w:rPr>
                <w:rFonts w:ascii="Garamond" w:hAnsi="Garamond"/>
                <w:b/>
              </w:rPr>
              <w:t>Achieved</w:t>
            </w:r>
          </w:p>
          <w:p w14:paraId="6CE371BE" w14:textId="77777777" w:rsidR="0025614E" w:rsidRDefault="0025614E">
            <w:pPr>
              <w:rPr>
                <w:rFonts w:ascii="Garamond" w:hAnsi="Garamond"/>
              </w:rPr>
            </w:pPr>
          </w:p>
          <w:p w14:paraId="6C8F6F85" w14:textId="77777777" w:rsidR="0025614E" w:rsidRDefault="0025614E">
            <w:pPr>
              <w:rPr>
                <w:rFonts w:ascii="Garamond" w:hAnsi="Garamond"/>
              </w:rPr>
            </w:pPr>
          </w:p>
          <w:p w14:paraId="55B637ED" w14:textId="77777777" w:rsidR="0025614E" w:rsidRDefault="0025614E">
            <w:pPr>
              <w:rPr>
                <w:rFonts w:ascii="Garamond" w:hAnsi="Garamond"/>
              </w:rPr>
            </w:pPr>
          </w:p>
          <w:p w14:paraId="4A8C6D9E" w14:textId="77777777" w:rsidR="0025614E" w:rsidRDefault="0025614E">
            <w:pPr>
              <w:rPr>
                <w:rFonts w:ascii="Garamond" w:hAnsi="Garamond"/>
              </w:rPr>
            </w:pPr>
          </w:p>
          <w:p w14:paraId="08561D2B" w14:textId="77777777" w:rsidR="0025614E" w:rsidRDefault="0025614E">
            <w:pPr>
              <w:rPr>
                <w:rFonts w:ascii="Garamond" w:hAnsi="Garamond"/>
              </w:rPr>
            </w:pPr>
          </w:p>
          <w:p w14:paraId="6AA9BB22" w14:textId="77777777" w:rsidR="0025614E" w:rsidRDefault="0025614E" w:rsidP="0025614E">
            <w:pPr>
              <w:numPr>
                <w:ilvl w:val="0"/>
                <w:numId w:val="32"/>
              </w:numPr>
              <w:tabs>
                <w:tab w:val="num" w:pos="144"/>
              </w:tabs>
              <w:ind w:left="0" w:firstLine="0"/>
              <w:rPr>
                <w:rFonts w:ascii="Garamond" w:eastAsiaTheme="majorEastAsia" w:hAnsi="Garamond" w:cstheme="majorBidi"/>
                <w:b/>
                <w:bCs/>
                <w:color w:val="A9A57C" w:themeColor="accent1"/>
              </w:rPr>
            </w:pPr>
            <w:r>
              <w:rPr>
                <w:rFonts w:ascii="Garamond" w:hAnsi="Garamond"/>
              </w:rPr>
              <w:t>Domestic arrears cleared</w:t>
            </w:r>
          </w:p>
        </w:tc>
        <w:tc>
          <w:tcPr>
            <w:tcW w:w="2700" w:type="dxa"/>
            <w:tcBorders>
              <w:top w:val="single" w:sz="4" w:space="0" w:color="000000"/>
              <w:left w:val="single" w:sz="4" w:space="0" w:color="000000"/>
              <w:bottom w:val="single" w:sz="4" w:space="0" w:color="000000"/>
              <w:right w:val="single" w:sz="4" w:space="0" w:color="000000"/>
            </w:tcBorders>
            <w:hideMark/>
          </w:tcPr>
          <w:p w14:paraId="0C7CF041"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eastAsia="Calibri" w:hAnsi="Garamond" w:cs="Times New Roman"/>
                <w:szCs w:val="24"/>
              </w:rPr>
            </w:pPr>
            <w:r>
              <w:rPr>
                <w:rFonts w:ascii="Garamond" w:hAnsi="Garamond"/>
              </w:rPr>
              <w:t xml:space="preserve">Adoption of a strategic plan to clear the government’s domestic arrears </w:t>
            </w:r>
            <w:r>
              <w:rPr>
                <w:rFonts w:ascii="Garamond" w:hAnsi="Garamond"/>
                <w:b/>
              </w:rPr>
              <w:t>(status unknown)</w:t>
            </w:r>
          </w:p>
          <w:p w14:paraId="3019AC7B"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hAnsi="Garamond"/>
              </w:rPr>
            </w:pPr>
            <w:r>
              <w:rPr>
                <w:rFonts w:ascii="Garamond" w:hAnsi="Garamond"/>
              </w:rPr>
              <w:t xml:space="preserve">Completion of a Sources of Growth study and discussion of the study in Togo </w:t>
            </w:r>
            <w:r>
              <w:rPr>
                <w:rFonts w:ascii="Garamond" w:hAnsi="Garamond"/>
                <w:b/>
              </w:rPr>
              <w:t>(achieved in 2009)</w:t>
            </w:r>
          </w:p>
        </w:tc>
        <w:tc>
          <w:tcPr>
            <w:tcW w:w="2700" w:type="dxa"/>
            <w:tcBorders>
              <w:top w:val="single" w:sz="4" w:space="0" w:color="000000"/>
              <w:left w:val="single" w:sz="4" w:space="0" w:color="000000"/>
              <w:bottom w:val="single" w:sz="4" w:space="0" w:color="000000"/>
              <w:right w:val="single" w:sz="4" w:space="0" w:color="000000"/>
            </w:tcBorders>
            <w:hideMark/>
          </w:tcPr>
          <w:p w14:paraId="63FAAD5E" w14:textId="77777777" w:rsidR="0025614E" w:rsidRDefault="0025614E">
            <w:pPr>
              <w:rPr>
                <w:rFonts w:ascii="Garamond" w:hAnsi="Garamond"/>
                <w:b/>
              </w:rPr>
            </w:pPr>
            <w:r>
              <w:rPr>
                <w:rFonts w:ascii="Garamond" w:hAnsi="Garamond"/>
                <w:b/>
              </w:rPr>
              <w:t>Operations:</w:t>
            </w:r>
          </w:p>
          <w:p w14:paraId="22D9E251" w14:textId="77777777" w:rsidR="0025614E" w:rsidRDefault="0025614E" w:rsidP="0025614E">
            <w:pPr>
              <w:numPr>
                <w:ilvl w:val="0"/>
                <w:numId w:val="34"/>
              </w:numPr>
              <w:tabs>
                <w:tab w:val="num" w:pos="162"/>
              </w:tabs>
              <w:ind w:left="0" w:firstLine="0"/>
              <w:rPr>
                <w:rFonts w:ascii="Garamond" w:hAnsi="Garamond"/>
              </w:rPr>
            </w:pPr>
            <w:r>
              <w:rPr>
                <w:rFonts w:ascii="Garamond" w:hAnsi="Garamond"/>
              </w:rPr>
              <w:t>ERIREG (FY08)</w:t>
            </w:r>
          </w:p>
          <w:p w14:paraId="1BCBF7DF" w14:textId="77777777" w:rsidR="0025614E" w:rsidRDefault="0025614E">
            <w:pPr>
              <w:rPr>
                <w:rFonts w:ascii="Garamond" w:hAnsi="Garamond"/>
                <w:b/>
              </w:rPr>
            </w:pPr>
            <w:r>
              <w:rPr>
                <w:rFonts w:ascii="Garamond" w:hAnsi="Garamond"/>
                <w:b/>
              </w:rPr>
              <w:t>AAA:</w:t>
            </w:r>
          </w:p>
          <w:p w14:paraId="7AF0F38F" w14:textId="77777777" w:rsidR="0025614E" w:rsidRDefault="0025614E" w:rsidP="0025614E">
            <w:pPr>
              <w:numPr>
                <w:ilvl w:val="0"/>
                <w:numId w:val="34"/>
              </w:numPr>
              <w:tabs>
                <w:tab w:val="num" w:pos="162"/>
              </w:tabs>
              <w:ind w:left="0" w:firstLine="0"/>
              <w:rPr>
                <w:rFonts w:ascii="Garamond" w:hAnsi="Garamond"/>
              </w:rPr>
            </w:pPr>
            <w:r>
              <w:rPr>
                <w:rFonts w:ascii="Garamond" w:hAnsi="Garamond"/>
              </w:rPr>
              <w:t>Country Economic Memorandum (CEM) on Sources of Growth (FY09)</w:t>
            </w:r>
          </w:p>
        </w:tc>
      </w:tr>
      <w:tr w:rsidR="0025614E" w14:paraId="240CB1FB"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4A7B8B1E" w14:textId="77777777" w:rsidR="0025614E" w:rsidRDefault="0025614E">
            <w:pPr>
              <w:pStyle w:val="BodyText0"/>
              <w:jc w:val="left"/>
              <w:rPr>
                <w:rFonts w:ascii="Garamond" w:hAnsi="Garamond"/>
                <w:b/>
                <w:color w:val="auto"/>
              </w:rPr>
            </w:pPr>
            <w:r>
              <w:rPr>
                <w:rFonts w:ascii="Garamond" w:hAnsi="Garamond"/>
                <w:b/>
                <w:color w:val="auto"/>
              </w:rPr>
              <w:t>ISN FY12-13 Outcome I.1</w:t>
            </w:r>
          </w:p>
          <w:p w14:paraId="0094E95A" w14:textId="77777777" w:rsidR="0025614E" w:rsidRDefault="0025614E">
            <w:pPr>
              <w:pStyle w:val="BodyText0"/>
              <w:jc w:val="left"/>
              <w:rPr>
                <w:rFonts w:ascii="Garamond" w:hAnsi="Garamond"/>
                <w:b/>
                <w:color w:val="auto"/>
              </w:rPr>
            </w:pPr>
            <w:r>
              <w:rPr>
                <w:rFonts w:ascii="Garamond" w:hAnsi="Garamond"/>
                <w:b/>
                <w:color w:val="auto"/>
              </w:rPr>
              <w:t>Improved business and investment climate (strategic area)</w:t>
            </w:r>
          </w:p>
          <w:p w14:paraId="6BC8C0F0" w14:textId="77777777" w:rsidR="0025614E" w:rsidRDefault="0025614E" w:rsidP="0025614E">
            <w:pPr>
              <w:numPr>
                <w:ilvl w:val="0"/>
                <w:numId w:val="32"/>
              </w:numPr>
              <w:tabs>
                <w:tab w:val="num" w:pos="144"/>
              </w:tabs>
              <w:ind w:left="0" w:firstLine="0"/>
              <w:rPr>
                <w:rFonts w:ascii="Garamond" w:hAnsi="Garamond"/>
              </w:rPr>
            </w:pPr>
            <w:r>
              <w:rPr>
                <w:rFonts w:ascii="Garamond" w:hAnsi="Garamond"/>
              </w:rPr>
              <w:lastRenderedPageBreak/>
              <w:t>Number of procedures to start a business</w:t>
            </w:r>
          </w:p>
          <w:p w14:paraId="0F9EAD94" w14:textId="77777777" w:rsidR="0025614E" w:rsidRDefault="0025614E">
            <w:pPr>
              <w:pStyle w:val="BodyText0"/>
              <w:rPr>
                <w:rFonts w:ascii="Garamond" w:hAnsi="Garamond"/>
                <w:b/>
                <w:color w:val="auto"/>
              </w:rPr>
            </w:pPr>
            <w:r>
              <w:rPr>
                <w:rFonts w:ascii="Garamond" w:hAnsi="Garamond"/>
                <w:color w:val="auto"/>
              </w:rPr>
              <w:t>Baseline: 7 (2011)</w:t>
            </w:r>
          </w:p>
          <w:p w14:paraId="5575C57B" w14:textId="77777777" w:rsidR="0025614E" w:rsidRDefault="0025614E">
            <w:pPr>
              <w:pStyle w:val="BodyText0"/>
              <w:rPr>
                <w:rFonts w:ascii="Garamond" w:hAnsi="Garamond"/>
                <w:b/>
              </w:rPr>
            </w:pPr>
            <w:r>
              <w:rPr>
                <w:rFonts w:ascii="Garamond" w:hAnsi="Garamond"/>
                <w:color w:val="auto"/>
              </w:rPr>
              <w:t xml:space="preserve">Target: 5 (2013) </w:t>
            </w:r>
          </w:p>
        </w:tc>
        <w:tc>
          <w:tcPr>
            <w:tcW w:w="4140" w:type="dxa"/>
            <w:tcBorders>
              <w:top w:val="single" w:sz="4" w:space="0" w:color="000000"/>
              <w:left w:val="single" w:sz="4" w:space="0" w:color="000000"/>
              <w:bottom w:val="single" w:sz="4" w:space="0" w:color="000000"/>
              <w:right w:val="single" w:sz="4" w:space="0" w:color="000000"/>
            </w:tcBorders>
          </w:tcPr>
          <w:p w14:paraId="2225DACC" w14:textId="77777777" w:rsidR="0025614E" w:rsidRDefault="0025614E">
            <w:pPr>
              <w:rPr>
                <w:rFonts w:ascii="Garamond" w:hAnsi="Garamond"/>
              </w:rPr>
            </w:pPr>
            <w:r>
              <w:rPr>
                <w:rFonts w:ascii="Garamond" w:hAnsi="Garamond"/>
                <w:b/>
              </w:rPr>
              <w:lastRenderedPageBreak/>
              <w:t>Partially Achieved</w:t>
            </w:r>
          </w:p>
          <w:p w14:paraId="21479928" w14:textId="77777777" w:rsidR="0025614E" w:rsidRDefault="0025614E">
            <w:pPr>
              <w:rPr>
                <w:rFonts w:ascii="Garamond" w:hAnsi="Garamond"/>
              </w:rPr>
            </w:pPr>
          </w:p>
          <w:p w14:paraId="52CB4D3A" w14:textId="77777777" w:rsidR="0025614E" w:rsidRDefault="0025614E">
            <w:pPr>
              <w:rPr>
                <w:rFonts w:ascii="Garamond" w:hAnsi="Garamond"/>
              </w:rPr>
            </w:pPr>
          </w:p>
          <w:p w14:paraId="5C5E7EAA" w14:textId="77777777" w:rsidR="0025614E" w:rsidRDefault="0025614E" w:rsidP="0025614E">
            <w:pPr>
              <w:numPr>
                <w:ilvl w:val="0"/>
                <w:numId w:val="32"/>
              </w:numPr>
              <w:tabs>
                <w:tab w:val="num" w:pos="144"/>
              </w:tabs>
              <w:ind w:left="0" w:firstLine="0"/>
              <w:rPr>
                <w:rFonts w:ascii="Garamond" w:hAnsi="Garamond"/>
              </w:rPr>
            </w:pPr>
            <w:r>
              <w:rPr>
                <w:rFonts w:ascii="Garamond" w:hAnsi="Garamond"/>
              </w:rPr>
              <w:t>6 (2012-2015)</w:t>
            </w:r>
          </w:p>
        </w:tc>
        <w:tc>
          <w:tcPr>
            <w:tcW w:w="2700" w:type="dxa"/>
            <w:tcBorders>
              <w:top w:val="single" w:sz="4" w:space="0" w:color="000000"/>
              <w:left w:val="single" w:sz="4" w:space="0" w:color="000000"/>
              <w:bottom w:val="single" w:sz="4" w:space="0" w:color="000000"/>
              <w:right w:val="single" w:sz="4" w:space="0" w:color="000000"/>
            </w:tcBorders>
            <w:hideMark/>
          </w:tcPr>
          <w:p w14:paraId="302E1C5F" w14:textId="77777777" w:rsidR="0025614E" w:rsidRDefault="0025614E" w:rsidP="0025614E">
            <w:pPr>
              <w:widowControl w:val="0"/>
              <w:numPr>
                <w:ilvl w:val="0"/>
                <w:numId w:val="34"/>
              </w:numPr>
              <w:tabs>
                <w:tab w:val="num" w:pos="162"/>
              </w:tabs>
              <w:autoSpaceDE w:val="0"/>
              <w:autoSpaceDN w:val="0"/>
              <w:adjustRightInd w:val="0"/>
              <w:ind w:left="0" w:firstLine="0"/>
              <w:rPr>
                <w:rFonts w:ascii="Garamond" w:hAnsi="Garamond"/>
                <w:szCs w:val="24"/>
              </w:rPr>
            </w:pPr>
            <w:r>
              <w:rPr>
                <w:rFonts w:ascii="Garamond" w:hAnsi="Garamond"/>
              </w:rPr>
              <w:t xml:space="preserve">Procedures to register a business reviewed and streamlined </w:t>
            </w:r>
            <w:r>
              <w:rPr>
                <w:rFonts w:ascii="Garamond" w:hAnsi="Garamond"/>
                <w:b/>
              </w:rPr>
              <w:t>(status unknown)</w:t>
            </w:r>
          </w:p>
        </w:tc>
        <w:tc>
          <w:tcPr>
            <w:tcW w:w="2700" w:type="dxa"/>
            <w:tcBorders>
              <w:top w:val="single" w:sz="4" w:space="0" w:color="000000"/>
              <w:left w:val="single" w:sz="4" w:space="0" w:color="000000"/>
              <w:bottom w:val="single" w:sz="4" w:space="0" w:color="000000"/>
              <w:right w:val="single" w:sz="4" w:space="0" w:color="000000"/>
            </w:tcBorders>
            <w:hideMark/>
          </w:tcPr>
          <w:p w14:paraId="74032F77" w14:textId="77777777" w:rsidR="0025614E" w:rsidRDefault="0025614E">
            <w:pPr>
              <w:rPr>
                <w:rFonts w:ascii="Garamond" w:hAnsi="Garamond"/>
                <w:b/>
              </w:rPr>
            </w:pPr>
            <w:r>
              <w:rPr>
                <w:rFonts w:ascii="Garamond" w:hAnsi="Garamond"/>
                <w:b/>
              </w:rPr>
              <w:t>Operations:</w:t>
            </w:r>
          </w:p>
          <w:p w14:paraId="3940E8F5" w14:textId="77777777" w:rsidR="0025614E" w:rsidRDefault="0025614E" w:rsidP="0025614E">
            <w:pPr>
              <w:numPr>
                <w:ilvl w:val="0"/>
                <w:numId w:val="34"/>
              </w:numPr>
              <w:tabs>
                <w:tab w:val="num" w:pos="162"/>
              </w:tabs>
              <w:ind w:left="0" w:firstLine="0"/>
              <w:rPr>
                <w:rFonts w:ascii="Garamond" w:hAnsi="Garamond"/>
              </w:rPr>
            </w:pPr>
            <w:r>
              <w:rPr>
                <w:rFonts w:ascii="Garamond" w:hAnsi="Garamond"/>
              </w:rPr>
              <w:t>Private Sector Development Support (PADSP, FY11)</w:t>
            </w:r>
          </w:p>
          <w:p w14:paraId="0A35DB3F" w14:textId="77777777" w:rsidR="0025614E" w:rsidRDefault="0025614E" w:rsidP="0025614E">
            <w:pPr>
              <w:numPr>
                <w:ilvl w:val="0"/>
                <w:numId w:val="34"/>
              </w:numPr>
              <w:tabs>
                <w:tab w:val="num" w:pos="162"/>
              </w:tabs>
              <w:ind w:left="0" w:firstLine="0"/>
              <w:rPr>
                <w:rFonts w:ascii="Garamond" w:hAnsi="Garamond"/>
              </w:rPr>
            </w:pPr>
            <w:r>
              <w:rPr>
                <w:rFonts w:ascii="Garamond" w:hAnsi="Garamond"/>
              </w:rPr>
              <w:lastRenderedPageBreak/>
              <w:t>Private Sector Revitalization Trust Fund (FY10)</w:t>
            </w:r>
          </w:p>
          <w:p w14:paraId="4F28A400" w14:textId="77777777" w:rsidR="0025614E" w:rsidRDefault="0025614E">
            <w:pPr>
              <w:rPr>
                <w:rFonts w:ascii="Garamond" w:hAnsi="Garamond"/>
                <w:b/>
              </w:rPr>
            </w:pPr>
            <w:r>
              <w:rPr>
                <w:rFonts w:ascii="Garamond" w:hAnsi="Garamond"/>
                <w:b/>
              </w:rPr>
              <w:t>AAA:</w:t>
            </w:r>
          </w:p>
          <w:p w14:paraId="652882F8" w14:textId="77777777" w:rsidR="0025614E" w:rsidRDefault="0025614E" w:rsidP="0025614E">
            <w:pPr>
              <w:numPr>
                <w:ilvl w:val="0"/>
                <w:numId w:val="34"/>
              </w:numPr>
              <w:tabs>
                <w:tab w:val="num" w:pos="162"/>
              </w:tabs>
              <w:ind w:left="0" w:firstLine="0"/>
              <w:rPr>
                <w:rFonts w:ascii="Garamond" w:hAnsi="Garamond"/>
              </w:rPr>
            </w:pPr>
            <w:r>
              <w:rPr>
                <w:rFonts w:ascii="Garamond" w:hAnsi="Garamond"/>
              </w:rPr>
              <w:t>Country Economic Memorandum (CEM, FY10)</w:t>
            </w:r>
          </w:p>
          <w:p w14:paraId="5E353E4E" w14:textId="77777777" w:rsidR="0025614E" w:rsidRDefault="0025614E" w:rsidP="0025614E">
            <w:pPr>
              <w:numPr>
                <w:ilvl w:val="0"/>
                <w:numId w:val="34"/>
              </w:numPr>
              <w:tabs>
                <w:tab w:val="num" w:pos="162"/>
              </w:tabs>
              <w:ind w:left="0" w:firstLine="0"/>
              <w:rPr>
                <w:rFonts w:ascii="Garamond" w:hAnsi="Garamond"/>
              </w:rPr>
            </w:pPr>
            <w:r>
              <w:rPr>
                <w:rFonts w:ascii="Garamond" w:hAnsi="Garamond"/>
              </w:rPr>
              <w:t>IFC FIAS Investment Climate Services</w:t>
            </w:r>
          </w:p>
          <w:p w14:paraId="3BA42ADA" w14:textId="77777777" w:rsidR="0025614E" w:rsidRDefault="0025614E" w:rsidP="0025614E">
            <w:pPr>
              <w:numPr>
                <w:ilvl w:val="0"/>
                <w:numId w:val="34"/>
              </w:numPr>
              <w:tabs>
                <w:tab w:val="num" w:pos="162"/>
              </w:tabs>
              <w:ind w:left="0" w:firstLine="0"/>
              <w:rPr>
                <w:rFonts w:ascii="Garamond" w:hAnsi="Garamond"/>
              </w:rPr>
            </w:pPr>
            <w:r>
              <w:rPr>
                <w:rFonts w:ascii="Garamond" w:hAnsi="Garamond"/>
              </w:rPr>
              <w:t>IFC Financial Intermediation</w:t>
            </w:r>
          </w:p>
        </w:tc>
      </w:tr>
      <w:tr w:rsidR="0025614E" w14:paraId="5F931DCC" w14:textId="77777777" w:rsidTr="0025614E">
        <w:trPr>
          <w:trHeight w:val="504"/>
        </w:trPr>
        <w:tc>
          <w:tcPr>
            <w:tcW w:w="13158" w:type="dxa"/>
            <w:gridSpan w:val="4"/>
            <w:tcBorders>
              <w:top w:val="single" w:sz="4" w:space="0" w:color="000000"/>
              <w:left w:val="single" w:sz="4" w:space="0" w:color="000000"/>
              <w:bottom w:val="single" w:sz="4" w:space="0" w:color="2F2B20" w:themeColor="text1"/>
              <w:right w:val="single" w:sz="4" w:space="0" w:color="000000"/>
            </w:tcBorders>
            <w:shd w:val="clear" w:color="auto" w:fill="99CCFF"/>
            <w:hideMark/>
          </w:tcPr>
          <w:p w14:paraId="1614BA49" w14:textId="77777777" w:rsidR="0025614E" w:rsidRDefault="0025614E">
            <w:pPr>
              <w:jc w:val="center"/>
              <w:rPr>
                <w:rFonts w:ascii="Garamond" w:hAnsi="Garamond"/>
                <w:b/>
              </w:rPr>
            </w:pPr>
            <w:r>
              <w:rPr>
                <w:rFonts w:ascii="Garamond" w:hAnsi="Garamond"/>
                <w:b/>
              </w:rPr>
              <w:lastRenderedPageBreak/>
              <w:t>ISN FY08-10 PILLAR III: PROVIDE FOR URGENT SOCIAL NEEDS</w:t>
            </w:r>
          </w:p>
          <w:p w14:paraId="343B3CAA" w14:textId="77777777" w:rsidR="0025614E" w:rsidRDefault="0025614E">
            <w:pPr>
              <w:jc w:val="center"/>
              <w:rPr>
                <w:rFonts w:ascii="Garamond" w:hAnsi="Garamond"/>
                <w:b/>
              </w:rPr>
            </w:pPr>
            <w:r>
              <w:rPr>
                <w:rFonts w:ascii="Garamond" w:hAnsi="Garamond"/>
                <w:b/>
              </w:rPr>
              <w:t>IPRSP Area 3: Developing the Social Sectors, Human Resources and Employment</w:t>
            </w:r>
          </w:p>
        </w:tc>
      </w:tr>
      <w:tr w:rsidR="0025614E" w14:paraId="0CAFDCBA" w14:textId="77777777" w:rsidTr="0025614E">
        <w:trPr>
          <w:trHeight w:val="504"/>
        </w:trPr>
        <w:tc>
          <w:tcPr>
            <w:tcW w:w="13158" w:type="dxa"/>
            <w:gridSpan w:val="4"/>
            <w:tcBorders>
              <w:top w:val="single" w:sz="4" w:space="0" w:color="000000"/>
              <w:left w:val="single" w:sz="4" w:space="0" w:color="000000"/>
              <w:bottom w:val="single" w:sz="4" w:space="0" w:color="2F2B20" w:themeColor="text1"/>
              <w:right w:val="single" w:sz="4" w:space="0" w:color="000000"/>
            </w:tcBorders>
            <w:shd w:val="clear" w:color="auto" w:fill="99CCFF"/>
            <w:hideMark/>
          </w:tcPr>
          <w:p w14:paraId="29EB055C" w14:textId="77777777" w:rsidR="0025614E" w:rsidRDefault="0025614E">
            <w:pPr>
              <w:jc w:val="center"/>
              <w:rPr>
                <w:rFonts w:ascii="Garamond" w:hAnsi="Garamond"/>
                <w:b/>
              </w:rPr>
            </w:pPr>
            <w:r>
              <w:rPr>
                <w:rFonts w:ascii="Garamond" w:hAnsi="Garamond"/>
                <w:b/>
              </w:rPr>
              <w:t>ISN FY12-13 PILLAR III: ADDRESSING URGENT POVERTY REDUCTION AND SOCIAL NEEDS</w:t>
            </w:r>
          </w:p>
          <w:p w14:paraId="383963A1" w14:textId="77777777" w:rsidR="0025614E" w:rsidRDefault="0025614E">
            <w:pPr>
              <w:jc w:val="center"/>
              <w:rPr>
                <w:rFonts w:ascii="Garamond" w:hAnsi="Garamond"/>
                <w:b/>
              </w:rPr>
            </w:pPr>
            <w:r>
              <w:rPr>
                <w:rFonts w:ascii="Garamond" w:hAnsi="Garamond"/>
                <w:b/>
              </w:rPr>
              <w:t>PRSP Third Pillar: Development of Human Capital</w:t>
            </w:r>
          </w:p>
        </w:tc>
      </w:tr>
      <w:tr w:rsidR="0025614E" w14:paraId="2C8E286B" w14:textId="77777777" w:rsidTr="0025614E">
        <w:tc>
          <w:tcPr>
            <w:tcW w:w="3618" w:type="dxa"/>
            <w:tcBorders>
              <w:top w:val="single" w:sz="4" w:space="0" w:color="000000"/>
              <w:left w:val="single" w:sz="4" w:space="0" w:color="000000"/>
              <w:bottom w:val="single" w:sz="4" w:space="0" w:color="000000"/>
              <w:right w:val="single" w:sz="4" w:space="0" w:color="000000"/>
            </w:tcBorders>
          </w:tcPr>
          <w:p w14:paraId="51B378C0" w14:textId="77777777" w:rsidR="0025614E" w:rsidRDefault="0025614E">
            <w:pPr>
              <w:pStyle w:val="BodyText0"/>
              <w:jc w:val="left"/>
              <w:rPr>
                <w:rFonts w:ascii="Garamond" w:hAnsi="Garamond"/>
                <w:b/>
                <w:color w:val="auto"/>
              </w:rPr>
            </w:pPr>
            <w:r>
              <w:rPr>
                <w:rFonts w:ascii="Garamond" w:hAnsi="Garamond"/>
                <w:b/>
                <w:color w:val="auto"/>
              </w:rPr>
              <w:t>ISN FY08-10 Outcome III.1: Increased access to improved basic social services (health, education and water services and increased access to economic opportunities) in targeted rural communities</w:t>
            </w:r>
          </w:p>
          <w:p w14:paraId="6D2C4BE4" w14:textId="77777777" w:rsidR="0025614E" w:rsidRDefault="0025614E" w:rsidP="0025614E">
            <w:pPr>
              <w:numPr>
                <w:ilvl w:val="0"/>
                <w:numId w:val="30"/>
              </w:numPr>
              <w:tabs>
                <w:tab w:val="num" w:pos="180"/>
              </w:tabs>
              <w:ind w:left="0" w:firstLine="0"/>
              <w:rPr>
                <w:rFonts w:ascii="Garamond" w:hAnsi="Garamond"/>
              </w:rPr>
            </w:pPr>
            <w:r>
              <w:rPr>
                <w:rFonts w:ascii="Garamond" w:hAnsi="Garamond"/>
              </w:rPr>
              <w:t xml:space="preserve">Enrollment ratios in the target communities </w:t>
            </w:r>
          </w:p>
          <w:p w14:paraId="57686A7B" w14:textId="77777777" w:rsidR="0025614E" w:rsidRDefault="0025614E">
            <w:pPr>
              <w:rPr>
                <w:rFonts w:ascii="Garamond" w:hAnsi="Garamond"/>
              </w:rPr>
            </w:pPr>
            <w:r>
              <w:rPr>
                <w:rFonts w:ascii="Garamond" w:hAnsi="Garamond"/>
              </w:rPr>
              <w:t>Baseline: TBD (2008)</w:t>
            </w:r>
          </w:p>
          <w:p w14:paraId="5BC9C5E0" w14:textId="77777777" w:rsidR="0025614E" w:rsidRDefault="0025614E" w:rsidP="0025614E">
            <w:pPr>
              <w:numPr>
                <w:ilvl w:val="0"/>
                <w:numId w:val="30"/>
              </w:numPr>
              <w:tabs>
                <w:tab w:val="num" w:pos="180"/>
              </w:tabs>
              <w:ind w:left="0" w:firstLine="0"/>
              <w:rPr>
                <w:rFonts w:ascii="Garamond" w:hAnsi="Garamond"/>
                <w:szCs w:val="24"/>
              </w:rPr>
            </w:pPr>
            <w:r>
              <w:rPr>
                <w:rFonts w:ascii="Garamond" w:hAnsi="Garamond"/>
              </w:rPr>
              <w:t>Share of the population in the target communities that have visited a primary health center</w:t>
            </w:r>
          </w:p>
          <w:p w14:paraId="66B9105E" w14:textId="77777777" w:rsidR="0025614E" w:rsidRDefault="0025614E">
            <w:pPr>
              <w:rPr>
                <w:rFonts w:ascii="Garamond" w:hAnsi="Garamond"/>
              </w:rPr>
            </w:pPr>
            <w:r>
              <w:rPr>
                <w:rFonts w:ascii="Garamond" w:hAnsi="Garamond"/>
              </w:rPr>
              <w:t>Baseline: TBD (2008)</w:t>
            </w:r>
          </w:p>
          <w:p w14:paraId="64B5D8DD" w14:textId="77777777" w:rsidR="0025614E" w:rsidRDefault="0025614E">
            <w:pPr>
              <w:rPr>
                <w:rFonts w:ascii="Garamond" w:hAnsi="Garamond"/>
              </w:rPr>
            </w:pPr>
          </w:p>
          <w:p w14:paraId="2F4D73A6" w14:textId="77777777" w:rsidR="0025614E" w:rsidRDefault="0025614E">
            <w:pPr>
              <w:rPr>
                <w:rFonts w:ascii="Garamond" w:hAnsi="Garamond"/>
                <w:i/>
              </w:rPr>
            </w:pPr>
            <w:r>
              <w:rPr>
                <w:rFonts w:ascii="Garamond" w:hAnsi="Garamond"/>
                <w:i/>
              </w:rPr>
              <w:t>Note: Baseline data for 2008 not available.</w:t>
            </w:r>
          </w:p>
        </w:tc>
        <w:tc>
          <w:tcPr>
            <w:tcW w:w="4140" w:type="dxa"/>
            <w:tcBorders>
              <w:top w:val="single" w:sz="4" w:space="0" w:color="000000"/>
              <w:left w:val="single" w:sz="4" w:space="0" w:color="000000"/>
              <w:bottom w:val="single" w:sz="4" w:space="0" w:color="000000"/>
              <w:right w:val="single" w:sz="4" w:space="0" w:color="000000"/>
            </w:tcBorders>
          </w:tcPr>
          <w:p w14:paraId="495A6738" w14:textId="77777777" w:rsidR="0025614E" w:rsidRDefault="0025614E">
            <w:pPr>
              <w:rPr>
                <w:rFonts w:ascii="Garamond" w:hAnsi="Garamond"/>
                <w:b/>
              </w:rPr>
            </w:pPr>
            <w:r>
              <w:rPr>
                <w:rFonts w:ascii="Garamond" w:hAnsi="Garamond"/>
                <w:b/>
              </w:rPr>
              <w:t>Achieved</w:t>
            </w:r>
          </w:p>
          <w:p w14:paraId="2C36A6DD" w14:textId="77777777" w:rsidR="0025614E" w:rsidRDefault="0025614E">
            <w:pPr>
              <w:rPr>
                <w:rFonts w:ascii="Garamond" w:hAnsi="Garamond"/>
              </w:rPr>
            </w:pPr>
          </w:p>
          <w:p w14:paraId="47AC25C1" w14:textId="77777777" w:rsidR="0025614E" w:rsidRDefault="0025614E">
            <w:pPr>
              <w:rPr>
                <w:rFonts w:ascii="Garamond" w:hAnsi="Garamond"/>
              </w:rPr>
            </w:pPr>
          </w:p>
          <w:p w14:paraId="3231432B" w14:textId="77777777" w:rsidR="0025614E" w:rsidRDefault="0025614E">
            <w:pPr>
              <w:rPr>
                <w:rFonts w:ascii="Garamond" w:hAnsi="Garamond"/>
              </w:rPr>
            </w:pPr>
          </w:p>
          <w:p w14:paraId="26EA8B3C" w14:textId="77777777" w:rsidR="0025614E" w:rsidRDefault="0025614E">
            <w:pPr>
              <w:rPr>
                <w:rFonts w:ascii="Garamond" w:hAnsi="Garamond"/>
              </w:rPr>
            </w:pPr>
          </w:p>
          <w:p w14:paraId="0EEC42A2" w14:textId="77777777" w:rsidR="0025614E" w:rsidRDefault="0025614E">
            <w:pPr>
              <w:rPr>
                <w:rFonts w:ascii="Garamond" w:hAnsi="Garamond"/>
              </w:rPr>
            </w:pPr>
          </w:p>
          <w:p w14:paraId="18C4FF6B" w14:textId="77777777" w:rsidR="0025614E" w:rsidRDefault="0025614E" w:rsidP="0025614E">
            <w:pPr>
              <w:numPr>
                <w:ilvl w:val="0"/>
                <w:numId w:val="32"/>
              </w:numPr>
              <w:tabs>
                <w:tab w:val="num" w:pos="144"/>
              </w:tabs>
              <w:ind w:left="0" w:firstLine="0"/>
              <w:rPr>
                <w:rFonts w:ascii="Garamond" w:hAnsi="Garamond"/>
              </w:rPr>
            </w:pPr>
            <w:r>
              <w:rPr>
                <w:rFonts w:ascii="Garamond" w:hAnsi="Garamond"/>
              </w:rPr>
              <w:t xml:space="preserve">97,367 (2013) </w:t>
            </w:r>
            <w:r>
              <w:rPr>
                <w:rFonts w:ascii="Garamond" w:hAnsi="Garamond"/>
                <w:i/>
              </w:rPr>
              <w:t xml:space="preserve">Updated figures not available, as program did not continue tracking enrollment in target communities. </w:t>
            </w:r>
            <w:r>
              <w:rPr>
                <w:rFonts w:ascii="Garamond" w:hAnsi="Garamond"/>
              </w:rPr>
              <w:t xml:space="preserve">18,280 (2016) </w:t>
            </w:r>
          </w:p>
          <w:p w14:paraId="5887790C" w14:textId="77777777" w:rsidR="0025614E" w:rsidRDefault="0025614E" w:rsidP="0025614E">
            <w:pPr>
              <w:numPr>
                <w:ilvl w:val="0"/>
                <w:numId w:val="32"/>
              </w:numPr>
              <w:tabs>
                <w:tab w:val="num" w:pos="144"/>
              </w:tabs>
              <w:ind w:left="0" w:firstLine="0"/>
              <w:rPr>
                <w:rFonts w:ascii="Garamond" w:hAnsi="Garamond"/>
              </w:rPr>
            </w:pPr>
            <w:r>
              <w:rPr>
                <w:rFonts w:ascii="Garamond" w:hAnsi="Garamond"/>
              </w:rPr>
              <w:t xml:space="preserve">Health center visits for target communities estimated at 144,096 for 2013, although the number of unique visitors could not be calculated given the possibility of repeat visits by patients. </w:t>
            </w:r>
          </w:p>
          <w:p w14:paraId="603B9EA5" w14:textId="77777777" w:rsidR="0025614E" w:rsidRDefault="0025614E" w:rsidP="0025614E">
            <w:pPr>
              <w:numPr>
                <w:ilvl w:val="0"/>
                <w:numId w:val="32"/>
              </w:numPr>
              <w:tabs>
                <w:tab w:val="num" w:pos="144"/>
              </w:tabs>
              <w:ind w:left="0" w:firstLine="0"/>
              <w:rPr>
                <w:rFonts w:ascii="Garamond" w:hAnsi="Garamond"/>
              </w:rPr>
            </w:pPr>
            <w:r>
              <w:rPr>
                <w:rFonts w:ascii="Garamond" w:hAnsi="Garamond"/>
              </w:rPr>
              <w:t>Health center visits are estimated at 2,657,067, or 38.87% of the total population (2015)</w:t>
            </w:r>
          </w:p>
        </w:tc>
        <w:tc>
          <w:tcPr>
            <w:tcW w:w="2700" w:type="dxa"/>
            <w:tcBorders>
              <w:top w:val="single" w:sz="4" w:space="0" w:color="000000"/>
              <w:left w:val="single" w:sz="4" w:space="0" w:color="000000"/>
              <w:bottom w:val="single" w:sz="4" w:space="0" w:color="000000"/>
              <w:right w:val="single" w:sz="4" w:space="0" w:color="000000"/>
            </w:tcBorders>
            <w:hideMark/>
          </w:tcPr>
          <w:p w14:paraId="6A41FF3F"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t xml:space="preserve">Completion of at least 250 basic services sub-projects and 200 economic opportunities sub-projects by end of project implementation </w:t>
            </w:r>
            <w:r>
              <w:rPr>
                <w:rFonts w:ascii="Garamond" w:hAnsi="Garamond"/>
                <w:b/>
              </w:rPr>
              <w:t>(achieved: 290 basic socioeconomic infrastructure subprojects and 294 income-generating subprojects completed as of September 2013 under CDP; 213 community infrastructure subprojects and 208 income-generating subprojects completed as of 7/15/16 under CDSN)</w:t>
            </w:r>
          </w:p>
        </w:tc>
        <w:tc>
          <w:tcPr>
            <w:tcW w:w="2700" w:type="dxa"/>
            <w:tcBorders>
              <w:top w:val="single" w:sz="4" w:space="0" w:color="000000"/>
              <w:left w:val="single" w:sz="4" w:space="0" w:color="000000"/>
              <w:bottom w:val="single" w:sz="4" w:space="0" w:color="000000"/>
              <w:right w:val="single" w:sz="4" w:space="0" w:color="000000"/>
            </w:tcBorders>
            <w:hideMark/>
          </w:tcPr>
          <w:p w14:paraId="00EA15E4" w14:textId="77777777" w:rsidR="0025614E" w:rsidRDefault="0025614E">
            <w:pPr>
              <w:rPr>
                <w:rFonts w:ascii="Garamond" w:hAnsi="Garamond"/>
                <w:b/>
              </w:rPr>
            </w:pPr>
            <w:r>
              <w:rPr>
                <w:rFonts w:ascii="Garamond" w:hAnsi="Garamond"/>
                <w:b/>
              </w:rPr>
              <w:t>Operations:</w:t>
            </w:r>
          </w:p>
          <w:p w14:paraId="2F5684ED" w14:textId="77777777" w:rsidR="0025614E" w:rsidRDefault="0025614E" w:rsidP="0025614E">
            <w:pPr>
              <w:numPr>
                <w:ilvl w:val="0"/>
                <w:numId w:val="34"/>
              </w:numPr>
              <w:tabs>
                <w:tab w:val="num" w:pos="162"/>
              </w:tabs>
              <w:ind w:left="0" w:firstLine="0"/>
              <w:rPr>
                <w:rFonts w:ascii="Garamond" w:hAnsi="Garamond"/>
              </w:rPr>
            </w:pPr>
            <w:r>
              <w:rPr>
                <w:rFonts w:ascii="Garamond" w:hAnsi="Garamond"/>
              </w:rPr>
              <w:t>Emergency Poverty Reduction Program (FY07; FY08)</w:t>
            </w:r>
          </w:p>
          <w:p w14:paraId="25363B50" w14:textId="77777777" w:rsidR="0025614E" w:rsidRDefault="0025614E" w:rsidP="0025614E">
            <w:pPr>
              <w:numPr>
                <w:ilvl w:val="0"/>
                <w:numId w:val="34"/>
              </w:numPr>
              <w:tabs>
                <w:tab w:val="num" w:pos="162"/>
              </w:tabs>
              <w:ind w:left="0" w:firstLine="0"/>
              <w:rPr>
                <w:rFonts w:ascii="Garamond" w:hAnsi="Garamond"/>
              </w:rPr>
            </w:pPr>
            <w:r>
              <w:rPr>
                <w:rFonts w:ascii="Garamond" w:hAnsi="Garamond"/>
              </w:rPr>
              <w:t>Community Development Project (CDP, FY08)</w:t>
            </w:r>
          </w:p>
        </w:tc>
      </w:tr>
      <w:tr w:rsidR="0025614E" w14:paraId="0EA83796"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64B1637A" w14:textId="77777777" w:rsidR="0025614E" w:rsidRDefault="0025614E">
            <w:pPr>
              <w:pStyle w:val="BodyText0"/>
              <w:jc w:val="left"/>
              <w:rPr>
                <w:rFonts w:ascii="Garamond" w:hAnsi="Garamond"/>
                <w:b/>
                <w:color w:val="auto"/>
              </w:rPr>
            </w:pPr>
            <w:r>
              <w:rPr>
                <w:rFonts w:ascii="Garamond" w:hAnsi="Garamond"/>
                <w:b/>
                <w:color w:val="auto"/>
              </w:rPr>
              <w:lastRenderedPageBreak/>
              <w:t>ISN FY12-13 Outcome III.1: Improved quality of primary education</w:t>
            </w:r>
          </w:p>
          <w:p w14:paraId="04423646" w14:textId="77777777" w:rsidR="0025614E" w:rsidRDefault="0025614E" w:rsidP="0025614E">
            <w:pPr>
              <w:numPr>
                <w:ilvl w:val="0"/>
                <w:numId w:val="30"/>
              </w:numPr>
              <w:tabs>
                <w:tab w:val="num" w:pos="180"/>
              </w:tabs>
              <w:ind w:left="0" w:firstLine="0"/>
              <w:rPr>
                <w:rFonts w:ascii="Garamond" w:hAnsi="Garamond"/>
              </w:rPr>
            </w:pPr>
            <w:r>
              <w:rPr>
                <w:rFonts w:ascii="Garamond" w:hAnsi="Garamond"/>
              </w:rPr>
              <w:t>Primary completion rate (%)</w:t>
            </w:r>
          </w:p>
          <w:p w14:paraId="7B28C948" w14:textId="77777777" w:rsidR="0025614E" w:rsidRDefault="0025614E">
            <w:pPr>
              <w:rPr>
                <w:rFonts w:ascii="Garamond" w:hAnsi="Garamond"/>
              </w:rPr>
            </w:pPr>
            <w:r>
              <w:rPr>
                <w:rFonts w:ascii="Garamond" w:hAnsi="Garamond"/>
              </w:rPr>
              <w:t>Baseline: 63.2% (2010)</w:t>
            </w:r>
          </w:p>
          <w:p w14:paraId="66BED5A7" w14:textId="77777777" w:rsidR="0025614E" w:rsidRDefault="0025614E">
            <w:pPr>
              <w:rPr>
                <w:rFonts w:ascii="Garamond" w:hAnsi="Garamond"/>
                <w:szCs w:val="24"/>
              </w:rPr>
            </w:pPr>
            <w:r>
              <w:rPr>
                <w:rFonts w:ascii="Garamond" w:hAnsi="Garamond"/>
              </w:rPr>
              <w:t xml:space="preserve">Target: 66% (2013) </w:t>
            </w:r>
          </w:p>
        </w:tc>
        <w:tc>
          <w:tcPr>
            <w:tcW w:w="4140" w:type="dxa"/>
            <w:tcBorders>
              <w:top w:val="single" w:sz="4" w:space="0" w:color="000000"/>
              <w:left w:val="single" w:sz="4" w:space="0" w:color="000000"/>
              <w:bottom w:val="single" w:sz="4" w:space="0" w:color="000000"/>
              <w:right w:val="single" w:sz="4" w:space="0" w:color="000000"/>
            </w:tcBorders>
          </w:tcPr>
          <w:p w14:paraId="4217434E" w14:textId="77777777" w:rsidR="0025614E" w:rsidRDefault="0025614E">
            <w:pPr>
              <w:rPr>
                <w:rFonts w:ascii="Garamond" w:hAnsi="Garamond"/>
              </w:rPr>
            </w:pPr>
            <w:r>
              <w:rPr>
                <w:rFonts w:ascii="Garamond" w:hAnsi="Garamond"/>
                <w:b/>
              </w:rPr>
              <w:t>Achieved</w:t>
            </w:r>
          </w:p>
          <w:p w14:paraId="117DE6CC" w14:textId="77777777" w:rsidR="0025614E" w:rsidRDefault="0025614E">
            <w:pPr>
              <w:rPr>
                <w:rFonts w:ascii="Garamond" w:hAnsi="Garamond"/>
              </w:rPr>
            </w:pPr>
          </w:p>
          <w:p w14:paraId="260BE352" w14:textId="77777777" w:rsidR="0025614E" w:rsidRDefault="0025614E">
            <w:pPr>
              <w:rPr>
                <w:rFonts w:ascii="Garamond" w:hAnsi="Garamond"/>
              </w:rPr>
            </w:pPr>
          </w:p>
          <w:p w14:paraId="311C9802" w14:textId="77777777" w:rsidR="0025614E" w:rsidRDefault="0025614E" w:rsidP="0025614E">
            <w:pPr>
              <w:numPr>
                <w:ilvl w:val="0"/>
                <w:numId w:val="32"/>
              </w:numPr>
              <w:tabs>
                <w:tab w:val="num" w:pos="144"/>
              </w:tabs>
              <w:ind w:left="0" w:firstLine="0"/>
              <w:rPr>
                <w:rFonts w:ascii="Garamond" w:hAnsi="Garamond"/>
              </w:rPr>
            </w:pPr>
            <w:r>
              <w:rPr>
                <w:rFonts w:ascii="Garamond" w:hAnsi="Garamond"/>
              </w:rPr>
              <w:t>81.4%</w:t>
            </w:r>
          </w:p>
          <w:p w14:paraId="310048B0" w14:textId="77777777" w:rsidR="0025614E" w:rsidRDefault="0025614E" w:rsidP="0025614E">
            <w:pPr>
              <w:numPr>
                <w:ilvl w:val="0"/>
                <w:numId w:val="32"/>
              </w:numPr>
              <w:tabs>
                <w:tab w:val="num" w:pos="144"/>
              </w:tabs>
              <w:ind w:left="0" w:firstLine="0"/>
              <w:rPr>
                <w:rFonts w:ascii="Garamond" w:hAnsi="Garamond"/>
              </w:rPr>
            </w:pPr>
            <w:r>
              <w:rPr>
                <w:rFonts w:ascii="Garamond" w:hAnsi="Garamond"/>
              </w:rPr>
              <w:t>83.6% (2013-14) (against baseline of 65% as of 12/31/2009)</w:t>
            </w:r>
          </w:p>
        </w:tc>
        <w:tc>
          <w:tcPr>
            <w:tcW w:w="2700" w:type="dxa"/>
            <w:tcBorders>
              <w:top w:val="single" w:sz="4" w:space="0" w:color="000000"/>
              <w:left w:val="single" w:sz="4" w:space="0" w:color="000000"/>
              <w:bottom w:val="single" w:sz="4" w:space="0" w:color="000000"/>
              <w:right w:val="single" w:sz="4" w:space="0" w:color="000000"/>
            </w:tcBorders>
            <w:hideMark/>
          </w:tcPr>
          <w:p w14:paraId="72F1581C"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t xml:space="preserve">Textbooks of the EFA-FTI project purchased </w:t>
            </w:r>
            <w:r>
              <w:rPr>
                <w:rFonts w:ascii="Garamond" w:hAnsi="Garamond"/>
                <w:b/>
              </w:rPr>
              <w:t>(achieved; 2.9 million reading and math textbooks purchased and delivered to primary schools as of 10/31/14, 181% of planned number)</w:t>
            </w:r>
          </w:p>
        </w:tc>
        <w:tc>
          <w:tcPr>
            <w:tcW w:w="2700" w:type="dxa"/>
            <w:tcBorders>
              <w:top w:val="single" w:sz="4" w:space="0" w:color="000000"/>
              <w:left w:val="single" w:sz="4" w:space="0" w:color="000000"/>
              <w:bottom w:val="single" w:sz="4" w:space="0" w:color="000000"/>
              <w:right w:val="single" w:sz="4" w:space="0" w:color="000000"/>
            </w:tcBorders>
            <w:hideMark/>
          </w:tcPr>
          <w:p w14:paraId="2FCE11A6" w14:textId="77777777" w:rsidR="0025614E" w:rsidRDefault="0025614E">
            <w:pPr>
              <w:rPr>
                <w:rFonts w:ascii="Garamond" w:hAnsi="Garamond"/>
                <w:b/>
              </w:rPr>
            </w:pPr>
            <w:r>
              <w:rPr>
                <w:rFonts w:ascii="Garamond" w:hAnsi="Garamond"/>
                <w:b/>
              </w:rPr>
              <w:t>Operations:</w:t>
            </w:r>
          </w:p>
          <w:p w14:paraId="0F87E14D" w14:textId="77777777" w:rsidR="0025614E" w:rsidRDefault="0025614E" w:rsidP="0025614E">
            <w:pPr>
              <w:numPr>
                <w:ilvl w:val="0"/>
                <w:numId w:val="34"/>
              </w:numPr>
              <w:tabs>
                <w:tab w:val="num" w:pos="162"/>
              </w:tabs>
              <w:ind w:left="0" w:firstLine="0"/>
              <w:rPr>
                <w:rFonts w:ascii="Garamond" w:hAnsi="Garamond"/>
              </w:rPr>
            </w:pPr>
            <w:r>
              <w:rPr>
                <w:rFonts w:ascii="Garamond" w:hAnsi="Garamond"/>
              </w:rPr>
              <w:t>EFA-FTI Catalytic Fund (FY11)</w:t>
            </w:r>
          </w:p>
          <w:p w14:paraId="6ADB1233" w14:textId="77777777" w:rsidR="0025614E" w:rsidRDefault="0025614E">
            <w:pPr>
              <w:rPr>
                <w:rFonts w:ascii="Garamond" w:hAnsi="Garamond"/>
                <w:b/>
              </w:rPr>
            </w:pPr>
            <w:r>
              <w:rPr>
                <w:rFonts w:ascii="Garamond" w:hAnsi="Garamond"/>
                <w:b/>
              </w:rPr>
              <w:t>AAA:</w:t>
            </w:r>
          </w:p>
          <w:p w14:paraId="71561673" w14:textId="77777777" w:rsidR="0025614E" w:rsidRDefault="0025614E" w:rsidP="0025614E">
            <w:pPr>
              <w:numPr>
                <w:ilvl w:val="0"/>
                <w:numId w:val="34"/>
              </w:numPr>
              <w:tabs>
                <w:tab w:val="num" w:pos="162"/>
              </w:tabs>
              <w:ind w:left="0" w:firstLine="0"/>
              <w:rPr>
                <w:rFonts w:ascii="Garamond" w:hAnsi="Garamond"/>
              </w:rPr>
            </w:pPr>
            <w:r>
              <w:rPr>
                <w:rFonts w:ascii="Garamond" w:hAnsi="Garamond"/>
              </w:rPr>
              <w:t>Country Health Status Report (FY11)</w:t>
            </w:r>
          </w:p>
        </w:tc>
      </w:tr>
      <w:tr w:rsidR="0025614E" w14:paraId="66657E8B" w14:textId="77777777" w:rsidTr="0025614E">
        <w:tc>
          <w:tcPr>
            <w:tcW w:w="3618" w:type="dxa"/>
            <w:tcBorders>
              <w:top w:val="single" w:sz="4" w:space="0" w:color="000000"/>
              <w:left w:val="single" w:sz="4" w:space="0" w:color="000000"/>
              <w:bottom w:val="single" w:sz="4" w:space="0" w:color="000000"/>
              <w:right w:val="single" w:sz="4" w:space="0" w:color="000000"/>
            </w:tcBorders>
            <w:hideMark/>
          </w:tcPr>
          <w:p w14:paraId="66692811" w14:textId="77777777" w:rsidR="0025614E" w:rsidRDefault="0025614E">
            <w:pPr>
              <w:pStyle w:val="BodyText0"/>
              <w:jc w:val="left"/>
              <w:rPr>
                <w:rFonts w:ascii="Garamond" w:hAnsi="Garamond"/>
                <w:b/>
                <w:color w:val="auto"/>
              </w:rPr>
            </w:pPr>
            <w:r>
              <w:rPr>
                <w:rFonts w:ascii="Garamond" w:hAnsi="Garamond"/>
                <w:b/>
                <w:color w:val="auto"/>
              </w:rPr>
              <w:t>ISN FY12-13 Outcome III.2: Improved access to social protection</w:t>
            </w:r>
          </w:p>
          <w:p w14:paraId="6B330551" w14:textId="77777777" w:rsidR="0025614E" w:rsidRDefault="0025614E" w:rsidP="0025614E">
            <w:pPr>
              <w:numPr>
                <w:ilvl w:val="0"/>
                <w:numId w:val="30"/>
              </w:numPr>
              <w:tabs>
                <w:tab w:val="num" w:pos="180"/>
              </w:tabs>
              <w:ind w:left="0" w:firstLine="0"/>
              <w:rPr>
                <w:rFonts w:ascii="Garamond" w:hAnsi="Garamond"/>
              </w:rPr>
            </w:pPr>
            <w:r>
              <w:rPr>
                <w:rFonts w:ascii="Garamond" w:hAnsi="Garamond"/>
              </w:rPr>
              <w:t>Number of community mobilization schemes</w:t>
            </w:r>
          </w:p>
          <w:p w14:paraId="1F5FD8E8" w14:textId="77777777" w:rsidR="0025614E" w:rsidRDefault="0025614E">
            <w:pPr>
              <w:rPr>
                <w:rFonts w:ascii="Garamond" w:hAnsi="Garamond"/>
              </w:rPr>
            </w:pPr>
            <w:r>
              <w:rPr>
                <w:rFonts w:ascii="Garamond" w:hAnsi="Garamond"/>
              </w:rPr>
              <w:t>Baseline: 600 (2011)</w:t>
            </w:r>
          </w:p>
          <w:p w14:paraId="3B110616" w14:textId="77777777" w:rsidR="0025614E" w:rsidRDefault="0025614E">
            <w:pPr>
              <w:rPr>
                <w:rFonts w:ascii="Garamond" w:hAnsi="Garamond"/>
              </w:rPr>
            </w:pPr>
            <w:r>
              <w:rPr>
                <w:rFonts w:ascii="Garamond" w:hAnsi="Garamond"/>
              </w:rPr>
              <w:t>Target: 900 (2013)</w:t>
            </w:r>
          </w:p>
          <w:p w14:paraId="1723509D" w14:textId="77777777" w:rsidR="0025614E" w:rsidRDefault="0025614E" w:rsidP="0025614E">
            <w:pPr>
              <w:numPr>
                <w:ilvl w:val="0"/>
                <w:numId w:val="30"/>
              </w:numPr>
              <w:tabs>
                <w:tab w:val="num" w:pos="180"/>
              </w:tabs>
              <w:ind w:left="0" w:firstLine="0"/>
              <w:rPr>
                <w:rFonts w:ascii="Garamond" w:hAnsi="Garamond"/>
              </w:rPr>
            </w:pPr>
            <w:r>
              <w:rPr>
                <w:rFonts w:ascii="Garamond" w:hAnsi="Garamond"/>
              </w:rPr>
              <w:t>Number of people covered by Social Safety Nets</w:t>
            </w:r>
          </w:p>
          <w:p w14:paraId="40D8499D" w14:textId="77777777" w:rsidR="0025614E" w:rsidRDefault="0025614E">
            <w:pPr>
              <w:rPr>
                <w:rFonts w:ascii="Garamond" w:hAnsi="Garamond"/>
              </w:rPr>
            </w:pPr>
            <w:r>
              <w:rPr>
                <w:rFonts w:ascii="Garamond" w:hAnsi="Garamond"/>
              </w:rPr>
              <w:t>Baseline: 36,000</w:t>
            </w:r>
          </w:p>
          <w:p w14:paraId="448CD6D0" w14:textId="77777777" w:rsidR="0025614E" w:rsidRDefault="0025614E">
            <w:pPr>
              <w:rPr>
                <w:rFonts w:ascii="Garamond" w:hAnsi="Garamond"/>
                <w:szCs w:val="24"/>
              </w:rPr>
            </w:pPr>
            <w:r>
              <w:rPr>
                <w:rFonts w:ascii="Garamond" w:hAnsi="Garamond"/>
              </w:rPr>
              <w:t>Target: 70,000 estimated</w:t>
            </w:r>
          </w:p>
        </w:tc>
        <w:tc>
          <w:tcPr>
            <w:tcW w:w="4140" w:type="dxa"/>
            <w:tcBorders>
              <w:top w:val="single" w:sz="4" w:space="0" w:color="000000"/>
              <w:left w:val="single" w:sz="4" w:space="0" w:color="000000"/>
              <w:bottom w:val="single" w:sz="4" w:space="0" w:color="000000"/>
              <w:right w:val="single" w:sz="4" w:space="0" w:color="000000"/>
            </w:tcBorders>
          </w:tcPr>
          <w:p w14:paraId="6A19CE0A" w14:textId="77777777" w:rsidR="0025614E" w:rsidRDefault="0025614E">
            <w:pPr>
              <w:rPr>
                <w:rFonts w:ascii="Garamond" w:hAnsi="Garamond"/>
                <w:b/>
                <w:color w:val="2F2B20" w:themeColor="text1"/>
              </w:rPr>
            </w:pPr>
            <w:r>
              <w:rPr>
                <w:rFonts w:ascii="Garamond" w:hAnsi="Garamond"/>
                <w:b/>
                <w:color w:val="2F2B20" w:themeColor="text1"/>
              </w:rPr>
              <w:t>Partially Achieved</w:t>
            </w:r>
          </w:p>
          <w:p w14:paraId="7B0245B9" w14:textId="77777777" w:rsidR="0025614E" w:rsidRDefault="0025614E">
            <w:pPr>
              <w:rPr>
                <w:rFonts w:ascii="Garamond" w:hAnsi="Garamond"/>
              </w:rPr>
            </w:pPr>
          </w:p>
          <w:p w14:paraId="2139C039" w14:textId="77777777" w:rsidR="0025614E" w:rsidRDefault="0025614E" w:rsidP="0025614E">
            <w:pPr>
              <w:numPr>
                <w:ilvl w:val="0"/>
                <w:numId w:val="32"/>
              </w:numPr>
              <w:tabs>
                <w:tab w:val="num" w:pos="144"/>
              </w:tabs>
              <w:ind w:left="0" w:firstLine="0"/>
              <w:rPr>
                <w:rFonts w:ascii="Garamond" w:hAnsi="Garamond"/>
              </w:rPr>
            </w:pPr>
            <w:r>
              <w:rPr>
                <w:rFonts w:ascii="Garamond" w:hAnsi="Garamond"/>
              </w:rPr>
              <w:t>633 communities have benefited from community mobilization schemes under PDC+ (2016)</w:t>
            </w:r>
          </w:p>
          <w:p w14:paraId="3F90017B" w14:textId="77777777" w:rsidR="0025614E" w:rsidRDefault="0025614E">
            <w:pPr>
              <w:rPr>
                <w:rFonts w:ascii="Garamond" w:hAnsi="Garamond"/>
              </w:rPr>
            </w:pPr>
          </w:p>
          <w:p w14:paraId="12959D0F" w14:textId="77777777" w:rsidR="0025614E" w:rsidRDefault="0025614E" w:rsidP="0025614E">
            <w:pPr>
              <w:numPr>
                <w:ilvl w:val="0"/>
                <w:numId w:val="32"/>
              </w:numPr>
              <w:tabs>
                <w:tab w:val="num" w:pos="144"/>
              </w:tabs>
              <w:ind w:left="0" w:firstLine="0"/>
              <w:rPr>
                <w:rFonts w:ascii="Garamond" w:hAnsi="Garamond"/>
              </w:rPr>
            </w:pPr>
            <w:r>
              <w:rPr>
                <w:rFonts w:ascii="Garamond" w:hAnsi="Garamond"/>
              </w:rPr>
              <w:t xml:space="preserve">77,012, of which 47,550 covered by school feeding program, 12,692 by labor-intensive public works, and 16,770 by cash transfer programs (2016) </w:t>
            </w:r>
          </w:p>
        </w:tc>
        <w:tc>
          <w:tcPr>
            <w:tcW w:w="2700" w:type="dxa"/>
            <w:tcBorders>
              <w:top w:val="single" w:sz="4" w:space="0" w:color="000000"/>
              <w:left w:val="single" w:sz="4" w:space="0" w:color="000000"/>
              <w:bottom w:val="single" w:sz="4" w:space="0" w:color="000000"/>
              <w:right w:val="single" w:sz="4" w:space="0" w:color="000000"/>
            </w:tcBorders>
            <w:hideMark/>
          </w:tcPr>
          <w:p w14:paraId="10B705F8"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t xml:space="preserve">Existing social protection policies reviewed and streamlined </w:t>
            </w:r>
            <w:r>
              <w:rPr>
                <w:rFonts w:ascii="Garamond" w:hAnsi="Garamond"/>
                <w:b/>
              </w:rPr>
              <w:t>(achieved; review of social protection programs conducted in 2012; national social protection policy drafted in 2012 and being updated for adoption by government, most likely in the next year)</w:t>
            </w:r>
          </w:p>
        </w:tc>
        <w:tc>
          <w:tcPr>
            <w:tcW w:w="2700" w:type="dxa"/>
            <w:tcBorders>
              <w:top w:val="single" w:sz="4" w:space="0" w:color="000000"/>
              <w:left w:val="single" w:sz="4" w:space="0" w:color="000000"/>
              <w:bottom w:val="single" w:sz="4" w:space="0" w:color="000000"/>
              <w:right w:val="single" w:sz="4" w:space="0" w:color="000000"/>
            </w:tcBorders>
            <w:hideMark/>
          </w:tcPr>
          <w:p w14:paraId="586CB370" w14:textId="77777777" w:rsidR="0025614E" w:rsidRDefault="0025614E">
            <w:pPr>
              <w:rPr>
                <w:rFonts w:ascii="Garamond" w:hAnsi="Garamond"/>
                <w:b/>
              </w:rPr>
            </w:pPr>
            <w:r>
              <w:rPr>
                <w:rFonts w:ascii="Garamond" w:hAnsi="Garamond"/>
                <w:b/>
              </w:rPr>
              <w:t>Operations:</w:t>
            </w:r>
          </w:p>
          <w:p w14:paraId="5D2CC04E" w14:textId="77777777" w:rsidR="0025614E" w:rsidRDefault="0025614E" w:rsidP="0025614E">
            <w:pPr>
              <w:numPr>
                <w:ilvl w:val="0"/>
                <w:numId w:val="34"/>
              </w:numPr>
              <w:tabs>
                <w:tab w:val="num" w:pos="162"/>
              </w:tabs>
              <w:ind w:left="0" w:firstLine="0"/>
              <w:rPr>
                <w:rFonts w:ascii="Garamond" w:hAnsi="Garamond"/>
              </w:rPr>
            </w:pPr>
            <w:r>
              <w:rPr>
                <w:rFonts w:ascii="Garamond" w:hAnsi="Garamond"/>
              </w:rPr>
              <w:t>CDP (FY08/09 IDA/TF)</w:t>
            </w:r>
          </w:p>
          <w:p w14:paraId="18DA4A67" w14:textId="77777777" w:rsidR="0025614E" w:rsidRDefault="0025614E" w:rsidP="0025614E">
            <w:pPr>
              <w:numPr>
                <w:ilvl w:val="0"/>
                <w:numId w:val="34"/>
              </w:numPr>
              <w:tabs>
                <w:tab w:val="num" w:pos="162"/>
              </w:tabs>
              <w:ind w:left="0" w:firstLine="0"/>
              <w:rPr>
                <w:rFonts w:ascii="Garamond" w:hAnsi="Garamond"/>
              </w:rPr>
            </w:pPr>
            <w:r>
              <w:rPr>
                <w:rFonts w:ascii="Garamond" w:hAnsi="Garamond"/>
              </w:rPr>
              <w:t>Community Development and Social Safety Nets (CDSN, FY12)</w:t>
            </w:r>
          </w:p>
          <w:p w14:paraId="096511A3" w14:textId="77777777" w:rsidR="0025614E" w:rsidRDefault="0025614E" w:rsidP="0025614E">
            <w:pPr>
              <w:numPr>
                <w:ilvl w:val="0"/>
                <w:numId w:val="34"/>
              </w:numPr>
              <w:tabs>
                <w:tab w:val="num" w:pos="162"/>
              </w:tabs>
              <w:ind w:left="0" w:firstLine="0"/>
              <w:rPr>
                <w:rFonts w:ascii="Garamond" w:hAnsi="Garamond"/>
              </w:rPr>
            </w:pPr>
            <w:r>
              <w:rPr>
                <w:rFonts w:ascii="Garamond" w:hAnsi="Garamond"/>
              </w:rPr>
              <w:t>Cash for Work/Social Protection TA (FY11/12)</w:t>
            </w:r>
          </w:p>
          <w:p w14:paraId="056240E2" w14:textId="77777777" w:rsidR="0025614E" w:rsidRDefault="0025614E">
            <w:pPr>
              <w:rPr>
                <w:rFonts w:ascii="Garamond" w:hAnsi="Garamond"/>
                <w:b/>
              </w:rPr>
            </w:pPr>
            <w:r>
              <w:rPr>
                <w:rFonts w:ascii="Garamond" w:hAnsi="Garamond"/>
                <w:b/>
              </w:rPr>
              <w:t>AAA:</w:t>
            </w:r>
          </w:p>
          <w:p w14:paraId="255FC717" w14:textId="77777777" w:rsidR="0025614E" w:rsidRDefault="0025614E" w:rsidP="0025614E">
            <w:pPr>
              <w:numPr>
                <w:ilvl w:val="0"/>
                <w:numId w:val="34"/>
              </w:numPr>
              <w:tabs>
                <w:tab w:val="num" w:pos="162"/>
              </w:tabs>
              <w:ind w:left="0" w:firstLine="0"/>
              <w:rPr>
                <w:rFonts w:ascii="Garamond" w:hAnsi="Garamond"/>
              </w:rPr>
            </w:pPr>
            <w:r>
              <w:rPr>
                <w:rFonts w:ascii="Garamond" w:hAnsi="Garamond"/>
              </w:rPr>
              <w:t>Poverty/Gender Assessment (FY12)</w:t>
            </w:r>
          </w:p>
        </w:tc>
      </w:tr>
      <w:tr w:rsidR="0025614E" w14:paraId="5BDD6399" w14:textId="77777777" w:rsidTr="0025614E">
        <w:tc>
          <w:tcPr>
            <w:tcW w:w="3618" w:type="dxa"/>
            <w:tcBorders>
              <w:top w:val="single" w:sz="4" w:space="0" w:color="000000"/>
              <w:left w:val="single" w:sz="4" w:space="0" w:color="000000"/>
              <w:bottom w:val="single" w:sz="4" w:space="0" w:color="2F2B20" w:themeColor="text1"/>
              <w:right w:val="single" w:sz="4" w:space="0" w:color="000000"/>
            </w:tcBorders>
            <w:hideMark/>
          </w:tcPr>
          <w:p w14:paraId="5EB47562" w14:textId="77777777" w:rsidR="0025614E" w:rsidRDefault="0025614E">
            <w:pPr>
              <w:pStyle w:val="BodyText0"/>
              <w:jc w:val="left"/>
              <w:rPr>
                <w:rFonts w:ascii="Garamond" w:hAnsi="Garamond"/>
                <w:b/>
                <w:color w:val="auto"/>
              </w:rPr>
            </w:pPr>
            <w:r>
              <w:rPr>
                <w:rFonts w:ascii="Garamond" w:hAnsi="Garamond"/>
                <w:b/>
                <w:color w:val="auto"/>
              </w:rPr>
              <w:t>ISN FY08-10 Outcome III.2: The threat posed by highly pathogenic avian influenza (HPAI) to humans and the poultry sector is minimized</w:t>
            </w:r>
          </w:p>
          <w:p w14:paraId="4C08171A" w14:textId="77777777" w:rsidR="0025614E" w:rsidRDefault="0025614E" w:rsidP="0025614E">
            <w:pPr>
              <w:numPr>
                <w:ilvl w:val="0"/>
                <w:numId w:val="30"/>
              </w:numPr>
              <w:tabs>
                <w:tab w:val="num" w:pos="180"/>
              </w:tabs>
              <w:ind w:left="0" w:firstLine="0"/>
              <w:rPr>
                <w:rFonts w:ascii="Garamond" w:hAnsi="Garamond"/>
              </w:rPr>
            </w:pPr>
            <w:r>
              <w:rPr>
                <w:rFonts w:ascii="Garamond" w:hAnsi="Garamond"/>
              </w:rPr>
              <w:t xml:space="preserve">Number of monthly HPAI inter-ministerial committees held </w:t>
            </w:r>
          </w:p>
          <w:p w14:paraId="6D6B2CDD" w14:textId="77777777" w:rsidR="0025614E" w:rsidRDefault="0025614E">
            <w:pPr>
              <w:rPr>
                <w:rFonts w:ascii="Garamond" w:hAnsi="Garamond"/>
              </w:rPr>
            </w:pPr>
            <w:r>
              <w:rPr>
                <w:rFonts w:ascii="Garamond" w:hAnsi="Garamond"/>
              </w:rPr>
              <w:t>Baseline: 0 (end-2007)</w:t>
            </w:r>
          </w:p>
          <w:p w14:paraId="43A5141E" w14:textId="77777777" w:rsidR="0025614E" w:rsidRDefault="0025614E" w:rsidP="0025614E">
            <w:pPr>
              <w:numPr>
                <w:ilvl w:val="0"/>
                <w:numId w:val="30"/>
              </w:numPr>
              <w:tabs>
                <w:tab w:val="num" w:pos="180"/>
              </w:tabs>
              <w:ind w:left="0" w:firstLine="0"/>
              <w:rPr>
                <w:rFonts w:ascii="Garamond" w:hAnsi="Garamond"/>
              </w:rPr>
            </w:pPr>
            <w:r>
              <w:rPr>
                <w:rFonts w:ascii="Garamond" w:hAnsi="Garamond"/>
              </w:rPr>
              <w:t>Number of responses to outbreak missions conducted jointly by public health and animal health services compared to the number of reported outbreaks</w:t>
            </w:r>
          </w:p>
          <w:p w14:paraId="2F01AA3A" w14:textId="77777777" w:rsidR="0025614E" w:rsidRDefault="0025614E">
            <w:pPr>
              <w:rPr>
                <w:rFonts w:ascii="Garamond" w:hAnsi="Garamond"/>
              </w:rPr>
            </w:pPr>
            <w:r>
              <w:rPr>
                <w:rFonts w:ascii="Garamond" w:hAnsi="Garamond"/>
              </w:rPr>
              <w:t>Baseline: 0 joint missions compared to 2 reported outbreaks (2007)</w:t>
            </w:r>
          </w:p>
        </w:tc>
        <w:tc>
          <w:tcPr>
            <w:tcW w:w="4140" w:type="dxa"/>
            <w:tcBorders>
              <w:top w:val="single" w:sz="4" w:space="0" w:color="000000"/>
              <w:left w:val="single" w:sz="4" w:space="0" w:color="000000"/>
              <w:bottom w:val="single" w:sz="4" w:space="0" w:color="2F2B20" w:themeColor="text1"/>
              <w:right w:val="single" w:sz="4" w:space="0" w:color="000000"/>
            </w:tcBorders>
          </w:tcPr>
          <w:p w14:paraId="6DEC390D" w14:textId="77777777" w:rsidR="0025614E" w:rsidRDefault="0025614E">
            <w:pPr>
              <w:rPr>
                <w:rFonts w:ascii="Garamond" w:hAnsi="Garamond"/>
              </w:rPr>
            </w:pPr>
            <w:r>
              <w:rPr>
                <w:rFonts w:ascii="Garamond" w:hAnsi="Garamond"/>
                <w:b/>
              </w:rPr>
              <w:t>Achieved</w:t>
            </w:r>
          </w:p>
          <w:p w14:paraId="1A559A97" w14:textId="77777777" w:rsidR="0025614E" w:rsidRDefault="0025614E">
            <w:pPr>
              <w:rPr>
                <w:rFonts w:ascii="Garamond" w:hAnsi="Garamond"/>
                <w:b/>
              </w:rPr>
            </w:pPr>
          </w:p>
          <w:p w14:paraId="611857DD" w14:textId="77777777" w:rsidR="0025614E" w:rsidRDefault="0025614E">
            <w:pPr>
              <w:rPr>
                <w:rFonts w:ascii="Garamond" w:hAnsi="Garamond"/>
              </w:rPr>
            </w:pPr>
          </w:p>
          <w:p w14:paraId="7DEF9E49" w14:textId="77777777" w:rsidR="0025614E" w:rsidRDefault="0025614E">
            <w:pPr>
              <w:rPr>
                <w:rFonts w:ascii="Garamond" w:hAnsi="Garamond"/>
              </w:rPr>
            </w:pPr>
          </w:p>
          <w:p w14:paraId="6C985106" w14:textId="77777777" w:rsidR="0025614E" w:rsidRDefault="0025614E" w:rsidP="0025614E">
            <w:pPr>
              <w:numPr>
                <w:ilvl w:val="0"/>
                <w:numId w:val="32"/>
              </w:numPr>
              <w:tabs>
                <w:tab w:val="num" w:pos="144"/>
              </w:tabs>
              <w:ind w:left="0" w:firstLine="0"/>
              <w:rPr>
                <w:rFonts w:ascii="Garamond" w:hAnsi="Garamond"/>
              </w:rPr>
            </w:pPr>
            <w:r>
              <w:rPr>
                <w:rFonts w:ascii="Garamond" w:hAnsi="Garamond"/>
              </w:rPr>
              <w:t>Interdepartmental committee meetings held monthly during outbreaks. There has not yet been a meeting for the August 2016 outbreaks, but a press conference was held that represented all involved departments.</w:t>
            </w:r>
          </w:p>
          <w:p w14:paraId="2A6952C9" w14:textId="77777777" w:rsidR="0025614E" w:rsidRDefault="0025614E" w:rsidP="0025614E">
            <w:pPr>
              <w:numPr>
                <w:ilvl w:val="0"/>
                <w:numId w:val="32"/>
              </w:numPr>
              <w:tabs>
                <w:tab w:val="num" w:pos="144"/>
              </w:tabs>
              <w:ind w:left="0" w:firstLine="0"/>
              <w:rPr>
                <w:rFonts w:ascii="Times New Roman" w:hAnsi="Times New Roman"/>
                <w:sz w:val="20"/>
                <w:szCs w:val="20"/>
              </w:rPr>
            </w:pPr>
            <w:r>
              <w:rPr>
                <w:rFonts w:ascii="Garamond" w:hAnsi="Garamond"/>
              </w:rPr>
              <w:t xml:space="preserve">Two outbreaks of avian influenza reported in August 2016 have been managed jointly by the health and agriculture ministries. At least 5 joint missions have been conducted following the positive diagnosis of H5N1 by the central laboratory veterinarians. The </w:t>
            </w:r>
            <w:r>
              <w:rPr>
                <w:rFonts w:ascii="Garamond" w:hAnsi="Garamond"/>
              </w:rPr>
              <w:lastRenderedPageBreak/>
              <w:t>veterinarians have managed the outbreaks, and doctors have assisted families and ranchers. An official has been put in place to report all events during the crisis.</w:t>
            </w:r>
          </w:p>
        </w:tc>
        <w:tc>
          <w:tcPr>
            <w:tcW w:w="2700" w:type="dxa"/>
            <w:tcBorders>
              <w:top w:val="single" w:sz="4" w:space="0" w:color="000000"/>
              <w:left w:val="single" w:sz="4" w:space="0" w:color="000000"/>
              <w:bottom w:val="single" w:sz="4" w:space="0" w:color="2F2B20" w:themeColor="text1"/>
              <w:right w:val="single" w:sz="4" w:space="0" w:color="000000"/>
            </w:tcBorders>
            <w:hideMark/>
          </w:tcPr>
          <w:p w14:paraId="2599A963" w14:textId="77777777" w:rsidR="0025614E" w:rsidRDefault="0025614E" w:rsidP="0025614E">
            <w:pPr>
              <w:numPr>
                <w:ilvl w:val="0"/>
                <w:numId w:val="34"/>
              </w:numPr>
              <w:tabs>
                <w:tab w:val="num" w:pos="162"/>
              </w:tabs>
              <w:ind w:left="0" w:firstLine="0"/>
              <w:rPr>
                <w:rFonts w:ascii="Garamond" w:hAnsi="Garamond"/>
                <w:szCs w:val="24"/>
              </w:rPr>
            </w:pPr>
            <w:r>
              <w:rPr>
                <w:rFonts w:ascii="Garamond" w:hAnsi="Garamond"/>
              </w:rPr>
              <w:lastRenderedPageBreak/>
              <w:t xml:space="preserve">Avian Flu Control Program and Outbreak Containment Plan are in place </w:t>
            </w:r>
            <w:r>
              <w:rPr>
                <w:rFonts w:ascii="Garamond" w:hAnsi="Garamond"/>
                <w:b/>
              </w:rPr>
              <w:t>(not achieved; an Interdepartmental Committee on prevention of and fight against avian influenza established February 2006 and a National Technical Committee in May 2006, but neither institution is operationalized; planning document in place but not funded)</w:t>
            </w:r>
          </w:p>
          <w:p w14:paraId="1303EF91" w14:textId="77777777" w:rsidR="0025614E" w:rsidRDefault="0025614E" w:rsidP="0025614E">
            <w:pPr>
              <w:numPr>
                <w:ilvl w:val="0"/>
                <w:numId w:val="34"/>
              </w:numPr>
              <w:tabs>
                <w:tab w:val="num" w:pos="162"/>
              </w:tabs>
              <w:ind w:left="0" w:firstLine="0"/>
              <w:rPr>
                <w:rFonts w:ascii="Garamond" w:hAnsi="Garamond"/>
              </w:rPr>
            </w:pPr>
            <w:r>
              <w:rPr>
                <w:rFonts w:ascii="Garamond" w:hAnsi="Garamond"/>
              </w:rPr>
              <w:lastRenderedPageBreak/>
              <w:t xml:space="preserve">A centralized crisis management unit has been established </w:t>
            </w:r>
            <w:r>
              <w:rPr>
                <w:rFonts w:ascii="Garamond" w:hAnsi="Garamond"/>
                <w:b/>
              </w:rPr>
              <w:t>(achieved; Crisis Unit established at the time of the first crisis in 2007 and reactivated during August 2016 to manage outbreaks in Adétikopé and Adidogomé)</w:t>
            </w:r>
          </w:p>
          <w:p w14:paraId="190A54C9" w14:textId="77777777" w:rsidR="0025614E" w:rsidRDefault="0025614E" w:rsidP="0025614E">
            <w:pPr>
              <w:numPr>
                <w:ilvl w:val="0"/>
                <w:numId w:val="34"/>
              </w:numPr>
              <w:tabs>
                <w:tab w:val="num" w:pos="162"/>
              </w:tabs>
              <w:ind w:left="0" w:firstLine="0"/>
              <w:rPr>
                <w:rFonts w:ascii="Garamond" w:hAnsi="Garamond"/>
              </w:rPr>
            </w:pPr>
            <w:r>
              <w:rPr>
                <w:rFonts w:ascii="Garamond" w:hAnsi="Garamond"/>
              </w:rPr>
              <w:t xml:space="preserve">An inter-ministerial committee (comprising, among others, health, livestock, trade, environment, finance, security, population) is established and functioning </w:t>
            </w:r>
            <w:r>
              <w:rPr>
                <w:rFonts w:ascii="Garamond" w:hAnsi="Garamond"/>
                <w:b/>
              </w:rPr>
              <w:t>(not achieved; inter-ministerial committee, created in February 2006, not yet operationalized)</w:t>
            </w:r>
          </w:p>
        </w:tc>
        <w:tc>
          <w:tcPr>
            <w:tcW w:w="2700" w:type="dxa"/>
            <w:tcBorders>
              <w:top w:val="single" w:sz="4" w:space="0" w:color="000000"/>
              <w:left w:val="single" w:sz="4" w:space="0" w:color="000000"/>
              <w:bottom w:val="single" w:sz="4" w:space="0" w:color="2F2B20" w:themeColor="text1"/>
              <w:right w:val="single" w:sz="4" w:space="0" w:color="000000"/>
            </w:tcBorders>
            <w:hideMark/>
          </w:tcPr>
          <w:p w14:paraId="3C6364F5" w14:textId="77777777" w:rsidR="0025614E" w:rsidRDefault="0025614E">
            <w:pPr>
              <w:rPr>
                <w:rFonts w:ascii="Garamond" w:hAnsi="Garamond"/>
                <w:b/>
              </w:rPr>
            </w:pPr>
            <w:r>
              <w:rPr>
                <w:rFonts w:ascii="Garamond" w:hAnsi="Garamond"/>
                <w:b/>
              </w:rPr>
              <w:lastRenderedPageBreak/>
              <w:t>Operations:</w:t>
            </w:r>
          </w:p>
          <w:p w14:paraId="4C24DED9" w14:textId="77777777" w:rsidR="0025614E" w:rsidRDefault="0025614E" w:rsidP="0025614E">
            <w:pPr>
              <w:numPr>
                <w:ilvl w:val="0"/>
                <w:numId w:val="34"/>
              </w:numPr>
              <w:tabs>
                <w:tab w:val="num" w:pos="162"/>
              </w:tabs>
              <w:ind w:left="0" w:firstLine="0"/>
              <w:rPr>
                <w:rFonts w:ascii="Garamond" w:hAnsi="Garamond"/>
              </w:rPr>
            </w:pPr>
            <w:r>
              <w:rPr>
                <w:rFonts w:ascii="Garamond" w:hAnsi="Garamond"/>
              </w:rPr>
              <w:t>Avian Influenza Control and Human Pandemic Preparedness (FY08)</w:t>
            </w:r>
          </w:p>
          <w:p w14:paraId="3D860E7D" w14:textId="77777777" w:rsidR="0025614E" w:rsidRDefault="0025614E">
            <w:pPr>
              <w:rPr>
                <w:rFonts w:ascii="Garamond" w:hAnsi="Garamond"/>
                <w:b/>
              </w:rPr>
            </w:pPr>
            <w:r>
              <w:rPr>
                <w:rFonts w:ascii="Garamond" w:hAnsi="Garamond"/>
                <w:b/>
              </w:rPr>
              <w:t>AAA:</w:t>
            </w:r>
          </w:p>
          <w:p w14:paraId="5AE69B37" w14:textId="77777777" w:rsidR="0025614E" w:rsidRDefault="0025614E" w:rsidP="0025614E">
            <w:pPr>
              <w:numPr>
                <w:ilvl w:val="0"/>
                <w:numId w:val="34"/>
              </w:numPr>
              <w:tabs>
                <w:tab w:val="num" w:pos="162"/>
              </w:tabs>
              <w:ind w:left="0" w:firstLine="0"/>
              <w:rPr>
                <w:rFonts w:ascii="Garamond" w:hAnsi="Garamond"/>
              </w:rPr>
            </w:pPr>
            <w:r>
              <w:rPr>
                <w:rFonts w:ascii="Garamond" w:hAnsi="Garamond"/>
              </w:rPr>
              <w:t>DPNR (FY08)</w:t>
            </w:r>
          </w:p>
        </w:tc>
      </w:tr>
      <w:tr w:rsidR="0025614E" w14:paraId="0C652072" w14:textId="77777777" w:rsidTr="0025614E">
        <w:tc>
          <w:tcPr>
            <w:tcW w:w="3618" w:type="dxa"/>
            <w:tcBorders>
              <w:top w:val="single" w:sz="4" w:space="0" w:color="000000"/>
              <w:left w:val="nil"/>
              <w:bottom w:val="nil"/>
              <w:right w:val="nil"/>
            </w:tcBorders>
          </w:tcPr>
          <w:p w14:paraId="5742BD85" w14:textId="77777777" w:rsidR="0025614E" w:rsidRDefault="0025614E">
            <w:pPr>
              <w:pStyle w:val="BodyText0"/>
              <w:rPr>
                <w:rFonts w:ascii="Garamond" w:hAnsi="Garamond"/>
                <w:b/>
              </w:rPr>
            </w:pPr>
          </w:p>
        </w:tc>
        <w:tc>
          <w:tcPr>
            <w:tcW w:w="4140" w:type="dxa"/>
            <w:tcBorders>
              <w:top w:val="single" w:sz="4" w:space="0" w:color="000000"/>
              <w:left w:val="nil"/>
              <w:bottom w:val="nil"/>
              <w:right w:val="nil"/>
            </w:tcBorders>
            <w:hideMark/>
          </w:tcPr>
          <w:p w14:paraId="366D8876" w14:textId="77777777" w:rsidR="0025614E" w:rsidRDefault="0025614E">
            <w:pPr>
              <w:rPr>
                <w:rFonts w:ascii="Garamond" w:hAnsi="Garamond"/>
              </w:rPr>
            </w:pPr>
            <w:r>
              <w:rPr>
                <w:rFonts w:ascii="Garamond" w:hAnsi="Garamond"/>
              </w:rPr>
              <w:t xml:space="preserve"> </w:t>
            </w:r>
          </w:p>
        </w:tc>
        <w:tc>
          <w:tcPr>
            <w:tcW w:w="2700" w:type="dxa"/>
            <w:tcBorders>
              <w:top w:val="single" w:sz="4" w:space="0" w:color="000000"/>
              <w:left w:val="nil"/>
              <w:bottom w:val="nil"/>
              <w:right w:val="nil"/>
            </w:tcBorders>
          </w:tcPr>
          <w:p w14:paraId="2318D4FC" w14:textId="77777777" w:rsidR="0025614E" w:rsidRDefault="0025614E">
            <w:pPr>
              <w:widowControl w:val="0"/>
              <w:autoSpaceDE w:val="0"/>
              <w:autoSpaceDN w:val="0"/>
              <w:adjustRightInd w:val="0"/>
              <w:rPr>
                <w:rFonts w:ascii="Garamond" w:hAnsi="Garamond"/>
                <w:szCs w:val="24"/>
              </w:rPr>
            </w:pPr>
          </w:p>
        </w:tc>
        <w:tc>
          <w:tcPr>
            <w:tcW w:w="2700" w:type="dxa"/>
            <w:tcBorders>
              <w:top w:val="single" w:sz="4" w:space="0" w:color="000000"/>
              <w:left w:val="nil"/>
              <w:bottom w:val="nil"/>
              <w:right w:val="nil"/>
            </w:tcBorders>
          </w:tcPr>
          <w:p w14:paraId="0AAF9148" w14:textId="77777777" w:rsidR="0025614E" w:rsidRDefault="0025614E">
            <w:pPr>
              <w:rPr>
                <w:rFonts w:ascii="Garamond" w:hAnsi="Garamond"/>
              </w:rPr>
            </w:pPr>
          </w:p>
        </w:tc>
      </w:tr>
    </w:tbl>
    <w:p w14:paraId="1E9A6C1D" w14:textId="77777777" w:rsidR="0025614E" w:rsidRDefault="0025614E" w:rsidP="0025614E">
      <w:pPr>
        <w:pStyle w:val="CLRSectionHeading"/>
        <w:numPr>
          <w:ilvl w:val="0"/>
          <w:numId w:val="0"/>
        </w:numPr>
      </w:pPr>
    </w:p>
    <w:p w14:paraId="64647072" w14:textId="77777777" w:rsidR="0025614E" w:rsidRPr="00E035EA" w:rsidRDefault="0025614E" w:rsidP="00E035EA">
      <w:pPr>
        <w:keepNext/>
        <w:rPr>
          <w:rFonts w:ascii="Times New Roman" w:hAnsi="Times New Roman" w:cs="Times New Roman"/>
          <w:sz w:val="24"/>
          <w:szCs w:val="24"/>
        </w:rPr>
      </w:pPr>
    </w:p>
    <w:p w14:paraId="3DF962EF" w14:textId="77777777" w:rsidR="00E035EA" w:rsidRDefault="00E035EA" w:rsidP="00E035EA">
      <w:pPr>
        <w:rPr>
          <w:highlight w:val="yellow"/>
        </w:rPr>
      </w:pPr>
    </w:p>
    <w:p w14:paraId="23553E4C" w14:textId="77777777" w:rsidR="00E035EA" w:rsidRDefault="00E035EA" w:rsidP="00E035EA">
      <w:pPr>
        <w:rPr>
          <w:highlight w:val="yellow"/>
        </w:rPr>
        <w:sectPr w:rsidR="00E035EA" w:rsidSect="00625289">
          <w:pgSz w:w="15840" w:h="12240" w:orient="landscape"/>
          <w:pgMar w:top="1440" w:right="1440" w:bottom="1440" w:left="1440" w:header="720" w:footer="720" w:gutter="0"/>
          <w:cols w:space="720"/>
          <w:docGrid w:linePitch="360"/>
        </w:sectPr>
      </w:pPr>
    </w:p>
    <w:p w14:paraId="1843AA6D" w14:textId="57F7F03E" w:rsidR="00E035EA" w:rsidRPr="00834149" w:rsidRDefault="00E035EA" w:rsidP="00834149">
      <w:pPr>
        <w:keepNext/>
        <w:jc w:val="center"/>
        <w:rPr>
          <w:rFonts w:cs="Times New Roman"/>
          <w:b/>
        </w:rPr>
      </w:pPr>
      <w:bookmarkStart w:id="52" w:name="_Toc477452443"/>
      <w:r w:rsidRPr="00834149">
        <w:rPr>
          <w:rFonts w:cs="Times New Roman"/>
          <w:b/>
        </w:rPr>
        <w:lastRenderedPageBreak/>
        <w:t xml:space="preserve">Annex </w:t>
      </w:r>
      <w:r w:rsidRPr="00834149">
        <w:rPr>
          <w:rFonts w:cs="Times New Roman"/>
          <w:b/>
        </w:rPr>
        <w:fldChar w:fldCharType="begin"/>
      </w:r>
      <w:r w:rsidRPr="00834149">
        <w:rPr>
          <w:rFonts w:cs="Times New Roman"/>
          <w:b/>
        </w:rPr>
        <w:instrText xml:space="preserve"> SEQ Annex \* ARABIC </w:instrText>
      </w:r>
      <w:r w:rsidRPr="00834149">
        <w:rPr>
          <w:rFonts w:cs="Times New Roman"/>
          <w:b/>
        </w:rPr>
        <w:fldChar w:fldCharType="separate"/>
      </w:r>
      <w:r w:rsidR="000D6ABB">
        <w:rPr>
          <w:rFonts w:cs="Times New Roman"/>
          <w:b/>
          <w:noProof/>
        </w:rPr>
        <w:t>3</w:t>
      </w:r>
      <w:r w:rsidRPr="00834149">
        <w:rPr>
          <w:rFonts w:cs="Times New Roman"/>
          <w:b/>
        </w:rPr>
        <w:fldChar w:fldCharType="end"/>
      </w:r>
      <w:r w:rsidR="00656996" w:rsidRPr="00834149">
        <w:rPr>
          <w:rFonts w:cs="Times New Roman"/>
          <w:b/>
        </w:rPr>
        <w:t>.</w:t>
      </w:r>
      <w:r w:rsidRPr="00834149">
        <w:rPr>
          <w:rFonts w:cs="Times New Roman"/>
          <w:b/>
        </w:rPr>
        <w:t xml:space="preserve"> Selected Indicators of Bank Portfolio Performance and Management</w:t>
      </w:r>
      <w:bookmarkEnd w:id="52"/>
    </w:p>
    <w:tbl>
      <w:tblPr>
        <w:tblW w:w="12196" w:type="dxa"/>
        <w:tblInd w:w="108" w:type="dxa"/>
        <w:tblLook w:val="04A0" w:firstRow="1" w:lastRow="0" w:firstColumn="1" w:lastColumn="0" w:noHBand="0" w:noVBand="1"/>
      </w:tblPr>
      <w:tblGrid>
        <w:gridCol w:w="7812"/>
        <w:gridCol w:w="378"/>
        <w:gridCol w:w="277"/>
        <w:gridCol w:w="601"/>
        <w:gridCol w:w="736"/>
        <w:gridCol w:w="957"/>
        <w:gridCol w:w="239"/>
        <w:gridCol w:w="1196"/>
      </w:tblGrid>
      <w:tr w:rsidR="00E035EA" w:rsidRPr="00434A65" w14:paraId="363CEAE8" w14:textId="77777777" w:rsidTr="00834149">
        <w:trPr>
          <w:trHeight w:val="324"/>
        </w:trPr>
        <w:tc>
          <w:tcPr>
            <w:tcW w:w="7812" w:type="dxa"/>
            <w:tcBorders>
              <w:top w:val="single" w:sz="4" w:space="0" w:color="000000"/>
              <w:left w:val="nil"/>
              <w:bottom w:val="single" w:sz="4" w:space="0" w:color="000000"/>
              <w:right w:val="nil"/>
            </w:tcBorders>
            <w:shd w:val="clear" w:color="FFFFFF" w:fill="FFFFFF"/>
            <w:noWrap/>
            <w:vAlign w:val="bottom"/>
            <w:hideMark/>
          </w:tcPr>
          <w:p w14:paraId="76EDCFA4" w14:textId="77777777" w:rsidR="00E035EA" w:rsidRPr="00834149" w:rsidRDefault="00E035EA" w:rsidP="005C75BA">
            <w:pPr>
              <w:rPr>
                <w:rFonts w:eastAsia="Times New Roman" w:cs="Arial"/>
                <w:b/>
                <w:bCs/>
                <w:color w:val="000000"/>
                <w:sz w:val="18"/>
                <w:szCs w:val="18"/>
              </w:rPr>
            </w:pPr>
            <w:r w:rsidRPr="00834149">
              <w:rPr>
                <w:rFonts w:eastAsia="Times New Roman" w:cs="Arial"/>
                <w:b/>
                <w:bCs/>
                <w:color w:val="000000"/>
                <w:sz w:val="18"/>
                <w:szCs w:val="18"/>
              </w:rPr>
              <w:t>Indicator</w:t>
            </w:r>
          </w:p>
        </w:tc>
        <w:tc>
          <w:tcPr>
            <w:tcW w:w="655" w:type="dxa"/>
            <w:gridSpan w:val="2"/>
            <w:tcBorders>
              <w:top w:val="single" w:sz="4" w:space="0" w:color="000000"/>
              <w:left w:val="nil"/>
              <w:bottom w:val="single" w:sz="4" w:space="0" w:color="000000"/>
              <w:right w:val="nil"/>
            </w:tcBorders>
            <w:shd w:val="clear" w:color="FFFFFF" w:fill="FFFFFF"/>
            <w:noWrap/>
            <w:vAlign w:val="center"/>
            <w:hideMark/>
          </w:tcPr>
          <w:p w14:paraId="1C43C1B0"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FY14</w:t>
            </w:r>
          </w:p>
        </w:tc>
        <w:tc>
          <w:tcPr>
            <w:tcW w:w="1337" w:type="dxa"/>
            <w:gridSpan w:val="2"/>
            <w:tcBorders>
              <w:top w:val="single" w:sz="4" w:space="0" w:color="000000"/>
              <w:left w:val="nil"/>
              <w:bottom w:val="single" w:sz="4" w:space="0" w:color="000000"/>
              <w:right w:val="nil"/>
            </w:tcBorders>
            <w:shd w:val="clear" w:color="FFFFFF" w:fill="FFFFFF"/>
            <w:noWrap/>
            <w:vAlign w:val="center"/>
            <w:hideMark/>
          </w:tcPr>
          <w:p w14:paraId="6E6A4132"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FY15</w:t>
            </w:r>
          </w:p>
        </w:tc>
        <w:tc>
          <w:tcPr>
            <w:tcW w:w="1196" w:type="dxa"/>
            <w:gridSpan w:val="2"/>
            <w:tcBorders>
              <w:top w:val="single" w:sz="4" w:space="0" w:color="000000"/>
              <w:left w:val="nil"/>
              <w:bottom w:val="single" w:sz="4" w:space="0" w:color="000000"/>
              <w:right w:val="nil"/>
            </w:tcBorders>
            <w:shd w:val="clear" w:color="FFFFFF" w:fill="FFFFFF"/>
            <w:noWrap/>
            <w:vAlign w:val="center"/>
            <w:hideMark/>
          </w:tcPr>
          <w:p w14:paraId="7D540735"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FY16</w:t>
            </w:r>
          </w:p>
        </w:tc>
        <w:tc>
          <w:tcPr>
            <w:tcW w:w="1196" w:type="dxa"/>
            <w:tcBorders>
              <w:top w:val="single" w:sz="4" w:space="0" w:color="000000"/>
              <w:left w:val="nil"/>
              <w:bottom w:val="single" w:sz="4" w:space="0" w:color="000000"/>
              <w:right w:val="nil"/>
            </w:tcBorders>
            <w:shd w:val="clear" w:color="FFFFFF" w:fill="FFFFFF"/>
            <w:noWrap/>
            <w:vAlign w:val="center"/>
            <w:hideMark/>
          </w:tcPr>
          <w:p w14:paraId="1BA579C3"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FY17</w:t>
            </w:r>
          </w:p>
        </w:tc>
      </w:tr>
      <w:tr w:rsidR="00E035EA" w:rsidRPr="00434A65" w14:paraId="144BECEE" w14:textId="77777777" w:rsidTr="00834149">
        <w:trPr>
          <w:trHeight w:val="324"/>
        </w:trPr>
        <w:tc>
          <w:tcPr>
            <w:tcW w:w="7812" w:type="dxa"/>
            <w:tcBorders>
              <w:top w:val="nil"/>
              <w:left w:val="nil"/>
              <w:bottom w:val="nil"/>
              <w:right w:val="nil"/>
            </w:tcBorders>
            <w:shd w:val="clear" w:color="FFFFFF" w:fill="FFFFFF"/>
            <w:noWrap/>
            <w:vAlign w:val="bottom"/>
            <w:hideMark/>
          </w:tcPr>
          <w:p w14:paraId="5A0CA18B" w14:textId="77777777" w:rsidR="00E035EA" w:rsidRPr="00834149" w:rsidRDefault="00E035EA" w:rsidP="005C75BA">
            <w:pPr>
              <w:rPr>
                <w:rFonts w:eastAsia="Times New Roman" w:cs="Arial"/>
                <w:b/>
                <w:bCs/>
                <w:color w:val="000000"/>
                <w:sz w:val="18"/>
                <w:szCs w:val="18"/>
              </w:rPr>
            </w:pPr>
            <w:r w:rsidRPr="00834149">
              <w:rPr>
                <w:rFonts w:eastAsia="Times New Roman" w:cs="Arial"/>
                <w:b/>
                <w:bCs/>
                <w:color w:val="000000"/>
                <w:sz w:val="18"/>
                <w:szCs w:val="18"/>
              </w:rPr>
              <w:t>Portfolio Assessment</w:t>
            </w:r>
          </w:p>
        </w:tc>
        <w:tc>
          <w:tcPr>
            <w:tcW w:w="655" w:type="dxa"/>
            <w:gridSpan w:val="2"/>
            <w:tcBorders>
              <w:top w:val="nil"/>
              <w:left w:val="nil"/>
              <w:bottom w:val="nil"/>
              <w:right w:val="nil"/>
            </w:tcBorders>
            <w:shd w:val="clear" w:color="FFFFFF" w:fill="FCFDFD"/>
            <w:noWrap/>
            <w:vAlign w:val="bottom"/>
            <w:hideMark/>
          </w:tcPr>
          <w:p w14:paraId="319E347A"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337" w:type="dxa"/>
            <w:gridSpan w:val="2"/>
            <w:tcBorders>
              <w:top w:val="nil"/>
              <w:left w:val="nil"/>
              <w:bottom w:val="nil"/>
              <w:right w:val="nil"/>
            </w:tcBorders>
            <w:shd w:val="clear" w:color="FFFFFF" w:fill="FCFDFD"/>
            <w:noWrap/>
            <w:vAlign w:val="bottom"/>
            <w:hideMark/>
          </w:tcPr>
          <w:p w14:paraId="1D500424"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96" w:type="dxa"/>
            <w:gridSpan w:val="2"/>
            <w:tcBorders>
              <w:top w:val="nil"/>
              <w:left w:val="nil"/>
              <w:bottom w:val="nil"/>
              <w:right w:val="nil"/>
            </w:tcBorders>
            <w:shd w:val="clear" w:color="FFFFFF" w:fill="FCFDFD"/>
            <w:noWrap/>
            <w:vAlign w:val="bottom"/>
            <w:hideMark/>
          </w:tcPr>
          <w:p w14:paraId="21BB880F"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96" w:type="dxa"/>
            <w:tcBorders>
              <w:top w:val="nil"/>
              <w:left w:val="nil"/>
              <w:bottom w:val="nil"/>
              <w:right w:val="nil"/>
            </w:tcBorders>
            <w:shd w:val="clear" w:color="FFFFFF" w:fill="FCFDFD"/>
            <w:noWrap/>
            <w:vAlign w:val="bottom"/>
            <w:hideMark/>
          </w:tcPr>
          <w:p w14:paraId="325F7D05"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3D30FDBB" w14:textId="77777777" w:rsidTr="00834149">
        <w:trPr>
          <w:trHeight w:val="324"/>
        </w:trPr>
        <w:tc>
          <w:tcPr>
            <w:tcW w:w="7812" w:type="dxa"/>
            <w:tcBorders>
              <w:top w:val="nil"/>
              <w:left w:val="nil"/>
              <w:bottom w:val="nil"/>
              <w:right w:val="nil"/>
            </w:tcBorders>
            <w:shd w:val="clear" w:color="FFFFFF" w:fill="FFFFFF"/>
            <w:noWrap/>
            <w:vAlign w:val="bottom"/>
            <w:hideMark/>
          </w:tcPr>
          <w:p w14:paraId="3FCD1E35"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Number of Projects Under Implementation ᵃ</w:t>
            </w:r>
          </w:p>
        </w:tc>
        <w:tc>
          <w:tcPr>
            <w:tcW w:w="655" w:type="dxa"/>
            <w:gridSpan w:val="2"/>
            <w:tcBorders>
              <w:top w:val="nil"/>
              <w:left w:val="nil"/>
              <w:bottom w:val="nil"/>
              <w:right w:val="nil"/>
            </w:tcBorders>
            <w:shd w:val="clear" w:color="FFFFFF" w:fill="FCFDFD"/>
            <w:noWrap/>
            <w:vAlign w:val="bottom"/>
            <w:hideMark/>
          </w:tcPr>
          <w:p w14:paraId="3B0CB67D"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6.0</w:t>
            </w:r>
          </w:p>
        </w:tc>
        <w:tc>
          <w:tcPr>
            <w:tcW w:w="1337" w:type="dxa"/>
            <w:gridSpan w:val="2"/>
            <w:tcBorders>
              <w:top w:val="nil"/>
              <w:left w:val="nil"/>
              <w:bottom w:val="nil"/>
              <w:right w:val="nil"/>
            </w:tcBorders>
            <w:shd w:val="clear" w:color="FFFFFF" w:fill="FCFDFD"/>
            <w:noWrap/>
            <w:vAlign w:val="bottom"/>
            <w:hideMark/>
          </w:tcPr>
          <w:p w14:paraId="71C1AE14"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6.0</w:t>
            </w:r>
          </w:p>
        </w:tc>
        <w:tc>
          <w:tcPr>
            <w:tcW w:w="1196" w:type="dxa"/>
            <w:gridSpan w:val="2"/>
            <w:tcBorders>
              <w:top w:val="nil"/>
              <w:left w:val="nil"/>
              <w:bottom w:val="nil"/>
              <w:right w:val="nil"/>
            </w:tcBorders>
            <w:shd w:val="clear" w:color="FFFFFF" w:fill="FCFDFD"/>
            <w:noWrap/>
            <w:vAlign w:val="bottom"/>
            <w:hideMark/>
          </w:tcPr>
          <w:p w14:paraId="2E4018D9"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4.0</w:t>
            </w:r>
          </w:p>
        </w:tc>
        <w:tc>
          <w:tcPr>
            <w:tcW w:w="1196" w:type="dxa"/>
            <w:tcBorders>
              <w:top w:val="nil"/>
              <w:left w:val="nil"/>
              <w:bottom w:val="nil"/>
              <w:right w:val="nil"/>
            </w:tcBorders>
            <w:shd w:val="clear" w:color="FFFFFF" w:fill="FCFDFD"/>
            <w:noWrap/>
            <w:vAlign w:val="bottom"/>
            <w:hideMark/>
          </w:tcPr>
          <w:p w14:paraId="6C05FFBE"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4.0</w:t>
            </w:r>
          </w:p>
        </w:tc>
      </w:tr>
      <w:tr w:rsidR="00E035EA" w:rsidRPr="00434A65" w14:paraId="4424E358" w14:textId="77777777" w:rsidTr="00834149">
        <w:trPr>
          <w:trHeight w:val="324"/>
        </w:trPr>
        <w:tc>
          <w:tcPr>
            <w:tcW w:w="7812" w:type="dxa"/>
            <w:tcBorders>
              <w:top w:val="nil"/>
              <w:left w:val="nil"/>
              <w:bottom w:val="nil"/>
              <w:right w:val="nil"/>
            </w:tcBorders>
            <w:shd w:val="clear" w:color="FFFFFF" w:fill="FFFFFF"/>
            <w:noWrap/>
            <w:vAlign w:val="bottom"/>
            <w:hideMark/>
          </w:tcPr>
          <w:p w14:paraId="1B82C361"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Average Implementation Period (years) ᵇ</w:t>
            </w:r>
          </w:p>
        </w:tc>
        <w:tc>
          <w:tcPr>
            <w:tcW w:w="655" w:type="dxa"/>
            <w:gridSpan w:val="2"/>
            <w:tcBorders>
              <w:top w:val="nil"/>
              <w:left w:val="nil"/>
              <w:bottom w:val="nil"/>
              <w:right w:val="nil"/>
            </w:tcBorders>
            <w:shd w:val="clear" w:color="FFFFFF" w:fill="FCFDFD"/>
            <w:noWrap/>
            <w:vAlign w:val="bottom"/>
            <w:hideMark/>
          </w:tcPr>
          <w:p w14:paraId="028E2EEB"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4.5</w:t>
            </w:r>
          </w:p>
        </w:tc>
        <w:tc>
          <w:tcPr>
            <w:tcW w:w="1337" w:type="dxa"/>
            <w:gridSpan w:val="2"/>
            <w:tcBorders>
              <w:top w:val="nil"/>
              <w:left w:val="nil"/>
              <w:bottom w:val="nil"/>
              <w:right w:val="nil"/>
            </w:tcBorders>
            <w:shd w:val="clear" w:color="FFFFFF" w:fill="FCFDFD"/>
            <w:noWrap/>
            <w:vAlign w:val="bottom"/>
            <w:hideMark/>
          </w:tcPr>
          <w:p w14:paraId="23AA9636"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5.8</w:t>
            </w:r>
          </w:p>
        </w:tc>
        <w:tc>
          <w:tcPr>
            <w:tcW w:w="1196" w:type="dxa"/>
            <w:gridSpan w:val="2"/>
            <w:tcBorders>
              <w:top w:val="nil"/>
              <w:left w:val="nil"/>
              <w:bottom w:val="nil"/>
              <w:right w:val="nil"/>
            </w:tcBorders>
            <w:shd w:val="clear" w:color="FFFFFF" w:fill="FCFDFD"/>
            <w:noWrap/>
            <w:vAlign w:val="bottom"/>
            <w:hideMark/>
          </w:tcPr>
          <w:p w14:paraId="625148DE"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4.3</w:t>
            </w:r>
          </w:p>
        </w:tc>
        <w:tc>
          <w:tcPr>
            <w:tcW w:w="1196" w:type="dxa"/>
            <w:tcBorders>
              <w:top w:val="nil"/>
              <w:left w:val="nil"/>
              <w:bottom w:val="nil"/>
              <w:right w:val="nil"/>
            </w:tcBorders>
            <w:shd w:val="clear" w:color="FFFFFF" w:fill="FCFDFD"/>
            <w:noWrap/>
            <w:vAlign w:val="bottom"/>
            <w:hideMark/>
          </w:tcPr>
          <w:p w14:paraId="636566C8"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5.1</w:t>
            </w:r>
          </w:p>
        </w:tc>
      </w:tr>
      <w:tr w:rsidR="00E035EA" w:rsidRPr="00434A65" w14:paraId="64E68A63" w14:textId="77777777" w:rsidTr="00834149">
        <w:trPr>
          <w:trHeight w:val="324"/>
        </w:trPr>
        <w:tc>
          <w:tcPr>
            <w:tcW w:w="7812" w:type="dxa"/>
            <w:tcBorders>
              <w:top w:val="nil"/>
              <w:left w:val="nil"/>
              <w:bottom w:val="nil"/>
              <w:right w:val="nil"/>
            </w:tcBorders>
            <w:shd w:val="clear" w:color="FFFFFF" w:fill="FFFFFF"/>
            <w:noWrap/>
            <w:vAlign w:val="bottom"/>
            <w:hideMark/>
          </w:tcPr>
          <w:p w14:paraId="563274E5"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Percent of Problem Projects by Number ᵃ˒ ͨ</w:t>
            </w:r>
          </w:p>
        </w:tc>
        <w:tc>
          <w:tcPr>
            <w:tcW w:w="655" w:type="dxa"/>
            <w:gridSpan w:val="2"/>
            <w:tcBorders>
              <w:top w:val="nil"/>
              <w:left w:val="nil"/>
              <w:bottom w:val="nil"/>
              <w:right w:val="nil"/>
            </w:tcBorders>
            <w:shd w:val="clear" w:color="FFFFFF" w:fill="FCFDFD"/>
            <w:noWrap/>
            <w:vAlign w:val="bottom"/>
            <w:hideMark/>
          </w:tcPr>
          <w:p w14:paraId="68BB4B6F"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16.7</w:t>
            </w:r>
          </w:p>
        </w:tc>
        <w:tc>
          <w:tcPr>
            <w:tcW w:w="1337" w:type="dxa"/>
            <w:gridSpan w:val="2"/>
            <w:tcBorders>
              <w:top w:val="nil"/>
              <w:left w:val="nil"/>
              <w:bottom w:val="nil"/>
              <w:right w:val="nil"/>
            </w:tcBorders>
            <w:shd w:val="clear" w:color="FFFFFF" w:fill="FCFDFD"/>
            <w:noWrap/>
            <w:vAlign w:val="bottom"/>
            <w:hideMark/>
          </w:tcPr>
          <w:p w14:paraId="7449BDC8"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33.3</w:t>
            </w:r>
          </w:p>
        </w:tc>
        <w:tc>
          <w:tcPr>
            <w:tcW w:w="1196" w:type="dxa"/>
            <w:gridSpan w:val="2"/>
            <w:tcBorders>
              <w:top w:val="nil"/>
              <w:left w:val="nil"/>
              <w:bottom w:val="nil"/>
              <w:right w:val="nil"/>
            </w:tcBorders>
            <w:shd w:val="clear" w:color="FFFFFF" w:fill="FCFDFD"/>
            <w:noWrap/>
            <w:vAlign w:val="bottom"/>
            <w:hideMark/>
          </w:tcPr>
          <w:p w14:paraId="4C02A767"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1196" w:type="dxa"/>
            <w:tcBorders>
              <w:top w:val="nil"/>
              <w:left w:val="nil"/>
              <w:bottom w:val="nil"/>
              <w:right w:val="nil"/>
            </w:tcBorders>
            <w:shd w:val="clear" w:color="FFFFFF" w:fill="FCFDFD"/>
            <w:noWrap/>
            <w:vAlign w:val="bottom"/>
            <w:hideMark/>
          </w:tcPr>
          <w:p w14:paraId="1CDCFD1A"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r>
      <w:tr w:rsidR="00E035EA" w:rsidRPr="00434A65" w14:paraId="288C33FD" w14:textId="77777777" w:rsidTr="00834149">
        <w:trPr>
          <w:trHeight w:val="324"/>
        </w:trPr>
        <w:tc>
          <w:tcPr>
            <w:tcW w:w="7812" w:type="dxa"/>
            <w:tcBorders>
              <w:top w:val="nil"/>
              <w:left w:val="nil"/>
              <w:bottom w:val="nil"/>
              <w:right w:val="nil"/>
            </w:tcBorders>
            <w:shd w:val="clear" w:color="FFFFFF" w:fill="FFFFFF"/>
            <w:noWrap/>
            <w:vAlign w:val="bottom"/>
            <w:hideMark/>
          </w:tcPr>
          <w:p w14:paraId="7B57DDCA"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Percent of Problem Projects by Amount  ᵃ˒ ͨ</w:t>
            </w:r>
          </w:p>
        </w:tc>
        <w:tc>
          <w:tcPr>
            <w:tcW w:w="655" w:type="dxa"/>
            <w:gridSpan w:val="2"/>
            <w:tcBorders>
              <w:top w:val="nil"/>
              <w:left w:val="nil"/>
              <w:bottom w:val="nil"/>
              <w:right w:val="nil"/>
            </w:tcBorders>
            <w:shd w:val="clear" w:color="FFFFFF" w:fill="FCFDFD"/>
            <w:noWrap/>
            <w:vAlign w:val="bottom"/>
            <w:hideMark/>
          </w:tcPr>
          <w:p w14:paraId="74E488D0"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9.3</w:t>
            </w:r>
          </w:p>
        </w:tc>
        <w:tc>
          <w:tcPr>
            <w:tcW w:w="1337" w:type="dxa"/>
            <w:gridSpan w:val="2"/>
            <w:tcBorders>
              <w:top w:val="nil"/>
              <w:left w:val="nil"/>
              <w:bottom w:val="nil"/>
              <w:right w:val="nil"/>
            </w:tcBorders>
            <w:shd w:val="clear" w:color="FFFFFF" w:fill="FCFDFD"/>
            <w:noWrap/>
            <w:vAlign w:val="bottom"/>
            <w:hideMark/>
          </w:tcPr>
          <w:p w14:paraId="7E618C45"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18.0</w:t>
            </w:r>
          </w:p>
        </w:tc>
        <w:tc>
          <w:tcPr>
            <w:tcW w:w="1196" w:type="dxa"/>
            <w:gridSpan w:val="2"/>
            <w:tcBorders>
              <w:top w:val="nil"/>
              <w:left w:val="nil"/>
              <w:bottom w:val="nil"/>
              <w:right w:val="nil"/>
            </w:tcBorders>
            <w:shd w:val="clear" w:color="FFFFFF" w:fill="FCFDFD"/>
            <w:noWrap/>
            <w:vAlign w:val="bottom"/>
            <w:hideMark/>
          </w:tcPr>
          <w:p w14:paraId="7F4F24E1"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1196" w:type="dxa"/>
            <w:tcBorders>
              <w:top w:val="nil"/>
              <w:left w:val="nil"/>
              <w:bottom w:val="nil"/>
              <w:right w:val="nil"/>
            </w:tcBorders>
            <w:shd w:val="clear" w:color="FFFFFF" w:fill="FCFDFD"/>
            <w:noWrap/>
            <w:vAlign w:val="bottom"/>
            <w:hideMark/>
          </w:tcPr>
          <w:p w14:paraId="1A46C8A5"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r>
      <w:tr w:rsidR="00E035EA" w:rsidRPr="00434A65" w14:paraId="00942E97" w14:textId="77777777" w:rsidTr="00834149">
        <w:trPr>
          <w:trHeight w:val="324"/>
        </w:trPr>
        <w:tc>
          <w:tcPr>
            <w:tcW w:w="7812" w:type="dxa"/>
            <w:tcBorders>
              <w:top w:val="nil"/>
              <w:left w:val="nil"/>
              <w:bottom w:val="nil"/>
              <w:right w:val="nil"/>
            </w:tcBorders>
            <w:shd w:val="clear" w:color="FFFFFF" w:fill="FFFFFF"/>
            <w:noWrap/>
            <w:vAlign w:val="bottom"/>
            <w:hideMark/>
          </w:tcPr>
          <w:p w14:paraId="25B346C8"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Percent of Projects at Risk by Number  ᵃ˒ ͩ</w:t>
            </w:r>
          </w:p>
        </w:tc>
        <w:tc>
          <w:tcPr>
            <w:tcW w:w="655" w:type="dxa"/>
            <w:gridSpan w:val="2"/>
            <w:tcBorders>
              <w:top w:val="nil"/>
              <w:left w:val="nil"/>
              <w:bottom w:val="nil"/>
              <w:right w:val="nil"/>
            </w:tcBorders>
            <w:shd w:val="clear" w:color="FFFFFF" w:fill="FCFDFD"/>
            <w:noWrap/>
            <w:vAlign w:val="bottom"/>
            <w:hideMark/>
          </w:tcPr>
          <w:p w14:paraId="69AF2046"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16.7</w:t>
            </w:r>
          </w:p>
        </w:tc>
        <w:tc>
          <w:tcPr>
            <w:tcW w:w="1337" w:type="dxa"/>
            <w:gridSpan w:val="2"/>
            <w:tcBorders>
              <w:top w:val="nil"/>
              <w:left w:val="nil"/>
              <w:bottom w:val="nil"/>
              <w:right w:val="nil"/>
            </w:tcBorders>
            <w:shd w:val="clear" w:color="FFFFFF" w:fill="FCFDFD"/>
            <w:noWrap/>
            <w:vAlign w:val="bottom"/>
            <w:hideMark/>
          </w:tcPr>
          <w:p w14:paraId="7E76116A"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50.0</w:t>
            </w:r>
          </w:p>
        </w:tc>
        <w:tc>
          <w:tcPr>
            <w:tcW w:w="1196" w:type="dxa"/>
            <w:gridSpan w:val="2"/>
            <w:tcBorders>
              <w:top w:val="nil"/>
              <w:left w:val="nil"/>
              <w:bottom w:val="nil"/>
              <w:right w:val="nil"/>
            </w:tcBorders>
            <w:shd w:val="clear" w:color="FFFFFF" w:fill="FCFDFD"/>
            <w:noWrap/>
            <w:vAlign w:val="bottom"/>
            <w:hideMark/>
          </w:tcPr>
          <w:p w14:paraId="1287169B"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50.0</w:t>
            </w:r>
          </w:p>
        </w:tc>
        <w:tc>
          <w:tcPr>
            <w:tcW w:w="1196" w:type="dxa"/>
            <w:tcBorders>
              <w:top w:val="nil"/>
              <w:left w:val="nil"/>
              <w:bottom w:val="nil"/>
              <w:right w:val="nil"/>
            </w:tcBorders>
            <w:shd w:val="clear" w:color="FFFFFF" w:fill="FCFDFD"/>
            <w:noWrap/>
            <w:vAlign w:val="bottom"/>
            <w:hideMark/>
          </w:tcPr>
          <w:p w14:paraId="637AFEF7"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r>
      <w:tr w:rsidR="00E035EA" w:rsidRPr="00434A65" w14:paraId="0F916763" w14:textId="77777777" w:rsidTr="00834149">
        <w:trPr>
          <w:trHeight w:val="324"/>
        </w:trPr>
        <w:tc>
          <w:tcPr>
            <w:tcW w:w="7812" w:type="dxa"/>
            <w:tcBorders>
              <w:top w:val="nil"/>
              <w:left w:val="nil"/>
              <w:bottom w:val="nil"/>
              <w:right w:val="nil"/>
            </w:tcBorders>
            <w:shd w:val="clear" w:color="FFFFFF" w:fill="FFFFFF"/>
            <w:noWrap/>
            <w:vAlign w:val="bottom"/>
            <w:hideMark/>
          </w:tcPr>
          <w:p w14:paraId="4FCBF6B3"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Percent of Projects at Risk by Amount  ᵃ˒ ͩ</w:t>
            </w:r>
          </w:p>
        </w:tc>
        <w:tc>
          <w:tcPr>
            <w:tcW w:w="655" w:type="dxa"/>
            <w:gridSpan w:val="2"/>
            <w:tcBorders>
              <w:top w:val="nil"/>
              <w:left w:val="nil"/>
              <w:bottom w:val="nil"/>
              <w:right w:val="nil"/>
            </w:tcBorders>
            <w:shd w:val="clear" w:color="FFFFFF" w:fill="FCFDFD"/>
            <w:noWrap/>
            <w:vAlign w:val="bottom"/>
            <w:hideMark/>
          </w:tcPr>
          <w:p w14:paraId="5EC4126F"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9.3</w:t>
            </w:r>
          </w:p>
        </w:tc>
        <w:tc>
          <w:tcPr>
            <w:tcW w:w="1337" w:type="dxa"/>
            <w:gridSpan w:val="2"/>
            <w:tcBorders>
              <w:top w:val="nil"/>
              <w:left w:val="nil"/>
              <w:bottom w:val="nil"/>
              <w:right w:val="nil"/>
            </w:tcBorders>
            <w:shd w:val="clear" w:color="FFFFFF" w:fill="FCFDFD"/>
            <w:noWrap/>
            <w:vAlign w:val="bottom"/>
            <w:hideMark/>
          </w:tcPr>
          <w:p w14:paraId="230416B9"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28.0</w:t>
            </w:r>
          </w:p>
        </w:tc>
        <w:tc>
          <w:tcPr>
            <w:tcW w:w="1196" w:type="dxa"/>
            <w:gridSpan w:val="2"/>
            <w:tcBorders>
              <w:top w:val="nil"/>
              <w:left w:val="nil"/>
              <w:bottom w:val="nil"/>
              <w:right w:val="nil"/>
            </w:tcBorders>
            <w:shd w:val="clear" w:color="FFFFFF" w:fill="FCFDFD"/>
            <w:noWrap/>
            <w:vAlign w:val="bottom"/>
            <w:hideMark/>
          </w:tcPr>
          <w:p w14:paraId="6EE88E59"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39.6</w:t>
            </w:r>
          </w:p>
        </w:tc>
        <w:tc>
          <w:tcPr>
            <w:tcW w:w="1196" w:type="dxa"/>
            <w:tcBorders>
              <w:top w:val="nil"/>
              <w:left w:val="nil"/>
              <w:bottom w:val="nil"/>
              <w:right w:val="nil"/>
            </w:tcBorders>
            <w:shd w:val="clear" w:color="FFFFFF" w:fill="FCFDFD"/>
            <w:noWrap/>
            <w:vAlign w:val="bottom"/>
            <w:hideMark/>
          </w:tcPr>
          <w:p w14:paraId="6AA9CFAF"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r>
      <w:tr w:rsidR="00E035EA" w:rsidRPr="00434A65" w14:paraId="52F54C8F" w14:textId="77777777" w:rsidTr="00834149">
        <w:trPr>
          <w:trHeight w:val="324"/>
        </w:trPr>
        <w:tc>
          <w:tcPr>
            <w:tcW w:w="7812" w:type="dxa"/>
            <w:tcBorders>
              <w:top w:val="nil"/>
              <w:left w:val="nil"/>
              <w:bottom w:val="nil"/>
              <w:right w:val="nil"/>
            </w:tcBorders>
            <w:shd w:val="clear" w:color="FFFFFF" w:fill="FFFFFF"/>
            <w:noWrap/>
            <w:vAlign w:val="bottom"/>
            <w:hideMark/>
          </w:tcPr>
          <w:p w14:paraId="5837E946"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Disbursement Ratio (%)  ͤ</w:t>
            </w:r>
          </w:p>
        </w:tc>
        <w:tc>
          <w:tcPr>
            <w:tcW w:w="655" w:type="dxa"/>
            <w:gridSpan w:val="2"/>
            <w:tcBorders>
              <w:top w:val="nil"/>
              <w:left w:val="nil"/>
              <w:bottom w:val="nil"/>
              <w:right w:val="nil"/>
            </w:tcBorders>
            <w:shd w:val="clear" w:color="FFFFFF" w:fill="FCFDFD"/>
            <w:noWrap/>
            <w:vAlign w:val="bottom"/>
            <w:hideMark/>
          </w:tcPr>
          <w:p w14:paraId="73FD17FD"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20.3</w:t>
            </w:r>
          </w:p>
        </w:tc>
        <w:tc>
          <w:tcPr>
            <w:tcW w:w="1337" w:type="dxa"/>
            <w:gridSpan w:val="2"/>
            <w:tcBorders>
              <w:top w:val="nil"/>
              <w:left w:val="nil"/>
              <w:bottom w:val="nil"/>
              <w:right w:val="nil"/>
            </w:tcBorders>
            <w:shd w:val="clear" w:color="FFFFFF" w:fill="FCFDFD"/>
            <w:noWrap/>
            <w:vAlign w:val="bottom"/>
            <w:hideMark/>
          </w:tcPr>
          <w:p w14:paraId="4F8E44E3"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30.2</w:t>
            </w:r>
          </w:p>
        </w:tc>
        <w:tc>
          <w:tcPr>
            <w:tcW w:w="1196" w:type="dxa"/>
            <w:gridSpan w:val="2"/>
            <w:tcBorders>
              <w:top w:val="nil"/>
              <w:left w:val="nil"/>
              <w:bottom w:val="nil"/>
              <w:right w:val="nil"/>
            </w:tcBorders>
            <w:shd w:val="clear" w:color="FFFFFF" w:fill="FCFDFD"/>
            <w:noWrap/>
            <w:vAlign w:val="bottom"/>
            <w:hideMark/>
          </w:tcPr>
          <w:p w14:paraId="1FF59B99"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47.4</w:t>
            </w:r>
          </w:p>
        </w:tc>
        <w:tc>
          <w:tcPr>
            <w:tcW w:w="1196" w:type="dxa"/>
            <w:tcBorders>
              <w:top w:val="nil"/>
              <w:left w:val="nil"/>
              <w:bottom w:val="nil"/>
              <w:right w:val="nil"/>
            </w:tcBorders>
            <w:shd w:val="clear" w:color="FFFFFF" w:fill="FCFDFD"/>
            <w:noWrap/>
            <w:vAlign w:val="bottom"/>
            <w:hideMark/>
          </w:tcPr>
          <w:p w14:paraId="2C5EFBF9"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31.2</w:t>
            </w:r>
          </w:p>
        </w:tc>
      </w:tr>
      <w:tr w:rsidR="00E035EA" w:rsidRPr="00434A65" w14:paraId="3397BA31" w14:textId="77777777" w:rsidTr="00834149">
        <w:trPr>
          <w:trHeight w:val="324"/>
        </w:trPr>
        <w:tc>
          <w:tcPr>
            <w:tcW w:w="7812" w:type="dxa"/>
            <w:tcBorders>
              <w:top w:val="nil"/>
              <w:left w:val="nil"/>
              <w:bottom w:val="nil"/>
              <w:right w:val="nil"/>
            </w:tcBorders>
            <w:shd w:val="clear" w:color="FFFFFF" w:fill="FFFFFF"/>
            <w:noWrap/>
            <w:vAlign w:val="bottom"/>
            <w:hideMark/>
          </w:tcPr>
          <w:p w14:paraId="2786E045" w14:textId="77777777" w:rsidR="00E035EA" w:rsidRPr="00834149" w:rsidRDefault="00E035EA" w:rsidP="005C75BA">
            <w:pPr>
              <w:rPr>
                <w:rFonts w:eastAsia="Times New Roman" w:cs="Arial"/>
                <w:b/>
                <w:bCs/>
                <w:color w:val="000000"/>
                <w:sz w:val="18"/>
                <w:szCs w:val="18"/>
              </w:rPr>
            </w:pPr>
            <w:r w:rsidRPr="00834149">
              <w:rPr>
                <w:rFonts w:eastAsia="Times New Roman" w:cs="Arial"/>
                <w:b/>
                <w:bCs/>
                <w:color w:val="000000"/>
                <w:sz w:val="18"/>
                <w:szCs w:val="18"/>
              </w:rPr>
              <w:t>Portfolio Management</w:t>
            </w:r>
          </w:p>
        </w:tc>
        <w:tc>
          <w:tcPr>
            <w:tcW w:w="655" w:type="dxa"/>
            <w:gridSpan w:val="2"/>
            <w:tcBorders>
              <w:top w:val="nil"/>
              <w:left w:val="nil"/>
              <w:bottom w:val="nil"/>
              <w:right w:val="nil"/>
            </w:tcBorders>
            <w:shd w:val="clear" w:color="FFFFFF" w:fill="FCFDFD"/>
            <w:noWrap/>
            <w:vAlign w:val="bottom"/>
            <w:hideMark/>
          </w:tcPr>
          <w:p w14:paraId="7C567421"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337" w:type="dxa"/>
            <w:gridSpan w:val="2"/>
            <w:tcBorders>
              <w:top w:val="nil"/>
              <w:left w:val="nil"/>
              <w:bottom w:val="nil"/>
              <w:right w:val="nil"/>
            </w:tcBorders>
            <w:shd w:val="clear" w:color="FFFFFF" w:fill="FCFDFD"/>
            <w:noWrap/>
            <w:vAlign w:val="bottom"/>
            <w:hideMark/>
          </w:tcPr>
          <w:p w14:paraId="1BB2179E"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96" w:type="dxa"/>
            <w:gridSpan w:val="2"/>
            <w:tcBorders>
              <w:top w:val="nil"/>
              <w:left w:val="nil"/>
              <w:bottom w:val="nil"/>
              <w:right w:val="nil"/>
            </w:tcBorders>
            <w:shd w:val="clear" w:color="FFFFFF" w:fill="FCFDFD"/>
            <w:noWrap/>
            <w:vAlign w:val="bottom"/>
            <w:hideMark/>
          </w:tcPr>
          <w:p w14:paraId="1A40C52B"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96" w:type="dxa"/>
            <w:tcBorders>
              <w:top w:val="nil"/>
              <w:left w:val="nil"/>
              <w:bottom w:val="nil"/>
              <w:right w:val="nil"/>
            </w:tcBorders>
            <w:shd w:val="clear" w:color="FFFFFF" w:fill="FCFDFD"/>
            <w:noWrap/>
            <w:vAlign w:val="bottom"/>
            <w:hideMark/>
          </w:tcPr>
          <w:p w14:paraId="41D8C203"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4D253B3B" w14:textId="77777777" w:rsidTr="00834149">
        <w:trPr>
          <w:trHeight w:val="324"/>
        </w:trPr>
        <w:tc>
          <w:tcPr>
            <w:tcW w:w="7812" w:type="dxa"/>
            <w:tcBorders>
              <w:top w:val="nil"/>
              <w:left w:val="nil"/>
              <w:bottom w:val="nil"/>
              <w:right w:val="nil"/>
            </w:tcBorders>
            <w:shd w:val="clear" w:color="FFFFFF" w:fill="FFFFFF"/>
            <w:noWrap/>
            <w:vAlign w:val="bottom"/>
            <w:hideMark/>
          </w:tcPr>
          <w:p w14:paraId="5ECEC01E"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CPPR during the year (yes/no)</w:t>
            </w:r>
          </w:p>
        </w:tc>
        <w:tc>
          <w:tcPr>
            <w:tcW w:w="655" w:type="dxa"/>
            <w:gridSpan w:val="2"/>
            <w:tcBorders>
              <w:top w:val="nil"/>
              <w:left w:val="nil"/>
              <w:bottom w:val="nil"/>
              <w:right w:val="nil"/>
            </w:tcBorders>
            <w:shd w:val="clear" w:color="FFFFFF" w:fill="FCFDFD"/>
            <w:noWrap/>
            <w:vAlign w:val="bottom"/>
            <w:hideMark/>
          </w:tcPr>
          <w:p w14:paraId="3CAD2254"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337" w:type="dxa"/>
            <w:gridSpan w:val="2"/>
            <w:tcBorders>
              <w:top w:val="nil"/>
              <w:left w:val="nil"/>
              <w:bottom w:val="nil"/>
              <w:right w:val="nil"/>
            </w:tcBorders>
            <w:shd w:val="clear" w:color="FFFFFF" w:fill="FCFDFD"/>
            <w:noWrap/>
            <w:vAlign w:val="bottom"/>
            <w:hideMark/>
          </w:tcPr>
          <w:p w14:paraId="590ACBC7"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96" w:type="dxa"/>
            <w:gridSpan w:val="2"/>
            <w:tcBorders>
              <w:top w:val="nil"/>
              <w:left w:val="nil"/>
              <w:bottom w:val="nil"/>
              <w:right w:val="nil"/>
            </w:tcBorders>
            <w:shd w:val="clear" w:color="FFFFFF" w:fill="FCFDFD"/>
            <w:noWrap/>
            <w:vAlign w:val="bottom"/>
            <w:hideMark/>
          </w:tcPr>
          <w:p w14:paraId="0E387447"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96" w:type="dxa"/>
            <w:tcBorders>
              <w:top w:val="nil"/>
              <w:left w:val="nil"/>
              <w:bottom w:val="nil"/>
              <w:right w:val="nil"/>
            </w:tcBorders>
            <w:shd w:val="clear" w:color="FFFFFF" w:fill="FCFDFD"/>
            <w:noWrap/>
            <w:vAlign w:val="bottom"/>
            <w:hideMark/>
          </w:tcPr>
          <w:p w14:paraId="26D1793F"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73025824" w14:textId="77777777" w:rsidTr="00834149">
        <w:trPr>
          <w:trHeight w:val="324"/>
        </w:trPr>
        <w:tc>
          <w:tcPr>
            <w:tcW w:w="7812" w:type="dxa"/>
            <w:tcBorders>
              <w:top w:val="nil"/>
              <w:left w:val="nil"/>
              <w:bottom w:val="nil"/>
              <w:right w:val="nil"/>
            </w:tcBorders>
            <w:shd w:val="clear" w:color="FFFFFF" w:fill="FFFFFF"/>
            <w:noWrap/>
            <w:vAlign w:val="bottom"/>
            <w:hideMark/>
          </w:tcPr>
          <w:p w14:paraId="285E1C01"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Supervision Resources (total US$)</w:t>
            </w:r>
          </w:p>
        </w:tc>
        <w:tc>
          <w:tcPr>
            <w:tcW w:w="655" w:type="dxa"/>
            <w:gridSpan w:val="2"/>
            <w:tcBorders>
              <w:top w:val="nil"/>
              <w:left w:val="nil"/>
              <w:bottom w:val="nil"/>
              <w:right w:val="nil"/>
            </w:tcBorders>
            <w:shd w:val="clear" w:color="FFFFFF" w:fill="FFFFFF"/>
            <w:noWrap/>
            <w:vAlign w:val="bottom"/>
            <w:hideMark/>
          </w:tcPr>
          <w:p w14:paraId="3D651679"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337" w:type="dxa"/>
            <w:gridSpan w:val="2"/>
            <w:tcBorders>
              <w:top w:val="nil"/>
              <w:left w:val="nil"/>
              <w:bottom w:val="nil"/>
              <w:right w:val="nil"/>
            </w:tcBorders>
            <w:shd w:val="clear" w:color="FFFFFF" w:fill="FFFFFF"/>
            <w:noWrap/>
            <w:vAlign w:val="bottom"/>
            <w:hideMark/>
          </w:tcPr>
          <w:p w14:paraId="6A1BFE11"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96" w:type="dxa"/>
            <w:gridSpan w:val="2"/>
            <w:tcBorders>
              <w:top w:val="nil"/>
              <w:left w:val="nil"/>
              <w:bottom w:val="nil"/>
              <w:right w:val="nil"/>
            </w:tcBorders>
            <w:shd w:val="clear" w:color="FFFFFF" w:fill="FFFFFF"/>
            <w:noWrap/>
            <w:vAlign w:val="bottom"/>
            <w:hideMark/>
          </w:tcPr>
          <w:p w14:paraId="4EEEB169"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96" w:type="dxa"/>
            <w:tcBorders>
              <w:top w:val="nil"/>
              <w:left w:val="nil"/>
              <w:bottom w:val="nil"/>
              <w:right w:val="nil"/>
            </w:tcBorders>
            <w:shd w:val="clear" w:color="FFFFFF" w:fill="FFFFFF"/>
            <w:noWrap/>
            <w:vAlign w:val="bottom"/>
            <w:hideMark/>
          </w:tcPr>
          <w:p w14:paraId="3618DDD0"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16CD0B77" w14:textId="77777777" w:rsidTr="00834149">
        <w:trPr>
          <w:trHeight w:val="324"/>
        </w:trPr>
        <w:tc>
          <w:tcPr>
            <w:tcW w:w="7812" w:type="dxa"/>
            <w:tcBorders>
              <w:top w:val="nil"/>
              <w:left w:val="nil"/>
              <w:bottom w:val="single" w:sz="4" w:space="0" w:color="000000"/>
              <w:right w:val="nil"/>
            </w:tcBorders>
            <w:shd w:val="clear" w:color="FFFFFF" w:fill="FFFFFF"/>
            <w:noWrap/>
            <w:vAlign w:val="bottom"/>
            <w:hideMark/>
          </w:tcPr>
          <w:p w14:paraId="3BFC4647"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Average Supervision (US$/project)</w:t>
            </w:r>
          </w:p>
        </w:tc>
        <w:tc>
          <w:tcPr>
            <w:tcW w:w="655" w:type="dxa"/>
            <w:gridSpan w:val="2"/>
            <w:tcBorders>
              <w:top w:val="nil"/>
              <w:left w:val="nil"/>
              <w:bottom w:val="single" w:sz="4" w:space="0" w:color="000000"/>
              <w:right w:val="nil"/>
            </w:tcBorders>
            <w:shd w:val="clear" w:color="FFFFFF" w:fill="FFFFFF"/>
            <w:noWrap/>
            <w:vAlign w:val="bottom"/>
            <w:hideMark/>
          </w:tcPr>
          <w:p w14:paraId="5820EC88"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337" w:type="dxa"/>
            <w:gridSpan w:val="2"/>
            <w:tcBorders>
              <w:top w:val="nil"/>
              <w:left w:val="nil"/>
              <w:bottom w:val="single" w:sz="4" w:space="0" w:color="000000"/>
              <w:right w:val="nil"/>
            </w:tcBorders>
            <w:shd w:val="clear" w:color="FFFFFF" w:fill="FFFFFF"/>
            <w:noWrap/>
            <w:vAlign w:val="bottom"/>
            <w:hideMark/>
          </w:tcPr>
          <w:p w14:paraId="021EF5FA"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96" w:type="dxa"/>
            <w:gridSpan w:val="2"/>
            <w:tcBorders>
              <w:top w:val="nil"/>
              <w:left w:val="nil"/>
              <w:bottom w:val="single" w:sz="4" w:space="0" w:color="000000"/>
              <w:right w:val="nil"/>
            </w:tcBorders>
            <w:shd w:val="clear" w:color="FFFFFF" w:fill="FFFFFF"/>
            <w:noWrap/>
            <w:vAlign w:val="bottom"/>
            <w:hideMark/>
          </w:tcPr>
          <w:p w14:paraId="78CF1FC1"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96" w:type="dxa"/>
            <w:tcBorders>
              <w:top w:val="nil"/>
              <w:left w:val="nil"/>
              <w:bottom w:val="single" w:sz="4" w:space="0" w:color="000000"/>
              <w:right w:val="nil"/>
            </w:tcBorders>
            <w:shd w:val="clear" w:color="FFFFFF" w:fill="FFFFFF"/>
            <w:noWrap/>
            <w:vAlign w:val="bottom"/>
            <w:hideMark/>
          </w:tcPr>
          <w:p w14:paraId="3D022833"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6360F1CC" w14:textId="77777777" w:rsidTr="00834149">
        <w:trPr>
          <w:trHeight w:val="459"/>
        </w:trPr>
        <w:tc>
          <w:tcPr>
            <w:tcW w:w="7812" w:type="dxa"/>
            <w:tcBorders>
              <w:top w:val="nil"/>
              <w:left w:val="nil"/>
              <w:bottom w:val="nil"/>
              <w:right w:val="nil"/>
            </w:tcBorders>
            <w:shd w:val="clear" w:color="FFFFFF" w:fill="FFFFFF"/>
            <w:noWrap/>
            <w:vAlign w:val="bottom"/>
            <w:hideMark/>
          </w:tcPr>
          <w:p w14:paraId="533D8D06"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55" w:type="dxa"/>
            <w:gridSpan w:val="2"/>
            <w:tcBorders>
              <w:top w:val="nil"/>
              <w:left w:val="nil"/>
              <w:bottom w:val="nil"/>
              <w:right w:val="nil"/>
            </w:tcBorders>
            <w:shd w:val="clear" w:color="FFFFFF" w:fill="FFFFFF"/>
            <w:noWrap/>
            <w:vAlign w:val="bottom"/>
            <w:hideMark/>
          </w:tcPr>
          <w:p w14:paraId="7B58133E"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337" w:type="dxa"/>
            <w:gridSpan w:val="2"/>
            <w:tcBorders>
              <w:top w:val="nil"/>
              <w:left w:val="nil"/>
              <w:bottom w:val="nil"/>
              <w:right w:val="nil"/>
            </w:tcBorders>
            <w:shd w:val="clear" w:color="FFFFFF" w:fill="FFFFFF"/>
            <w:noWrap/>
            <w:vAlign w:val="bottom"/>
            <w:hideMark/>
          </w:tcPr>
          <w:p w14:paraId="7CE71939"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96" w:type="dxa"/>
            <w:gridSpan w:val="2"/>
            <w:tcBorders>
              <w:top w:val="nil"/>
              <w:left w:val="nil"/>
              <w:bottom w:val="nil"/>
              <w:right w:val="nil"/>
            </w:tcBorders>
            <w:shd w:val="clear" w:color="FFFFFF" w:fill="FFFFFF"/>
            <w:noWrap/>
            <w:vAlign w:val="bottom"/>
            <w:hideMark/>
          </w:tcPr>
          <w:p w14:paraId="48BF8888"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96" w:type="dxa"/>
            <w:tcBorders>
              <w:top w:val="nil"/>
              <w:left w:val="nil"/>
              <w:bottom w:val="nil"/>
              <w:right w:val="nil"/>
            </w:tcBorders>
            <w:shd w:val="clear" w:color="FFFFFF" w:fill="FFFFFF"/>
            <w:noWrap/>
            <w:vAlign w:val="bottom"/>
            <w:hideMark/>
          </w:tcPr>
          <w:p w14:paraId="76E5A7BD"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0638A920" w14:textId="77777777" w:rsidTr="00834149">
        <w:trPr>
          <w:trHeight w:val="315"/>
        </w:trPr>
        <w:tc>
          <w:tcPr>
            <w:tcW w:w="8190" w:type="dxa"/>
            <w:gridSpan w:val="2"/>
            <w:tcBorders>
              <w:top w:val="single" w:sz="4" w:space="0" w:color="000000"/>
              <w:left w:val="nil"/>
              <w:bottom w:val="single" w:sz="4" w:space="0" w:color="000000"/>
              <w:right w:val="nil"/>
            </w:tcBorders>
            <w:shd w:val="clear" w:color="FFFFFF" w:fill="FFFFFF"/>
            <w:noWrap/>
            <w:vAlign w:val="bottom"/>
            <w:hideMark/>
          </w:tcPr>
          <w:p w14:paraId="19290DEE" w14:textId="77777777" w:rsidR="00E035EA" w:rsidRPr="00834149" w:rsidRDefault="00E035EA" w:rsidP="005C75BA">
            <w:pPr>
              <w:rPr>
                <w:rFonts w:eastAsia="Times New Roman" w:cs="Arial"/>
                <w:b/>
                <w:bCs/>
                <w:color w:val="000000"/>
                <w:sz w:val="18"/>
                <w:szCs w:val="18"/>
              </w:rPr>
            </w:pPr>
            <w:r w:rsidRPr="00834149">
              <w:rPr>
                <w:rFonts w:eastAsia="Times New Roman" w:cs="Arial"/>
                <w:b/>
                <w:bCs/>
                <w:color w:val="000000"/>
                <w:sz w:val="18"/>
                <w:szCs w:val="18"/>
              </w:rPr>
              <w:t>Memorandum Item</w:t>
            </w:r>
          </w:p>
        </w:tc>
        <w:tc>
          <w:tcPr>
            <w:tcW w:w="2571" w:type="dxa"/>
            <w:gridSpan w:val="4"/>
            <w:tcBorders>
              <w:top w:val="single" w:sz="4" w:space="0" w:color="000000"/>
              <w:left w:val="nil"/>
              <w:bottom w:val="single" w:sz="4" w:space="0" w:color="000000"/>
              <w:right w:val="nil"/>
            </w:tcBorders>
            <w:shd w:val="clear" w:color="FFFFFF" w:fill="FFFFFF"/>
            <w:noWrap/>
            <w:vAlign w:val="center"/>
            <w:hideMark/>
          </w:tcPr>
          <w:p w14:paraId="57082FBD"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Since FY80</w:t>
            </w:r>
          </w:p>
        </w:tc>
        <w:tc>
          <w:tcPr>
            <w:tcW w:w="1435" w:type="dxa"/>
            <w:gridSpan w:val="2"/>
            <w:tcBorders>
              <w:top w:val="single" w:sz="4" w:space="0" w:color="000000"/>
              <w:left w:val="nil"/>
              <w:bottom w:val="single" w:sz="4" w:space="0" w:color="000000"/>
              <w:right w:val="nil"/>
            </w:tcBorders>
            <w:shd w:val="clear" w:color="FFFFFF" w:fill="FFFFFF"/>
            <w:noWrap/>
            <w:vAlign w:val="center"/>
            <w:hideMark/>
          </w:tcPr>
          <w:p w14:paraId="701C3C0D" w14:textId="77777777" w:rsidR="00E035EA" w:rsidRPr="00834149" w:rsidRDefault="00E035EA" w:rsidP="005C75BA">
            <w:pPr>
              <w:ind w:right="-108"/>
              <w:jc w:val="center"/>
              <w:rPr>
                <w:rFonts w:eastAsia="Times New Roman" w:cs="Arial"/>
                <w:b/>
                <w:bCs/>
                <w:color w:val="000000"/>
                <w:sz w:val="18"/>
                <w:szCs w:val="18"/>
              </w:rPr>
            </w:pPr>
            <w:r w:rsidRPr="00834149">
              <w:rPr>
                <w:rFonts w:eastAsia="Times New Roman" w:cs="Arial"/>
                <w:b/>
                <w:bCs/>
                <w:color w:val="000000"/>
                <w:sz w:val="18"/>
                <w:szCs w:val="18"/>
              </w:rPr>
              <w:t>Last Five FYs</w:t>
            </w:r>
          </w:p>
        </w:tc>
      </w:tr>
      <w:tr w:rsidR="00E035EA" w:rsidRPr="00434A65" w14:paraId="0CC4B8D0" w14:textId="77777777" w:rsidTr="00834149">
        <w:trPr>
          <w:trHeight w:val="324"/>
        </w:trPr>
        <w:tc>
          <w:tcPr>
            <w:tcW w:w="8190" w:type="dxa"/>
            <w:gridSpan w:val="2"/>
            <w:tcBorders>
              <w:top w:val="nil"/>
              <w:left w:val="nil"/>
              <w:bottom w:val="nil"/>
              <w:right w:val="nil"/>
            </w:tcBorders>
            <w:shd w:val="clear" w:color="FFFFFF" w:fill="FFFFFF"/>
            <w:noWrap/>
            <w:vAlign w:val="bottom"/>
            <w:hideMark/>
          </w:tcPr>
          <w:p w14:paraId="46BCE167"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Proj Eval by OED by Number</w:t>
            </w:r>
          </w:p>
        </w:tc>
        <w:tc>
          <w:tcPr>
            <w:tcW w:w="2571" w:type="dxa"/>
            <w:gridSpan w:val="4"/>
            <w:tcBorders>
              <w:top w:val="nil"/>
              <w:left w:val="nil"/>
              <w:bottom w:val="nil"/>
              <w:right w:val="nil"/>
            </w:tcBorders>
            <w:shd w:val="clear" w:color="FFFFFF" w:fill="FFFFFF"/>
            <w:noWrap/>
            <w:vAlign w:val="bottom"/>
            <w:hideMark/>
          </w:tcPr>
          <w:p w14:paraId="57200FC6"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47</w:t>
            </w:r>
          </w:p>
        </w:tc>
        <w:tc>
          <w:tcPr>
            <w:tcW w:w="1435" w:type="dxa"/>
            <w:gridSpan w:val="2"/>
            <w:tcBorders>
              <w:top w:val="nil"/>
              <w:left w:val="nil"/>
              <w:bottom w:val="nil"/>
              <w:right w:val="nil"/>
            </w:tcBorders>
            <w:shd w:val="clear" w:color="FFFFFF" w:fill="FFFFFF"/>
            <w:noWrap/>
            <w:vAlign w:val="bottom"/>
            <w:hideMark/>
          </w:tcPr>
          <w:p w14:paraId="0409F33A"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3</w:t>
            </w:r>
          </w:p>
        </w:tc>
      </w:tr>
      <w:tr w:rsidR="00E035EA" w:rsidRPr="00434A65" w14:paraId="1AA4580D" w14:textId="77777777" w:rsidTr="00834149">
        <w:trPr>
          <w:trHeight w:val="324"/>
        </w:trPr>
        <w:tc>
          <w:tcPr>
            <w:tcW w:w="8190" w:type="dxa"/>
            <w:gridSpan w:val="2"/>
            <w:tcBorders>
              <w:top w:val="nil"/>
              <w:left w:val="nil"/>
              <w:bottom w:val="nil"/>
              <w:right w:val="nil"/>
            </w:tcBorders>
            <w:shd w:val="clear" w:color="FFFFFF" w:fill="FFFFFF"/>
            <w:noWrap/>
            <w:vAlign w:val="bottom"/>
            <w:hideMark/>
          </w:tcPr>
          <w:p w14:paraId="71F2B4A3"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Proj Eval by OED by Amt (US$ millions)</w:t>
            </w:r>
          </w:p>
        </w:tc>
        <w:tc>
          <w:tcPr>
            <w:tcW w:w="2571" w:type="dxa"/>
            <w:gridSpan w:val="4"/>
            <w:tcBorders>
              <w:top w:val="nil"/>
              <w:left w:val="nil"/>
              <w:bottom w:val="nil"/>
              <w:right w:val="nil"/>
            </w:tcBorders>
            <w:shd w:val="clear" w:color="FFFFFF" w:fill="FFFFFF"/>
            <w:noWrap/>
            <w:vAlign w:val="bottom"/>
            <w:hideMark/>
          </w:tcPr>
          <w:p w14:paraId="0708D072"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951.5</w:t>
            </w:r>
          </w:p>
        </w:tc>
        <w:tc>
          <w:tcPr>
            <w:tcW w:w="1435" w:type="dxa"/>
            <w:gridSpan w:val="2"/>
            <w:tcBorders>
              <w:top w:val="nil"/>
              <w:left w:val="nil"/>
              <w:bottom w:val="nil"/>
              <w:right w:val="nil"/>
            </w:tcBorders>
            <w:shd w:val="clear" w:color="FFFFFF" w:fill="FFFFFF"/>
            <w:noWrap/>
            <w:vAlign w:val="bottom"/>
            <w:hideMark/>
          </w:tcPr>
          <w:p w14:paraId="7831695F"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39.0</w:t>
            </w:r>
          </w:p>
        </w:tc>
      </w:tr>
      <w:tr w:rsidR="00E035EA" w:rsidRPr="00434A65" w14:paraId="6DC4CFE7" w14:textId="77777777" w:rsidTr="00834149">
        <w:trPr>
          <w:trHeight w:val="324"/>
        </w:trPr>
        <w:tc>
          <w:tcPr>
            <w:tcW w:w="8190" w:type="dxa"/>
            <w:gridSpan w:val="2"/>
            <w:tcBorders>
              <w:top w:val="nil"/>
              <w:left w:val="nil"/>
              <w:bottom w:val="nil"/>
              <w:right w:val="nil"/>
            </w:tcBorders>
            <w:shd w:val="clear" w:color="FFFFFF" w:fill="FFFFFF"/>
            <w:noWrap/>
            <w:vAlign w:val="bottom"/>
            <w:hideMark/>
          </w:tcPr>
          <w:p w14:paraId="2DD2ABFD"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 of OED Projects Rated U or HU by Number</w:t>
            </w:r>
          </w:p>
        </w:tc>
        <w:tc>
          <w:tcPr>
            <w:tcW w:w="2571" w:type="dxa"/>
            <w:gridSpan w:val="4"/>
            <w:tcBorders>
              <w:top w:val="nil"/>
              <w:left w:val="nil"/>
              <w:bottom w:val="nil"/>
              <w:right w:val="nil"/>
            </w:tcBorders>
            <w:shd w:val="clear" w:color="FFFFFF" w:fill="FFFFFF"/>
            <w:noWrap/>
            <w:vAlign w:val="bottom"/>
            <w:hideMark/>
          </w:tcPr>
          <w:p w14:paraId="061CC468"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46.8</w:t>
            </w:r>
          </w:p>
        </w:tc>
        <w:tc>
          <w:tcPr>
            <w:tcW w:w="1435" w:type="dxa"/>
            <w:gridSpan w:val="2"/>
            <w:tcBorders>
              <w:top w:val="nil"/>
              <w:left w:val="nil"/>
              <w:bottom w:val="nil"/>
              <w:right w:val="nil"/>
            </w:tcBorders>
            <w:shd w:val="clear" w:color="FFFFFF" w:fill="FFFFFF"/>
            <w:noWrap/>
            <w:vAlign w:val="bottom"/>
            <w:hideMark/>
          </w:tcPr>
          <w:p w14:paraId="18A785CD"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r>
      <w:tr w:rsidR="00E035EA" w:rsidRPr="00434A65" w14:paraId="4113987B" w14:textId="77777777" w:rsidTr="00834149">
        <w:trPr>
          <w:trHeight w:val="324"/>
        </w:trPr>
        <w:tc>
          <w:tcPr>
            <w:tcW w:w="8190" w:type="dxa"/>
            <w:gridSpan w:val="2"/>
            <w:tcBorders>
              <w:top w:val="nil"/>
              <w:left w:val="nil"/>
              <w:bottom w:val="single" w:sz="4" w:space="0" w:color="000000"/>
              <w:right w:val="nil"/>
            </w:tcBorders>
            <w:shd w:val="clear" w:color="FFFFFF" w:fill="FFFFFF"/>
            <w:noWrap/>
            <w:vAlign w:val="bottom"/>
            <w:hideMark/>
          </w:tcPr>
          <w:p w14:paraId="3268C73B"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 of OED Projects Rated U or HU by Amt</w:t>
            </w:r>
          </w:p>
        </w:tc>
        <w:tc>
          <w:tcPr>
            <w:tcW w:w="2571" w:type="dxa"/>
            <w:gridSpan w:val="4"/>
            <w:tcBorders>
              <w:top w:val="nil"/>
              <w:left w:val="nil"/>
              <w:bottom w:val="single" w:sz="4" w:space="0" w:color="000000"/>
              <w:right w:val="nil"/>
            </w:tcBorders>
            <w:shd w:val="clear" w:color="FFFFFF" w:fill="FFFFFF"/>
            <w:noWrap/>
            <w:vAlign w:val="bottom"/>
            <w:hideMark/>
          </w:tcPr>
          <w:p w14:paraId="78AFF514"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38.5</w:t>
            </w:r>
          </w:p>
        </w:tc>
        <w:tc>
          <w:tcPr>
            <w:tcW w:w="1435" w:type="dxa"/>
            <w:gridSpan w:val="2"/>
            <w:tcBorders>
              <w:top w:val="nil"/>
              <w:left w:val="nil"/>
              <w:bottom w:val="single" w:sz="4" w:space="0" w:color="000000"/>
              <w:right w:val="nil"/>
            </w:tcBorders>
            <w:shd w:val="clear" w:color="FFFFFF" w:fill="FFFFFF"/>
            <w:noWrap/>
            <w:vAlign w:val="bottom"/>
            <w:hideMark/>
          </w:tcPr>
          <w:p w14:paraId="1159E785"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r>
      <w:tr w:rsidR="00E035EA" w:rsidRPr="00434A65" w14:paraId="3D9CF0C2" w14:textId="77777777" w:rsidTr="00834149">
        <w:trPr>
          <w:gridAfter w:val="4"/>
          <w:wAfter w:w="3128" w:type="dxa"/>
          <w:trHeight w:val="273"/>
        </w:trPr>
        <w:tc>
          <w:tcPr>
            <w:tcW w:w="9068" w:type="dxa"/>
            <w:gridSpan w:val="4"/>
            <w:tcBorders>
              <w:top w:val="nil"/>
              <w:left w:val="nil"/>
              <w:bottom w:val="nil"/>
              <w:right w:val="nil"/>
            </w:tcBorders>
            <w:shd w:val="clear" w:color="FFFFFF" w:fill="FFFFFF"/>
            <w:noWrap/>
            <w:vAlign w:val="bottom"/>
            <w:hideMark/>
          </w:tcPr>
          <w:p w14:paraId="4D5128F4"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a.  As shown in the Annual Report on Portfolio Performance (except for current FY).</w:t>
            </w:r>
          </w:p>
        </w:tc>
      </w:tr>
      <w:tr w:rsidR="00E035EA" w:rsidRPr="00434A65" w14:paraId="7D853AF6" w14:textId="77777777" w:rsidTr="00834149">
        <w:trPr>
          <w:gridAfter w:val="4"/>
          <w:wAfter w:w="3128" w:type="dxa"/>
          <w:trHeight w:val="273"/>
        </w:trPr>
        <w:tc>
          <w:tcPr>
            <w:tcW w:w="9068" w:type="dxa"/>
            <w:gridSpan w:val="4"/>
            <w:tcBorders>
              <w:top w:val="nil"/>
              <w:left w:val="nil"/>
              <w:bottom w:val="nil"/>
              <w:right w:val="nil"/>
            </w:tcBorders>
            <w:shd w:val="clear" w:color="FFFFFF" w:fill="FFFFFF"/>
            <w:noWrap/>
            <w:vAlign w:val="bottom"/>
            <w:hideMark/>
          </w:tcPr>
          <w:p w14:paraId="48CD0D54"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b.  Average age of projects in the Bank's country portfolio.</w:t>
            </w:r>
          </w:p>
        </w:tc>
      </w:tr>
      <w:tr w:rsidR="00E035EA" w:rsidRPr="00434A65" w14:paraId="0F7268B5" w14:textId="77777777" w:rsidTr="00834149">
        <w:trPr>
          <w:gridAfter w:val="4"/>
          <w:wAfter w:w="3128" w:type="dxa"/>
          <w:trHeight w:val="273"/>
        </w:trPr>
        <w:tc>
          <w:tcPr>
            <w:tcW w:w="9068" w:type="dxa"/>
            <w:gridSpan w:val="4"/>
            <w:tcBorders>
              <w:top w:val="nil"/>
              <w:left w:val="nil"/>
              <w:bottom w:val="nil"/>
              <w:right w:val="nil"/>
            </w:tcBorders>
            <w:shd w:val="clear" w:color="FFFFFF" w:fill="FFFFFF"/>
            <w:noWrap/>
            <w:vAlign w:val="bottom"/>
            <w:hideMark/>
          </w:tcPr>
          <w:p w14:paraId="7B33DB56"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c.  Percent of projects rated U or HU on development objectives (DO) and/or implementation progress (IP).</w:t>
            </w:r>
          </w:p>
        </w:tc>
      </w:tr>
      <w:tr w:rsidR="00E035EA" w:rsidRPr="00434A65" w14:paraId="127DAC78" w14:textId="77777777" w:rsidTr="00834149">
        <w:trPr>
          <w:gridAfter w:val="4"/>
          <w:wAfter w:w="3128" w:type="dxa"/>
          <w:trHeight w:val="273"/>
        </w:trPr>
        <w:tc>
          <w:tcPr>
            <w:tcW w:w="9068" w:type="dxa"/>
            <w:gridSpan w:val="4"/>
            <w:tcBorders>
              <w:top w:val="nil"/>
              <w:left w:val="nil"/>
              <w:bottom w:val="nil"/>
              <w:right w:val="nil"/>
            </w:tcBorders>
            <w:shd w:val="clear" w:color="FFFFFF" w:fill="FFFFFF"/>
            <w:noWrap/>
            <w:vAlign w:val="bottom"/>
            <w:hideMark/>
          </w:tcPr>
          <w:p w14:paraId="3327A1F9"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d.  As defined under the Portfolio Improvement Program.</w:t>
            </w:r>
          </w:p>
        </w:tc>
      </w:tr>
      <w:tr w:rsidR="00E035EA" w:rsidRPr="00434A65" w14:paraId="25AE8E01" w14:textId="77777777" w:rsidTr="00834149">
        <w:trPr>
          <w:gridAfter w:val="4"/>
          <w:wAfter w:w="3128" w:type="dxa"/>
          <w:trHeight w:val="273"/>
        </w:trPr>
        <w:tc>
          <w:tcPr>
            <w:tcW w:w="9068" w:type="dxa"/>
            <w:gridSpan w:val="4"/>
            <w:tcBorders>
              <w:top w:val="nil"/>
              <w:left w:val="nil"/>
              <w:bottom w:val="nil"/>
              <w:right w:val="nil"/>
            </w:tcBorders>
            <w:shd w:val="clear" w:color="FFFFFF" w:fill="FFFFFF"/>
            <w:noWrap/>
            <w:vAlign w:val="bottom"/>
            <w:hideMark/>
          </w:tcPr>
          <w:p w14:paraId="7A4E375B"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e.  Ratio of disbursements during the year to the undisbursed balance of the Bank's portfolio at the beginning of the year: Investment projects only.</w:t>
            </w:r>
          </w:p>
        </w:tc>
      </w:tr>
      <w:tr w:rsidR="00E035EA" w:rsidRPr="00434A65" w14:paraId="401943F2" w14:textId="77777777" w:rsidTr="00834149">
        <w:trPr>
          <w:gridAfter w:val="4"/>
          <w:wAfter w:w="3128" w:type="dxa"/>
          <w:trHeight w:val="384"/>
        </w:trPr>
        <w:tc>
          <w:tcPr>
            <w:tcW w:w="9068" w:type="dxa"/>
            <w:gridSpan w:val="4"/>
            <w:tcBorders>
              <w:top w:val="nil"/>
              <w:left w:val="nil"/>
              <w:bottom w:val="nil"/>
              <w:right w:val="nil"/>
            </w:tcBorders>
            <w:shd w:val="clear" w:color="FFFFFF" w:fill="FFFFFF"/>
            <w:vAlign w:val="center"/>
            <w:hideMark/>
          </w:tcPr>
          <w:p w14:paraId="348A7E3A"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 xml:space="preserve">*   All indicators are for projects active in the Portfolio, with the exception of Disbursement Ratio, which includes all active projects </w:t>
            </w:r>
            <w:r w:rsidRPr="00834149">
              <w:rPr>
                <w:rFonts w:eastAsia="Times New Roman" w:cs="Arial"/>
                <w:color w:val="000000"/>
                <w:sz w:val="18"/>
                <w:szCs w:val="18"/>
              </w:rPr>
              <w:br/>
              <w:t xml:space="preserve">    as well as projects which exited during the fiscal year.</w:t>
            </w:r>
          </w:p>
        </w:tc>
      </w:tr>
    </w:tbl>
    <w:p w14:paraId="245082B1" w14:textId="77777777" w:rsidR="00E035EA" w:rsidRDefault="00E035EA" w:rsidP="00E035EA">
      <w:pPr>
        <w:sectPr w:rsidR="00E035EA" w:rsidSect="00834149">
          <w:pgSz w:w="15840" w:h="12240" w:orient="landscape" w:code="1"/>
          <w:pgMar w:top="1440" w:right="1440" w:bottom="1440" w:left="1440" w:header="720" w:footer="720" w:gutter="0"/>
          <w:cols w:space="720"/>
          <w:docGrid w:linePitch="360"/>
        </w:sectPr>
      </w:pPr>
    </w:p>
    <w:p w14:paraId="747FDE9B" w14:textId="1354D6EB" w:rsidR="00434A65" w:rsidRDefault="00434A65" w:rsidP="00834149">
      <w:pPr>
        <w:keepNext/>
        <w:jc w:val="center"/>
        <w:rPr>
          <w:rFonts w:cs="Times New Roman"/>
          <w:b/>
        </w:rPr>
      </w:pPr>
      <w:bookmarkStart w:id="53" w:name="_Toc477452444"/>
      <w:r w:rsidRPr="00D87B11">
        <w:rPr>
          <w:rFonts w:cs="Times New Roman"/>
          <w:b/>
        </w:rPr>
        <w:lastRenderedPageBreak/>
        <w:t xml:space="preserve">Annex </w:t>
      </w:r>
      <w:r w:rsidRPr="00D87B11">
        <w:rPr>
          <w:rFonts w:cs="Times New Roman"/>
          <w:b/>
        </w:rPr>
        <w:fldChar w:fldCharType="begin"/>
      </w:r>
      <w:r w:rsidRPr="00D87B11">
        <w:rPr>
          <w:rFonts w:cs="Times New Roman"/>
          <w:b/>
        </w:rPr>
        <w:instrText xml:space="preserve"> SEQ Annex \* ARABIC </w:instrText>
      </w:r>
      <w:r w:rsidRPr="00D87B11">
        <w:rPr>
          <w:rFonts w:cs="Times New Roman"/>
          <w:b/>
        </w:rPr>
        <w:fldChar w:fldCharType="separate"/>
      </w:r>
      <w:r w:rsidR="000D6ABB">
        <w:rPr>
          <w:rFonts w:cs="Times New Roman"/>
          <w:b/>
          <w:noProof/>
        </w:rPr>
        <w:t>4</w:t>
      </w:r>
      <w:r w:rsidRPr="00D87B11">
        <w:rPr>
          <w:rFonts w:cs="Times New Roman"/>
          <w:b/>
        </w:rPr>
        <w:fldChar w:fldCharType="end"/>
      </w:r>
      <w:r w:rsidRPr="00D87B11">
        <w:rPr>
          <w:rFonts w:cs="Times New Roman"/>
          <w:b/>
        </w:rPr>
        <w:t>. Operations Portfolio (IBRD/IDA and Grants)</w:t>
      </w:r>
    </w:p>
    <w:bookmarkEnd w:id="53"/>
    <w:p w14:paraId="3F5AA513" w14:textId="77777777" w:rsidR="00E035EA" w:rsidRPr="00434A65" w:rsidRDefault="00E035EA" w:rsidP="00834149">
      <w:pPr>
        <w:keepNext/>
      </w:pPr>
    </w:p>
    <w:tbl>
      <w:tblPr>
        <w:tblpPr w:leftFromText="180" w:rightFromText="180" w:vertAnchor="text" w:horzAnchor="margin" w:tblpY="-48"/>
        <w:tblW w:w="14123" w:type="dxa"/>
        <w:tblLook w:val="04A0" w:firstRow="1" w:lastRow="0" w:firstColumn="1" w:lastColumn="0" w:noHBand="0" w:noVBand="1"/>
      </w:tblPr>
      <w:tblGrid>
        <w:gridCol w:w="1080"/>
        <w:gridCol w:w="2970"/>
        <w:gridCol w:w="261"/>
        <w:gridCol w:w="1387"/>
        <w:gridCol w:w="1696"/>
        <w:gridCol w:w="794"/>
        <w:gridCol w:w="661"/>
        <w:gridCol w:w="607"/>
        <w:gridCol w:w="826"/>
        <w:gridCol w:w="875"/>
        <w:gridCol w:w="915"/>
        <w:gridCol w:w="931"/>
        <w:gridCol w:w="1120"/>
      </w:tblGrid>
      <w:tr w:rsidR="00E035EA" w:rsidRPr="00434A65" w14:paraId="3C6E231A" w14:textId="77777777" w:rsidTr="00834149">
        <w:trPr>
          <w:trHeight w:val="315"/>
        </w:trPr>
        <w:tc>
          <w:tcPr>
            <w:tcW w:w="4311" w:type="dxa"/>
            <w:gridSpan w:val="3"/>
            <w:tcBorders>
              <w:top w:val="nil"/>
              <w:left w:val="nil"/>
              <w:bottom w:val="nil"/>
              <w:right w:val="nil"/>
            </w:tcBorders>
            <w:shd w:val="clear" w:color="FFFFFF" w:fill="FFFFFF"/>
            <w:noWrap/>
            <w:vAlign w:val="bottom"/>
            <w:hideMark/>
          </w:tcPr>
          <w:p w14:paraId="137B9116"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Closed Projects</w:t>
            </w:r>
          </w:p>
        </w:tc>
        <w:tc>
          <w:tcPr>
            <w:tcW w:w="1387" w:type="dxa"/>
            <w:tcBorders>
              <w:top w:val="nil"/>
              <w:left w:val="nil"/>
              <w:bottom w:val="nil"/>
              <w:right w:val="nil"/>
            </w:tcBorders>
            <w:shd w:val="clear" w:color="FFFFFF" w:fill="FFFFFF"/>
            <w:noWrap/>
            <w:vAlign w:val="bottom"/>
            <w:hideMark/>
          </w:tcPr>
          <w:p w14:paraId="0679C1E7" w14:textId="77777777" w:rsidR="00E035EA" w:rsidRPr="00834149" w:rsidRDefault="00E035EA" w:rsidP="005C75BA">
            <w:pPr>
              <w:jc w:val="right"/>
              <w:rPr>
                <w:rFonts w:eastAsia="Times New Roman" w:cs="Arial"/>
                <w:b/>
                <w:bCs/>
                <w:color w:val="000000"/>
                <w:sz w:val="18"/>
                <w:szCs w:val="18"/>
              </w:rPr>
            </w:pPr>
            <w:r w:rsidRPr="00834149">
              <w:rPr>
                <w:rFonts w:eastAsia="Times New Roman" w:cs="Arial"/>
                <w:b/>
                <w:bCs/>
                <w:color w:val="000000"/>
                <w:sz w:val="18"/>
                <w:szCs w:val="18"/>
              </w:rPr>
              <w:t>55</w:t>
            </w:r>
          </w:p>
        </w:tc>
        <w:tc>
          <w:tcPr>
            <w:tcW w:w="1696" w:type="dxa"/>
            <w:tcBorders>
              <w:top w:val="nil"/>
              <w:left w:val="nil"/>
              <w:bottom w:val="nil"/>
              <w:right w:val="nil"/>
            </w:tcBorders>
            <w:shd w:val="clear" w:color="FFFFFF" w:fill="FFFFFF"/>
            <w:noWrap/>
            <w:vAlign w:val="bottom"/>
            <w:hideMark/>
          </w:tcPr>
          <w:p w14:paraId="08106448"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794" w:type="dxa"/>
            <w:tcBorders>
              <w:top w:val="nil"/>
              <w:left w:val="nil"/>
              <w:bottom w:val="nil"/>
              <w:right w:val="nil"/>
            </w:tcBorders>
            <w:shd w:val="clear" w:color="FFFFFF" w:fill="FFFFFF"/>
            <w:noWrap/>
            <w:vAlign w:val="bottom"/>
            <w:hideMark/>
          </w:tcPr>
          <w:p w14:paraId="77E3DBD2"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61" w:type="dxa"/>
            <w:tcBorders>
              <w:top w:val="nil"/>
              <w:left w:val="nil"/>
              <w:bottom w:val="nil"/>
              <w:right w:val="nil"/>
            </w:tcBorders>
            <w:shd w:val="clear" w:color="FFFFFF" w:fill="FFFFFF"/>
            <w:noWrap/>
            <w:vAlign w:val="bottom"/>
            <w:hideMark/>
          </w:tcPr>
          <w:p w14:paraId="7B74F3EF"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07" w:type="dxa"/>
            <w:tcBorders>
              <w:top w:val="nil"/>
              <w:left w:val="nil"/>
              <w:bottom w:val="nil"/>
              <w:right w:val="nil"/>
            </w:tcBorders>
            <w:shd w:val="clear" w:color="FFFFFF" w:fill="FFFFFF"/>
            <w:noWrap/>
            <w:vAlign w:val="bottom"/>
            <w:hideMark/>
          </w:tcPr>
          <w:p w14:paraId="50BF0059"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26" w:type="dxa"/>
            <w:tcBorders>
              <w:top w:val="nil"/>
              <w:left w:val="nil"/>
              <w:bottom w:val="nil"/>
              <w:right w:val="nil"/>
            </w:tcBorders>
            <w:shd w:val="clear" w:color="FFFFFF" w:fill="FFFFFF"/>
            <w:noWrap/>
            <w:vAlign w:val="bottom"/>
            <w:hideMark/>
          </w:tcPr>
          <w:p w14:paraId="4A7D3F28"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75" w:type="dxa"/>
            <w:tcBorders>
              <w:top w:val="nil"/>
              <w:left w:val="nil"/>
              <w:bottom w:val="nil"/>
              <w:right w:val="nil"/>
            </w:tcBorders>
            <w:shd w:val="clear" w:color="FFFFFF" w:fill="FFFFFF"/>
            <w:noWrap/>
            <w:vAlign w:val="bottom"/>
            <w:hideMark/>
          </w:tcPr>
          <w:p w14:paraId="41ECBFCB"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15" w:type="dxa"/>
            <w:tcBorders>
              <w:top w:val="nil"/>
              <w:left w:val="nil"/>
              <w:bottom w:val="nil"/>
              <w:right w:val="nil"/>
            </w:tcBorders>
            <w:shd w:val="clear" w:color="FFFFFF" w:fill="FFFFFF"/>
            <w:noWrap/>
            <w:vAlign w:val="bottom"/>
            <w:hideMark/>
          </w:tcPr>
          <w:p w14:paraId="3286958E"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31" w:type="dxa"/>
            <w:tcBorders>
              <w:top w:val="nil"/>
              <w:left w:val="nil"/>
              <w:bottom w:val="nil"/>
              <w:right w:val="nil"/>
            </w:tcBorders>
            <w:shd w:val="clear" w:color="FFFFFF" w:fill="FFFFFF"/>
            <w:noWrap/>
            <w:vAlign w:val="bottom"/>
            <w:hideMark/>
          </w:tcPr>
          <w:p w14:paraId="70243503"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20" w:type="dxa"/>
            <w:tcBorders>
              <w:top w:val="nil"/>
              <w:left w:val="nil"/>
              <w:bottom w:val="nil"/>
              <w:right w:val="nil"/>
            </w:tcBorders>
            <w:shd w:val="clear" w:color="FFFFFF" w:fill="FFFFFF"/>
            <w:noWrap/>
            <w:vAlign w:val="bottom"/>
            <w:hideMark/>
          </w:tcPr>
          <w:p w14:paraId="3812986B"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7AD32F56" w14:textId="77777777" w:rsidTr="00834149">
        <w:trPr>
          <w:trHeight w:val="315"/>
        </w:trPr>
        <w:tc>
          <w:tcPr>
            <w:tcW w:w="4311" w:type="dxa"/>
            <w:gridSpan w:val="3"/>
            <w:tcBorders>
              <w:top w:val="nil"/>
              <w:left w:val="nil"/>
              <w:bottom w:val="nil"/>
              <w:right w:val="nil"/>
            </w:tcBorders>
            <w:shd w:val="clear" w:color="FFFFFF" w:fill="FFFFFF"/>
            <w:noWrap/>
            <w:vAlign w:val="bottom"/>
            <w:hideMark/>
          </w:tcPr>
          <w:p w14:paraId="68457B4D" w14:textId="77777777" w:rsidR="00E035EA" w:rsidRPr="00834149" w:rsidRDefault="00E035EA" w:rsidP="005C75BA">
            <w:pPr>
              <w:rPr>
                <w:rFonts w:eastAsia="Times New Roman" w:cs="Arial"/>
                <w:b/>
                <w:bCs/>
                <w:color w:val="000000"/>
                <w:sz w:val="18"/>
                <w:szCs w:val="18"/>
                <w:u w:val="single"/>
              </w:rPr>
            </w:pPr>
            <w:r w:rsidRPr="00834149">
              <w:rPr>
                <w:rFonts w:eastAsia="Times New Roman" w:cs="Arial"/>
                <w:b/>
                <w:bCs/>
                <w:color w:val="000000"/>
                <w:sz w:val="18"/>
                <w:szCs w:val="18"/>
                <w:u w:val="single"/>
              </w:rPr>
              <w:t>IBRD/IDA*</w:t>
            </w:r>
          </w:p>
        </w:tc>
        <w:tc>
          <w:tcPr>
            <w:tcW w:w="1387" w:type="dxa"/>
            <w:tcBorders>
              <w:top w:val="nil"/>
              <w:left w:val="nil"/>
              <w:bottom w:val="nil"/>
              <w:right w:val="nil"/>
            </w:tcBorders>
            <w:shd w:val="clear" w:color="FFFFFF" w:fill="FFFFFF"/>
            <w:noWrap/>
            <w:vAlign w:val="bottom"/>
            <w:hideMark/>
          </w:tcPr>
          <w:p w14:paraId="4C983787"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 </w:t>
            </w:r>
          </w:p>
        </w:tc>
        <w:tc>
          <w:tcPr>
            <w:tcW w:w="1696" w:type="dxa"/>
            <w:tcBorders>
              <w:top w:val="nil"/>
              <w:left w:val="nil"/>
              <w:bottom w:val="nil"/>
              <w:right w:val="nil"/>
            </w:tcBorders>
            <w:shd w:val="clear" w:color="FFFFFF" w:fill="FFFFFF"/>
            <w:noWrap/>
            <w:vAlign w:val="bottom"/>
            <w:hideMark/>
          </w:tcPr>
          <w:p w14:paraId="069707DE"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794" w:type="dxa"/>
            <w:tcBorders>
              <w:top w:val="nil"/>
              <w:left w:val="nil"/>
              <w:bottom w:val="nil"/>
              <w:right w:val="nil"/>
            </w:tcBorders>
            <w:shd w:val="clear" w:color="FFFFFF" w:fill="FFFFFF"/>
            <w:noWrap/>
            <w:vAlign w:val="bottom"/>
            <w:hideMark/>
          </w:tcPr>
          <w:p w14:paraId="6B15909C"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61" w:type="dxa"/>
            <w:tcBorders>
              <w:top w:val="nil"/>
              <w:left w:val="nil"/>
              <w:bottom w:val="nil"/>
              <w:right w:val="nil"/>
            </w:tcBorders>
            <w:shd w:val="clear" w:color="FFFFFF" w:fill="FFFFFF"/>
            <w:noWrap/>
            <w:vAlign w:val="bottom"/>
            <w:hideMark/>
          </w:tcPr>
          <w:p w14:paraId="35599D05"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07" w:type="dxa"/>
            <w:tcBorders>
              <w:top w:val="nil"/>
              <w:left w:val="nil"/>
              <w:bottom w:val="nil"/>
              <w:right w:val="nil"/>
            </w:tcBorders>
            <w:shd w:val="clear" w:color="FFFFFF" w:fill="FFFFFF"/>
            <w:noWrap/>
            <w:vAlign w:val="bottom"/>
            <w:hideMark/>
          </w:tcPr>
          <w:p w14:paraId="49E99578"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26" w:type="dxa"/>
            <w:tcBorders>
              <w:top w:val="nil"/>
              <w:left w:val="nil"/>
              <w:bottom w:val="nil"/>
              <w:right w:val="nil"/>
            </w:tcBorders>
            <w:shd w:val="clear" w:color="FFFFFF" w:fill="FFFFFF"/>
            <w:noWrap/>
            <w:vAlign w:val="bottom"/>
            <w:hideMark/>
          </w:tcPr>
          <w:p w14:paraId="2117EF77"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75" w:type="dxa"/>
            <w:tcBorders>
              <w:top w:val="nil"/>
              <w:left w:val="nil"/>
              <w:bottom w:val="nil"/>
              <w:right w:val="nil"/>
            </w:tcBorders>
            <w:shd w:val="clear" w:color="FFFFFF" w:fill="FFFFFF"/>
            <w:noWrap/>
            <w:vAlign w:val="bottom"/>
            <w:hideMark/>
          </w:tcPr>
          <w:p w14:paraId="2E4A7E06"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15" w:type="dxa"/>
            <w:tcBorders>
              <w:top w:val="nil"/>
              <w:left w:val="nil"/>
              <w:bottom w:val="nil"/>
              <w:right w:val="nil"/>
            </w:tcBorders>
            <w:shd w:val="clear" w:color="FFFFFF" w:fill="FFFFFF"/>
            <w:noWrap/>
            <w:vAlign w:val="bottom"/>
            <w:hideMark/>
          </w:tcPr>
          <w:p w14:paraId="7AD18531"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31" w:type="dxa"/>
            <w:tcBorders>
              <w:top w:val="nil"/>
              <w:left w:val="nil"/>
              <w:bottom w:val="nil"/>
              <w:right w:val="nil"/>
            </w:tcBorders>
            <w:shd w:val="clear" w:color="FFFFFF" w:fill="FFFFFF"/>
            <w:noWrap/>
            <w:vAlign w:val="bottom"/>
            <w:hideMark/>
          </w:tcPr>
          <w:p w14:paraId="52EFA0E9"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20" w:type="dxa"/>
            <w:tcBorders>
              <w:top w:val="nil"/>
              <w:left w:val="nil"/>
              <w:bottom w:val="nil"/>
              <w:right w:val="nil"/>
            </w:tcBorders>
            <w:shd w:val="clear" w:color="FFFFFF" w:fill="FFFFFF"/>
            <w:noWrap/>
            <w:vAlign w:val="bottom"/>
            <w:hideMark/>
          </w:tcPr>
          <w:p w14:paraId="4DFCEB14"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3A14AFB2" w14:textId="77777777" w:rsidTr="00834149">
        <w:trPr>
          <w:trHeight w:val="315"/>
        </w:trPr>
        <w:tc>
          <w:tcPr>
            <w:tcW w:w="4311" w:type="dxa"/>
            <w:gridSpan w:val="3"/>
            <w:tcBorders>
              <w:top w:val="nil"/>
              <w:left w:val="nil"/>
              <w:bottom w:val="nil"/>
              <w:right w:val="nil"/>
            </w:tcBorders>
            <w:shd w:val="clear" w:color="FFFFFF" w:fill="FFFFFF"/>
            <w:noWrap/>
            <w:vAlign w:val="bottom"/>
            <w:hideMark/>
          </w:tcPr>
          <w:p w14:paraId="12CBE49D"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Total Disbursed (Active)</w:t>
            </w:r>
          </w:p>
        </w:tc>
        <w:tc>
          <w:tcPr>
            <w:tcW w:w="1387" w:type="dxa"/>
            <w:tcBorders>
              <w:top w:val="nil"/>
              <w:left w:val="nil"/>
              <w:bottom w:val="nil"/>
              <w:right w:val="nil"/>
            </w:tcBorders>
            <w:shd w:val="clear" w:color="FFFFFF" w:fill="FFFFFF"/>
            <w:noWrap/>
            <w:vAlign w:val="bottom"/>
            <w:hideMark/>
          </w:tcPr>
          <w:p w14:paraId="330E23F1"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87.02</w:t>
            </w:r>
          </w:p>
        </w:tc>
        <w:tc>
          <w:tcPr>
            <w:tcW w:w="1696" w:type="dxa"/>
            <w:tcBorders>
              <w:top w:val="nil"/>
              <w:left w:val="nil"/>
              <w:bottom w:val="nil"/>
              <w:right w:val="nil"/>
            </w:tcBorders>
            <w:shd w:val="clear" w:color="FFFFFF" w:fill="FFFFFF"/>
            <w:noWrap/>
            <w:vAlign w:val="bottom"/>
            <w:hideMark/>
          </w:tcPr>
          <w:p w14:paraId="4085A446"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794" w:type="dxa"/>
            <w:tcBorders>
              <w:top w:val="nil"/>
              <w:left w:val="nil"/>
              <w:bottom w:val="nil"/>
              <w:right w:val="nil"/>
            </w:tcBorders>
            <w:shd w:val="clear" w:color="FFFFFF" w:fill="FFFFFF"/>
            <w:noWrap/>
            <w:vAlign w:val="bottom"/>
            <w:hideMark/>
          </w:tcPr>
          <w:p w14:paraId="61FBF575"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61" w:type="dxa"/>
            <w:tcBorders>
              <w:top w:val="nil"/>
              <w:left w:val="nil"/>
              <w:bottom w:val="nil"/>
              <w:right w:val="nil"/>
            </w:tcBorders>
            <w:shd w:val="clear" w:color="FFFFFF" w:fill="FFFFFF"/>
            <w:noWrap/>
            <w:vAlign w:val="bottom"/>
            <w:hideMark/>
          </w:tcPr>
          <w:p w14:paraId="1A047627"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07" w:type="dxa"/>
            <w:tcBorders>
              <w:top w:val="nil"/>
              <w:left w:val="nil"/>
              <w:bottom w:val="nil"/>
              <w:right w:val="nil"/>
            </w:tcBorders>
            <w:shd w:val="clear" w:color="FFFFFF" w:fill="FFFFFF"/>
            <w:noWrap/>
            <w:vAlign w:val="bottom"/>
            <w:hideMark/>
          </w:tcPr>
          <w:p w14:paraId="3835782E"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26" w:type="dxa"/>
            <w:tcBorders>
              <w:top w:val="nil"/>
              <w:left w:val="nil"/>
              <w:bottom w:val="nil"/>
              <w:right w:val="nil"/>
            </w:tcBorders>
            <w:shd w:val="clear" w:color="FFFFFF" w:fill="FFFFFF"/>
            <w:noWrap/>
            <w:vAlign w:val="bottom"/>
            <w:hideMark/>
          </w:tcPr>
          <w:p w14:paraId="76505785"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75" w:type="dxa"/>
            <w:tcBorders>
              <w:top w:val="nil"/>
              <w:left w:val="nil"/>
              <w:bottom w:val="nil"/>
              <w:right w:val="nil"/>
            </w:tcBorders>
            <w:shd w:val="clear" w:color="FFFFFF" w:fill="FFFFFF"/>
            <w:noWrap/>
            <w:vAlign w:val="bottom"/>
            <w:hideMark/>
          </w:tcPr>
          <w:p w14:paraId="033A8F38"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15" w:type="dxa"/>
            <w:tcBorders>
              <w:top w:val="nil"/>
              <w:left w:val="nil"/>
              <w:bottom w:val="nil"/>
              <w:right w:val="nil"/>
            </w:tcBorders>
            <w:shd w:val="clear" w:color="FFFFFF" w:fill="FFFFFF"/>
            <w:noWrap/>
            <w:vAlign w:val="bottom"/>
            <w:hideMark/>
          </w:tcPr>
          <w:p w14:paraId="7894FB3B"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31" w:type="dxa"/>
            <w:tcBorders>
              <w:top w:val="nil"/>
              <w:left w:val="nil"/>
              <w:bottom w:val="nil"/>
              <w:right w:val="nil"/>
            </w:tcBorders>
            <w:shd w:val="clear" w:color="FFFFFF" w:fill="FFFFFF"/>
            <w:noWrap/>
            <w:vAlign w:val="bottom"/>
            <w:hideMark/>
          </w:tcPr>
          <w:p w14:paraId="067706DE"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20" w:type="dxa"/>
            <w:tcBorders>
              <w:top w:val="nil"/>
              <w:left w:val="nil"/>
              <w:bottom w:val="nil"/>
              <w:right w:val="nil"/>
            </w:tcBorders>
            <w:shd w:val="clear" w:color="FFFFFF" w:fill="FFFFFF"/>
            <w:noWrap/>
            <w:vAlign w:val="bottom"/>
            <w:hideMark/>
          </w:tcPr>
          <w:p w14:paraId="1F4F2394"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17E2274C" w14:textId="77777777" w:rsidTr="00834149">
        <w:trPr>
          <w:trHeight w:val="315"/>
        </w:trPr>
        <w:tc>
          <w:tcPr>
            <w:tcW w:w="4311" w:type="dxa"/>
            <w:gridSpan w:val="3"/>
            <w:tcBorders>
              <w:top w:val="nil"/>
              <w:left w:val="nil"/>
              <w:bottom w:val="nil"/>
              <w:right w:val="nil"/>
            </w:tcBorders>
            <w:shd w:val="clear" w:color="FFFFFF" w:fill="FFFFFF"/>
            <w:noWrap/>
            <w:vAlign w:val="bottom"/>
            <w:hideMark/>
          </w:tcPr>
          <w:p w14:paraId="46A50BB7"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 xml:space="preserve">          of which has been repaid</w:t>
            </w:r>
          </w:p>
        </w:tc>
        <w:tc>
          <w:tcPr>
            <w:tcW w:w="1387" w:type="dxa"/>
            <w:tcBorders>
              <w:top w:val="nil"/>
              <w:left w:val="nil"/>
              <w:bottom w:val="nil"/>
              <w:right w:val="nil"/>
            </w:tcBorders>
            <w:shd w:val="clear" w:color="FFFFFF" w:fill="FFFFFF"/>
            <w:noWrap/>
            <w:vAlign w:val="bottom"/>
            <w:hideMark/>
          </w:tcPr>
          <w:p w14:paraId="44BF5355"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0.00</w:t>
            </w:r>
          </w:p>
        </w:tc>
        <w:tc>
          <w:tcPr>
            <w:tcW w:w="1696" w:type="dxa"/>
            <w:tcBorders>
              <w:top w:val="nil"/>
              <w:left w:val="nil"/>
              <w:bottom w:val="nil"/>
              <w:right w:val="nil"/>
            </w:tcBorders>
            <w:shd w:val="clear" w:color="FFFFFF" w:fill="FFFFFF"/>
            <w:noWrap/>
            <w:vAlign w:val="bottom"/>
            <w:hideMark/>
          </w:tcPr>
          <w:p w14:paraId="7AECB446"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794" w:type="dxa"/>
            <w:tcBorders>
              <w:top w:val="nil"/>
              <w:left w:val="nil"/>
              <w:bottom w:val="nil"/>
              <w:right w:val="nil"/>
            </w:tcBorders>
            <w:shd w:val="clear" w:color="FFFFFF" w:fill="FFFFFF"/>
            <w:noWrap/>
            <w:vAlign w:val="bottom"/>
            <w:hideMark/>
          </w:tcPr>
          <w:p w14:paraId="65CCDDCF"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61" w:type="dxa"/>
            <w:tcBorders>
              <w:top w:val="nil"/>
              <w:left w:val="nil"/>
              <w:bottom w:val="nil"/>
              <w:right w:val="nil"/>
            </w:tcBorders>
            <w:shd w:val="clear" w:color="FFFFFF" w:fill="FFFFFF"/>
            <w:noWrap/>
            <w:vAlign w:val="bottom"/>
            <w:hideMark/>
          </w:tcPr>
          <w:p w14:paraId="7F663C1E"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07" w:type="dxa"/>
            <w:tcBorders>
              <w:top w:val="nil"/>
              <w:left w:val="nil"/>
              <w:bottom w:val="nil"/>
              <w:right w:val="nil"/>
            </w:tcBorders>
            <w:shd w:val="clear" w:color="FFFFFF" w:fill="FFFFFF"/>
            <w:noWrap/>
            <w:vAlign w:val="bottom"/>
            <w:hideMark/>
          </w:tcPr>
          <w:p w14:paraId="101D36A6"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26" w:type="dxa"/>
            <w:tcBorders>
              <w:top w:val="nil"/>
              <w:left w:val="nil"/>
              <w:bottom w:val="nil"/>
              <w:right w:val="nil"/>
            </w:tcBorders>
            <w:shd w:val="clear" w:color="FFFFFF" w:fill="FFFFFF"/>
            <w:noWrap/>
            <w:vAlign w:val="bottom"/>
            <w:hideMark/>
          </w:tcPr>
          <w:p w14:paraId="4BC63993"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75" w:type="dxa"/>
            <w:tcBorders>
              <w:top w:val="nil"/>
              <w:left w:val="nil"/>
              <w:bottom w:val="nil"/>
              <w:right w:val="nil"/>
            </w:tcBorders>
            <w:shd w:val="clear" w:color="FFFFFF" w:fill="FFFFFF"/>
            <w:noWrap/>
            <w:vAlign w:val="bottom"/>
            <w:hideMark/>
          </w:tcPr>
          <w:p w14:paraId="0E9B89E2"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15" w:type="dxa"/>
            <w:tcBorders>
              <w:top w:val="nil"/>
              <w:left w:val="nil"/>
              <w:bottom w:val="nil"/>
              <w:right w:val="nil"/>
            </w:tcBorders>
            <w:shd w:val="clear" w:color="FFFFFF" w:fill="FFFFFF"/>
            <w:noWrap/>
            <w:vAlign w:val="bottom"/>
            <w:hideMark/>
          </w:tcPr>
          <w:p w14:paraId="00054F8A"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31" w:type="dxa"/>
            <w:tcBorders>
              <w:top w:val="nil"/>
              <w:left w:val="nil"/>
              <w:bottom w:val="nil"/>
              <w:right w:val="nil"/>
            </w:tcBorders>
            <w:shd w:val="clear" w:color="FFFFFF" w:fill="FFFFFF"/>
            <w:noWrap/>
            <w:vAlign w:val="bottom"/>
            <w:hideMark/>
          </w:tcPr>
          <w:p w14:paraId="66C90998"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20" w:type="dxa"/>
            <w:tcBorders>
              <w:top w:val="nil"/>
              <w:left w:val="nil"/>
              <w:bottom w:val="nil"/>
              <w:right w:val="nil"/>
            </w:tcBorders>
            <w:shd w:val="clear" w:color="FFFFFF" w:fill="FFFFFF"/>
            <w:noWrap/>
            <w:vAlign w:val="bottom"/>
            <w:hideMark/>
          </w:tcPr>
          <w:p w14:paraId="4981E95B"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549CC7D7" w14:textId="77777777" w:rsidTr="00834149">
        <w:trPr>
          <w:trHeight w:val="315"/>
        </w:trPr>
        <w:tc>
          <w:tcPr>
            <w:tcW w:w="4311" w:type="dxa"/>
            <w:gridSpan w:val="3"/>
            <w:tcBorders>
              <w:top w:val="nil"/>
              <w:left w:val="nil"/>
              <w:bottom w:val="nil"/>
              <w:right w:val="nil"/>
            </w:tcBorders>
            <w:shd w:val="clear" w:color="FFFFFF" w:fill="FFFFFF"/>
            <w:noWrap/>
            <w:vAlign w:val="bottom"/>
            <w:hideMark/>
          </w:tcPr>
          <w:p w14:paraId="5A0A3CEA"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Total Disbursed (Closed)</w:t>
            </w:r>
          </w:p>
        </w:tc>
        <w:tc>
          <w:tcPr>
            <w:tcW w:w="1387" w:type="dxa"/>
            <w:tcBorders>
              <w:top w:val="nil"/>
              <w:left w:val="nil"/>
              <w:bottom w:val="nil"/>
              <w:right w:val="nil"/>
            </w:tcBorders>
            <w:shd w:val="clear" w:color="FFFFFF" w:fill="FFFFFF"/>
            <w:noWrap/>
            <w:vAlign w:val="bottom"/>
            <w:hideMark/>
          </w:tcPr>
          <w:p w14:paraId="55CFC096"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350.63</w:t>
            </w:r>
          </w:p>
        </w:tc>
        <w:tc>
          <w:tcPr>
            <w:tcW w:w="1696" w:type="dxa"/>
            <w:tcBorders>
              <w:top w:val="nil"/>
              <w:left w:val="nil"/>
              <w:bottom w:val="nil"/>
              <w:right w:val="nil"/>
            </w:tcBorders>
            <w:shd w:val="clear" w:color="FFFFFF" w:fill="FFFFFF"/>
            <w:noWrap/>
            <w:vAlign w:val="bottom"/>
            <w:hideMark/>
          </w:tcPr>
          <w:p w14:paraId="1E1C23B2"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794" w:type="dxa"/>
            <w:tcBorders>
              <w:top w:val="nil"/>
              <w:left w:val="nil"/>
              <w:bottom w:val="nil"/>
              <w:right w:val="nil"/>
            </w:tcBorders>
            <w:shd w:val="clear" w:color="FFFFFF" w:fill="FFFFFF"/>
            <w:noWrap/>
            <w:vAlign w:val="bottom"/>
            <w:hideMark/>
          </w:tcPr>
          <w:p w14:paraId="3892180A"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61" w:type="dxa"/>
            <w:tcBorders>
              <w:top w:val="nil"/>
              <w:left w:val="nil"/>
              <w:bottom w:val="nil"/>
              <w:right w:val="nil"/>
            </w:tcBorders>
            <w:shd w:val="clear" w:color="FFFFFF" w:fill="FFFFFF"/>
            <w:noWrap/>
            <w:vAlign w:val="bottom"/>
            <w:hideMark/>
          </w:tcPr>
          <w:p w14:paraId="57B11032"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07" w:type="dxa"/>
            <w:tcBorders>
              <w:top w:val="nil"/>
              <w:left w:val="nil"/>
              <w:bottom w:val="nil"/>
              <w:right w:val="nil"/>
            </w:tcBorders>
            <w:shd w:val="clear" w:color="FFFFFF" w:fill="FFFFFF"/>
            <w:noWrap/>
            <w:vAlign w:val="bottom"/>
            <w:hideMark/>
          </w:tcPr>
          <w:p w14:paraId="3EC742D4"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26" w:type="dxa"/>
            <w:tcBorders>
              <w:top w:val="nil"/>
              <w:left w:val="nil"/>
              <w:bottom w:val="nil"/>
              <w:right w:val="nil"/>
            </w:tcBorders>
            <w:shd w:val="clear" w:color="FFFFFF" w:fill="FFFFFF"/>
            <w:noWrap/>
            <w:vAlign w:val="bottom"/>
            <w:hideMark/>
          </w:tcPr>
          <w:p w14:paraId="7D5B91BC"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75" w:type="dxa"/>
            <w:tcBorders>
              <w:top w:val="nil"/>
              <w:left w:val="nil"/>
              <w:bottom w:val="nil"/>
              <w:right w:val="nil"/>
            </w:tcBorders>
            <w:shd w:val="clear" w:color="FFFFFF" w:fill="FFFFFF"/>
            <w:noWrap/>
            <w:vAlign w:val="bottom"/>
            <w:hideMark/>
          </w:tcPr>
          <w:p w14:paraId="3CF2C784"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15" w:type="dxa"/>
            <w:tcBorders>
              <w:top w:val="nil"/>
              <w:left w:val="nil"/>
              <w:bottom w:val="nil"/>
              <w:right w:val="nil"/>
            </w:tcBorders>
            <w:shd w:val="clear" w:color="FFFFFF" w:fill="FFFFFF"/>
            <w:noWrap/>
            <w:vAlign w:val="bottom"/>
            <w:hideMark/>
          </w:tcPr>
          <w:p w14:paraId="48DCF449"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31" w:type="dxa"/>
            <w:tcBorders>
              <w:top w:val="nil"/>
              <w:left w:val="nil"/>
              <w:bottom w:val="nil"/>
              <w:right w:val="nil"/>
            </w:tcBorders>
            <w:shd w:val="clear" w:color="FFFFFF" w:fill="FFFFFF"/>
            <w:noWrap/>
            <w:vAlign w:val="bottom"/>
            <w:hideMark/>
          </w:tcPr>
          <w:p w14:paraId="5F946C7C"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20" w:type="dxa"/>
            <w:tcBorders>
              <w:top w:val="nil"/>
              <w:left w:val="nil"/>
              <w:bottom w:val="nil"/>
              <w:right w:val="nil"/>
            </w:tcBorders>
            <w:shd w:val="clear" w:color="FFFFFF" w:fill="FFFFFF"/>
            <w:noWrap/>
            <w:vAlign w:val="bottom"/>
            <w:hideMark/>
          </w:tcPr>
          <w:p w14:paraId="5C12B453"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6EAC33F9" w14:textId="77777777" w:rsidTr="00834149">
        <w:trPr>
          <w:trHeight w:val="315"/>
        </w:trPr>
        <w:tc>
          <w:tcPr>
            <w:tcW w:w="4311" w:type="dxa"/>
            <w:gridSpan w:val="3"/>
            <w:tcBorders>
              <w:top w:val="nil"/>
              <w:left w:val="nil"/>
              <w:bottom w:val="nil"/>
              <w:right w:val="nil"/>
            </w:tcBorders>
            <w:shd w:val="clear" w:color="FFFFFF" w:fill="FFFFFF"/>
            <w:noWrap/>
            <w:vAlign w:val="bottom"/>
            <w:hideMark/>
          </w:tcPr>
          <w:p w14:paraId="1DAB6E55"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 xml:space="preserve">          of which has been repaid</w:t>
            </w:r>
          </w:p>
        </w:tc>
        <w:tc>
          <w:tcPr>
            <w:tcW w:w="1387" w:type="dxa"/>
            <w:tcBorders>
              <w:top w:val="nil"/>
              <w:left w:val="nil"/>
              <w:bottom w:val="nil"/>
              <w:right w:val="nil"/>
            </w:tcBorders>
            <w:shd w:val="clear" w:color="FFFFFF" w:fill="FFFFFF"/>
            <w:noWrap/>
            <w:vAlign w:val="bottom"/>
            <w:hideMark/>
          </w:tcPr>
          <w:p w14:paraId="54B46395"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156.38</w:t>
            </w:r>
          </w:p>
        </w:tc>
        <w:tc>
          <w:tcPr>
            <w:tcW w:w="1696" w:type="dxa"/>
            <w:tcBorders>
              <w:top w:val="nil"/>
              <w:left w:val="nil"/>
              <w:bottom w:val="nil"/>
              <w:right w:val="nil"/>
            </w:tcBorders>
            <w:shd w:val="clear" w:color="FFFFFF" w:fill="FFFFFF"/>
            <w:noWrap/>
            <w:vAlign w:val="bottom"/>
            <w:hideMark/>
          </w:tcPr>
          <w:p w14:paraId="275D2784"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794" w:type="dxa"/>
            <w:tcBorders>
              <w:top w:val="nil"/>
              <w:left w:val="nil"/>
              <w:bottom w:val="nil"/>
              <w:right w:val="nil"/>
            </w:tcBorders>
            <w:shd w:val="clear" w:color="FFFFFF" w:fill="FFFFFF"/>
            <w:noWrap/>
            <w:vAlign w:val="bottom"/>
            <w:hideMark/>
          </w:tcPr>
          <w:p w14:paraId="3BC1CB5E"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61" w:type="dxa"/>
            <w:tcBorders>
              <w:top w:val="nil"/>
              <w:left w:val="nil"/>
              <w:bottom w:val="nil"/>
              <w:right w:val="nil"/>
            </w:tcBorders>
            <w:shd w:val="clear" w:color="FFFFFF" w:fill="FFFFFF"/>
            <w:noWrap/>
            <w:vAlign w:val="bottom"/>
            <w:hideMark/>
          </w:tcPr>
          <w:p w14:paraId="14A3BBE1"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07" w:type="dxa"/>
            <w:tcBorders>
              <w:top w:val="nil"/>
              <w:left w:val="nil"/>
              <w:bottom w:val="nil"/>
              <w:right w:val="nil"/>
            </w:tcBorders>
            <w:shd w:val="clear" w:color="FFFFFF" w:fill="FFFFFF"/>
            <w:noWrap/>
            <w:vAlign w:val="bottom"/>
            <w:hideMark/>
          </w:tcPr>
          <w:p w14:paraId="686B5B56"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26" w:type="dxa"/>
            <w:tcBorders>
              <w:top w:val="nil"/>
              <w:left w:val="nil"/>
              <w:bottom w:val="nil"/>
              <w:right w:val="nil"/>
            </w:tcBorders>
            <w:shd w:val="clear" w:color="FFFFFF" w:fill="FFFFFF"/>
            <w:noWrap/>
            <w:vAlign w:val="bottom"/>
            <w:hideMark/>
          </w:tcPr>
          <w:p w14:paraId="799BDFB6"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75" w:type="dxa"/>
            <w:tcBorders>
              <w:top w:val="nil"/>
              <w:left w:val="nil"/>
              <w:bottom w:val="nil"/>
              <w:right w:val="nil"/>
            </w:tcBorders>
            <w:shd w:val="clear" w:color="FFFFFF" w:fill="FFFFFF"/>
            <w:noWrap/>
            <w:vAlign w:val="bottom"/>
            <w:hideMark/>
          </w:tcPr>
          <w:p w14:paraId="6BE2316A"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15" w:type="dxa"/>
            <w:tcBorders>
              <w:top w:val="nil"/>
              <w:left w:val="nil"/>
              <w:bottom w:val="nil"/>
              <w:right w:val="nil"/>
            </w:tcBorders>
            <w:shd w:val="clear" w:color="FFFFFF" w:fill="FFFFFF"/>
            <w:noWrap/>
            <w:vAlign w:val="bottom"/>
            <w:hideMark/>
          </w:tcPr>
          <w:p w14:paraId="5F8EA9B7"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31" w:type="dxa"/>
            <w:tcBorders>
              <w:top w:val="nil"/>
              <w:left w:val="nil"/>
              <w:bottom w:val="nil"/>
              <w:right w:val="nil"/>
            </w:tcBorders>
            <w:shd w:val="clear" w:color="FFFFFF" w:fill="FFFFFF"/>
            <w:noWrap/>
            <w:vAlign w:val="bottom"/>
            <w:hideMark/>
          </w:tcPr>
          <w:p w14:paraId="7F11B535"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20" w:type="dxa"/>
            <w:tcBorders>
              <w:top w:val="nil"/>
              <w:left w:val="nil"/>
              <w:bottom w:val="nil"/>
              <w:right w:val="nil"/>
            </w:tcBorders>
            <w:shd w:val="clear" w:color="FFFFFF" w:fill="FFFFFF"/>
            <w:noWrap/>
            <w:vAlign w:val="bottom"/>
            <w:hideMark/>
          </w:tcPr>
          <w:p w14:paraId="6561A963"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7C405F3A" w14:textId="77777777" w:rsidTr="00834149">
        <w:trPr>
          <w:trHeight w:val="315"/>
        </w:trPr>
        <w:tc>
          <w:tcPr>
            <w:tcW w:w="4311" w:type="dxa"/>
            <w:gridSpan w:val="3"/>
            <w:tcBorders>
              <w:top w:val="nil"/>
              <w:left w:val="nil"/>
              <w:bottom w:val="nil"/>
              <w:right w:val="nil"/>
            </w:tcBorders>
            <w:shd w:val="clear" w:color="FFFFFF" w:fill="FFFFFF"/>
            <w:noWrap/>
            <w:vAlign w:val="bottom"/>
            <w:hideMark/>
          </w:tcPr>
          <w:p w14:paraId="5F52BEB5"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Total Disbursed (Active + Closed)</w:t>
            </w:r>
          </w:p>
        </w:tc>
        <w:tc>
          <w:tcPr>
            <w:tcW w:w="1387" w:type="dxa"/>
            <w:tcBorders>
              <w:top w:val="nil"/>
              <w:left w:val="nil"/>
              <w:bottom w:val="nil"/>
              <w:right w:val="nil"/>
            </w:tcBorders>
            <w:shd w:val="clear" w:color="FFFFFF" w:fill="FFFFFF"/>
            <w:noWrap/>
            <w:vAlign w:val="bottom"/>
            <w:hideMark/>
          </w:tcPr>
          <w:p w14:paraId="046B0B49"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437.65</w:t>
            </w:r>
          </w:p>
        </w:tc>
        <w:tc>
          <w:tcPr>
            <w:tcW w:w="1696" w:type="dxa"/>
            <w:tcBorders>
              <w:top w:val="nil"/>
              <w:left w:val="nil"/>
              <w:bottom w:val="nil"/>
              <w:right w:val="nil"/>
            </w:tcBorders>
            <w:shd w:val="clear" w:color="FFFFFF" w:fill="FFFFFF"/>
            <w:noWrap/>
            <w:vAlign w:val="bottom"/>
            <w:hideMark/>
          </w:tcPr>
          <w:p w14:paraId="199CA7B8"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794" w:type="dxa"/>
            <w:tcBorders>
              <w:top w:val="nil"/>
              <w:left w:val="nil"/>
              <w:bottom w:val="nil"/>
              <w:right w:val="nil"/>
            </w:tcBorders>
            <w:shd w:val="clear" w:color="FFFFFF" w:fill="FFFFFF"/>
            <w:noWrap/>
            <w:vAlign w:val="bottom"/>
            <w:hideMark/>
          </w:tcPr>
          <w:p w14:paraId="29DAFA2A"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61" w:type="dxa"/>
            <w:tcBorders>
              <w:top w:val="nil"/>
              <w:left w:val="nil"/>
              <w:bottom w:val="nil"/>
              <w:right w:val="nil"/>
            </w:tcBorders>
            <w:shd w:val="clear" w:color="FFFFFF" w:fill="FFFFFF"/>
            <w:noWrap/>
            <w:vAlign w:val="bottom"/>
            <w:hideMark/>
          </w:tcPr>
          <w:p w14:paraId="50BBD933"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07" w:type="dxa"/>
            <w:tcBorders>
              <w:top w:val="nil"/>
              <w:left w:val="nil"/>
              <w:bottom w:val="nil"/>
              <w:right w:val="nil"/>
            </w:tcBorders>
            <w:shd w:val="clear" w:color="FFFFFF" w:fill="FFFFFF"/>
            <w:noWrap/>
            <w:vAlign w:val="bottom"/>
            <w:hideMark/>
          </w:tcPr>
          <w:p w14:paraId="51885F5B"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26" w:type="dxa"/>
            <w:tcBorders>
              <w:top w:val="nil"/>
              <w:left w:val="nil"/>
              <w:bottom w:val="nil"/>
              <w:right w:val="nil"/>
            </w:tcBorders>
            <w:shd w:val="clear" w:color="FFFFFF" w:fill="FFFFFF"/>
            <w:noWrap/>
            <w:vAlign w:val="bottom"/>
            <w:hideMark/>
          </w:tcPr>
          <w:p w14:paraId="77BEFA20"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75" w:type="dxa"/>
            <w:tcBorders>
              <w:top w:val="nil"/>
              <w:left w:val="nil"/>
              <w:bottom w:val="nil"/>
              <w:right w:val="nil"/>
            </w:tcBorders>
            <w:shd w:val="clear" w:color="FFFFFF" w:fill="FFFFFF"/>
            <w:noWrap/>
            <w:vAlign w:val="bottom"/>
            <w:hideMark/>
          </w:tcPr>
          <w:p w14:paraId="748E962F"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15" w:type="dxa"/>
            <w:tcBorders>
              <w:top w:val="nil"/>
              <w:left w:val="nil"/>
              <w:bottom w:val="nil"/>
              <w:right w:val="nil"/>
            </w:tcBorders>
            <w:shd w:val="clear" w:color="FFFFFF" w:fill="FFFFFF"/>
            <w:noWrap/>
            <w:vAlign w:val="bottom"/>
            <w:hideMark/>
          </w:tcPr>
          <w:p w14:paraId="1D246CF5"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31" w:type="dxa"/>
            <w:tcBorders>
              <w:top w:val="nil"/>
              <w:left w:val="nil"/>
              <w:bottom w:val="nil"/>
              <w:right w:val="nil"/>
            </w:tcBorders>
            <w:shd w:val="clear" w:color="FFFFFF" w:fill="FFFFFF"/>
            <w:noWrap/>
            <w:vAlign w:val="bottom"/>
            <w:hideMark/>
          </w:tcPr>
          <w:p w14:paraId="1974AB6D"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20" w:type="dxa"/>
            <w:tcBorders>
              <w:top w:val="nil"/>
              <w:left w:val="nil"/>
              <w:bottom w:val="nil"/>
              <w:right w:val="nil"/>
            </w:tcBorders>
            <w:shd w:val="clear" w:color="FFFFFF" w:fill="FFFFFF"/>
            <w:noWrap/>
            <w:vAlign w:val="bottom"/>
            <w:hideMark/>
          </w:tcPr>
          <w:p w14:paraId="2BE145D2"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5B03EABD" w14:textId="77777777" w:rsidTr="00834149">
        <w:trPr>
          <w:trHeight w:val="315"/>
        </w:trPr>
        <w:tc>
          <w:tcPr>
            <w:tcW w:w="4311" w:type="dxa"/>
            <w:gridSpan w:val="3"/>
            <w:tcBorders>
              <w:top w:val="nil"/>
              <w:left w:val="nil"/>
              <w:bottom w:val="nil"/>
              <w:right w:val="nil"/>
            </w:tcBorders>
            <w:shd w:val="clear" w:color="FFFFFF" w:fill="FFFFFF"/>
            <w:noWrap/>
            <w:vAlign w:val="bottom"/>
            <w:hideMark/>
          </w:tcPr>
          <w:p w14:paraId="4C924162"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 xml:space="preserve">          of which has been repaid</w:t>
            </w:r>
          </w:p>
        </w:tc>
        <w:tc>
          <w:tcPr>
            <w:tcW w:w="1387" w:type="dxa"/>
            <w:tcBorders>
              <w:top w:val="nil"/>
              <w:left w:val="nil"/>
              <w:bottom w:val="nil"/>
              <w:right w:val="nil"/>
            </w:tcBorders>
            <w:shd w:val="clear" w:color="FFFFFF" w:fill="FFFFFF"/>
            <w:noWrap/>
            <w:vAlign w:val="bottom"/>
            <w:hideMark/>
          </w:tcPr>
          <w:p w14:paraId="21E33C9F"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156.38</w:t>
            </w:r>
          </w:p>
        </w:tc>
        <w:tc>
          <w:tcPr>
            <w:tcW w:w="1696" w:type="dxa"/>
            <w:tcBorders>
              <w:top w:val="nil"/>
              <w:left w:val="nil"/>
              <w:bottom w:val="nil"/>
              <w:right w:val="nil"/>
            </w:tcBorders>
            <w:shd w:val="clear" w:color="FFFFFF" w:fill="FFFFFF"/>
            <w:noWrap/>
            <w:vAlign w:val="bottom"/>
            <w:hideMark/>
          </w:tcPr>
          <w:p w14:paraId="25996872"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794" w:type="dxa"/>
            <w:tcBorders>
              <w:top w:val="nil"/>
              <w:left w:val="nil"/>
              <w:bottom w:val="nil"/>
              <w:right w:val="nil"/>
            </w:tcBorders>
            <w:shd w:val="clear" w:color="FFFFFF" w:fill="FFFFFF"/>
            <w:noWrap/>
            <w:vAlign w:val="bottom"/>
            <w:hideMark/>
          </w:tcPr>
          <w:p w14:paraId="0948983D"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61" w:type="dxa"/>
            <w:tcBorders>
              <w:top w:val="nil"/>
              <w:left w:val="nil"/>
              <w:bottom w:val="nil"/>
              <w:right w:val="nil"/>
            </w:tcBorders>
            <w:shd w:val="clear" w:color="FFFFFF" w:fill="FFFFFF"/>
            <w:noWrap/>
            <w:vAlign w:val="bottom"/>
            <w:hideMark/>
          </w:tcPr>
          <w:p w14:paraId="4104FFD4"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07" w:type="dxa"/>
            <w:tcBorders>
              <w:top w:val="nil"/>
              <w:left w:val="nil"/>
              <w:bottom w:val="nil"/>
              <w:right w:val="nil"/>
            </w:tcBorders>
            <w:shd w:val="clear" w:color="FFFFFF" w:fill="FFFFFF"/>
            <w:noWrap/>
            <w:vAlign w:val="bottom"/>
            <w:hideMark/>
          </w:tcPr>
          <w:p w14:paraId="77D72D2C"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26" w:type="dxa"/>
            <w:tcBorders>
              <w:top w:val="nil"/>
              <w:left w:val="nil"/>
              <w:bottom w:val="nil"/>
              <w:right w:val="nil"/>
            </w:tcBorders>
            <w:shd w:val="clear" w:color="FFFFFF" w:fill="FFFFFF"/>
            <w:noWrap/>
            <w:vAlign w:val="bottom"/>
            <w:hideMark/>
          </w:tcPr>
          <w:p w14:paraId="14ECE3ED"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75" w:type="dxa"/>
            <w:tcBorders>
              <w:top w:val="nil"/>
              <w:left w:val="nil"/>
              <w:bottom w:val="nil"/>
              <w:right w:val="nil"/>
            </w:tcBorders>
            <w:shd w:val="clear" w:color="FFFFFF" w:fill="FFFFFF"/>
            <w:noWrap/>
            <w:vAlign w:val="bottom"/>
            <w:hideMark/>
          </w:tcPr>
          <w:p w14:paraId="5EF0C726"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15" w:type="dxa"/>
            <w:tcBorders>
              <w:top w:val="nil"/>
              <w:left w:val="nil"/>
              <w:bottom w:val="nil"/>
              <w:right w:val="nil"/>
            </w:tcBorders>
            <w:shd w:val="clear" w:color="FFFFFF" w:fill="FFFFFF"/>
            <w:noWrap/>
            <w:vAlign w:val="bottom"/>
            <w:hideMark/>
          </w:tcPr>
          <w:p w14:paraId="5614E4A7"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31" w:type="dxa"/>
            <w:tcBorders>
              <w:top w:val="nil"/>
              <w:left w:val="nil"/>
              <w:bottom w:val="nil"/>
              <w:right w:val="nil"/>
            </w:tcBorders>
            <w:shd w:val="clear" w:color="FFFFFF" w:fill="FFFFFF"/>
            <w:noWrap/>
            <w:vAlign w:val="bottom"/>
            <w:hideMark/>
          </w:tcPr>
          <w:p w14:paraId="7A94D16D"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20" w:type="dxa"/>
            <w:tcBorders>
              <w:top w:val="nil"/>
              <w:left w:val="nil"/>
              <w:bottom w:val="nil"/>
              <w:right w:val="nil"/>
            </w:tcBorders>
            <w:shd w:val="clear" w:color="FFFFFF" w:fill="FFFFFF"/>
            <w:noWrap/>
            <w:vAlign w:val="bottom"/>
            <w:hideMark/>
          </w:tcPr>
          <w:p w14:paraId="3A333EFB"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40128731" w14:textId="77777777" w:rsidTr="00834149">
        <w:trPr>
          <w:trHeight w:val="315"/>
        </w:trPr>
        <w:tc>
          <w:tcPr>
            <w:tcW w:w="4311" w:type="dxa"/>
            <w:gridSpan w:val="3"/>
            <w:tcBorders>
              <w:top w:val="nil"/>
              <w:left w:val="nil"/>
              <w:bottom w:val="nil"/>
              <w:right w:val="nil"/>
            </w:tcBorders>
            <w:shd w:val="clear" w:color="FFFFFF" w:fill="FFFFFF"/>
            <w:noWrap/>
            <w:vAlign w:val="bottom"/>
            <w:hideMark/>
          </w:tcPr>
          <w:p w14:paraId="40514068"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Total Undisbursed (Active)</w:t>
            </w:r>
          </w:p>
        </w:tc>
        <w:tc>
          <w:tcPr>
            <w:tcW w:w="1387" w:type="dxa"/>
            <w:tcBorders>
              <w:top w:val="nil"/>
              <w:left w:val="nil"/>
              <w:bottom w:val="nil"/>
              <w:right w:val="nil"/>
            </w:tcBorders>
            <w:shd w:val="clear" w:color="FFFFFF" w:fill="FFFFFF"/>
            <w:noWrap/>
            <w:vAlign w:val="bottom"/>
            <w:hideMark/>
          </w:tcPr>
          <w:p w14:paraId="0820B744"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22.60</w:t>
            </w:r>
          </w:p>
        </w:tc>
        <w:tc>
          <w:tcPr>
            <w:tcW w:w="1696" w:type="dxa"/>
            <w:tcBorders>
              <w:top w:val="nil"/>
              <w:left w:val="nil"/>
              <w:bottom w:val="nil"/>
              <w:right w:val="nil"/>
            </w:tcBorders>
            <w:shd w:val="clear" w:color="FFFFFF" w:fill="FFFFFF"/>
            <w:noWrap/>
            <w:vAlign w:val="bottom"/>
            <w:hideMark/>
          </w:tcPr>
          <w:p w14:paraId="6A236B3D"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794" w:type="dxa"/>
            <w:tcBorders>
              <w:top w:val="nil"/>
              <w:left w:val="nil"/>
              <w:bottom w:val="nil"/>
              <w:right w:val="nil"/>
            </w:tcBorders>
            <w:shd w:val="clear" w:color="FFFFFF" w:fill="FFFFFF"/>
            <w:noWrap/>
            <w:vAlign w:val="bottom"/>
            <w:hideMark/>
          </w:tcPr>
          <w:p w14:paraId="6BD6048F"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61" w:type="dxa"/>
            <w:tcBorders>
              <w:top w:val="nil"/>
              <w:left w:val="nil"/>
              <w:bottom w:val="nil"/>
              <w:right w:val="nil"/>
            </w:tcBorders>
            <w:shd w:val="clear" w:color="FFFFFF" w:fill="FFFFFF"/>
            <w:noWrap/>
            <w:vAlign w:val="bottom"/>
            <w:hideMark/>
          </w:tcPr>
          <w:p w14:paraId="0C79D664"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07" w:type="dxa"/>
            <w:tcBorders>
              <w:top w:val="nil"/>
              <w:left w:val="nil"/>
              <w:bottom w:val="nil"/>
              <w:right w:val="nil"/>
            </w:tcBorders>
            <w:shd w:val="clear" w:color="FFFFFF" w:fill="FFFFFF"/>
            <w:noWrap/>
            <w:vAlign w:val="bottom"/>
            <w:hideMark/>
          </w:tcPr>
          <w:p w14:paraId="3922784B"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26" w:type="dxa"/>
            <w:tcBorders>
              <w:top w:val="nil"/>
              <w:left w:val="nil"/>
              <w:bottom w:val="nil"/>
              <w:right w:val="nil"/>
            </w:tcBorders>
            <w:shd w:val="clear" w:color="FFFFFF" w:fill="FFFFFF"/>
            <w:noWrap/>
            <w:vAlign w:val="bottom"/>
            <w:hideMark/>
          </w:tcPr>
          <w:p w14:paraId="7A6DB766"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75" w:type="dxa"/>
            <w:tcBorders>
              <w:top w:val="nil"/>
              <w:left w:val="nil"/>
              <w:bottom w:val="nil"/>
              <w:right w:val="nil"/>
            </w:tcBorders>
            <w:shd w:val="clear" w:color="FFFFFF" w:fill="FFFFFF"/>
            <w:noWrap/>
            <w:vAlign w:val="bottom"/>
            <w:hideMark/>
          </w:tcPr>
          <w:p w14:paraId="5E21C24F"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15" w:type="dxa"/>
            <w:tcBorders>
              <w:top w:val="nil"/>
              <w:left w:val="nil"/>
              <w:bottom w:val="nil"/>
              <w:right w:val="nil"/>
            </w:tcBorders>
            <w:shd w:val="clear" w:color="FFFFFF" w:fill="FFFFFF"/>
            <w:noWrap/>
            <w:vAlign w:val="bottom"/>
            <w:hideMark/>
          </w:tcPr>
          <w:p w14:paraId="50282D16"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31" w:type="dxa"/>
            <w:tcBorders>
              <w:top w:val="nil"/>
              <w:left w:val="nil"/>
              <w:bottom w:val="nil"/>
              <w:right w:val="nil"/>
            </w:tcBorders>
            <w:shd w:val="clear" w:color="FFFFFF" w:fill="FFFFFF"/>
            <w:noWrap/>
            <w:vAlign w:val="bottom"/>
            <w:hideMark/>
          </w:tcPr>
          <w:p w14:paraId="30567D69"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20" w:type="dxa"/>
            <w:tcBorders>
              <w:top w:val="nil"/>
              <w:left w:val="nil"/>
              <w:bottom w:val="nil"/>
              <w:right w:val="nil"/>
            </w:tcBorders>
            <w:shd w:val="clear" w:color="FFFFFF" w:fill="FFFFFF"/>
            <w:noWrap/>
            <w:vAlign w:val="bottom"/>
            <w:hideMark/>
          </w:tcPr>
          <w:p w14:paraId="0115E583"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7ACA66BF" w14:textId="77777777" w:rsidTr="00834149">
        <w:trPr>
          <w:trHeight w:val="315"/>
        </w:trPr>
        <w:tc>
          <w:tcPr>
            <w:tcW w:w="4311" w:type="dxa"/>
            <w:gridSpan w:val="3"/>
            <w:tcBorders>
              <w:top w:val="nil"/>
              <w:left w:val="nil"/>
              <w:bottom w:val="nil"/>
              <w:right w:val="nil"/>
            </w:tcBorders>
            <w:shd w:val="clear" w:color="FFFFFF" w:fill="FFFFFF"/>
            <w:noWrap/>
            <w:vAlign w:val="bottom"/>
            <w:hideMark/>
          </w:tcPr>
          <w:p w14:paraId="21D929E9"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Total Undisbursed (Closed)</w:t>
            </w:r>
          </w:p>
        </w:tc>
        <w:tc>
          <w:tcPr>
            <w:tcW w:w="1387" w:type="dxa"/>
            <w:tcBorders>
              <w:top w:val="nil"/>
              <w:left w:val="nil"/>
              <w:bottom w:val="nil"/>
              <w:right w:val="nil"/>
            </w:tcBorders>
            <w:shd w:val="clear" w:color="FFFFFF" w:fill="FFFFFF"/>
            <w:noWrap/>
            <w:vAlign w:val="bottom"/>
            <w:hideMark/>
          </w:tcPr>
          <w:p w14:paraId="23299D0C"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 </w:t>
            </w:r>
          </w:p>
        </w:tc>
        <w:tc>
          <w:tcPr>
            <w:tcW w:w="1696" w:type="dxa"/>
            <w:tcBorders>
              <w:top w:val="nil"/>
              <w:left w:val="nil"/>
              <w:bottom w:val="nil"/>
              <w:right w:val="nil"/>
            </w:tcBorders>
            <w:shd w:val="clear" w:color="FFFFFF" w:fill="FFFFFF"/>
            <w:noWrap/>
            <w:vAlign w:val="bottom"/>
            <w:hideMark/>
          </w:tcPr>
          <w:p w14:paraId="0E7AA131"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794" w:type="dxa"/>
            <w:tcBorders>
              <w:top w:val="nil"/>
              <w:left w:val="nil"/>
              <w:bottom w:val="nil"/>
              <w:right w:val="nil"/>
            </w:tcBorders>
            <w:shd w:val="clear" w:color="FFFFFF" w:fill="FFFFFF"/>
            <w:noWrap/>
            <w:vAlign w:val="bottom"/>
            <w:hideMark/>
          </w:tcPr>
          <w:p w14:paraId="11868163"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61" w:type="dxa"/>
            <w:tcBorders>
              <w:top w:val="nil"/>
              <w:left w:val="nil"/>
              <w:bottom w:val="nil"/>
              <w:right w:val="nil"/>
            </w:tcBorders>
            <w:shd w:val="clear" w:color="FFFFFF" w:fill="FFFFFF"/>
            <w:noWrap/>
            <w:vAlign w:val="bottom"/>
            <w:hideMark/>
          </w:tcPr>
          <w:p w14:paraId="701E695C"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07" w:type="dxa"/>
            <w:tcBorders>
              <w:top w:val="nil"/>
              <w:left w:val="nil"/>
              <w:bottom w:val="nil"/>
              <w:right w:val="nil"/>
            </w:tcBorders>
            <w:shd w:val="clear" w:color="FFFFFF" w:fill="FFFFFF"/>
            <w:noWrap/>
            <w:vAlign w:val="bottom"/>
            <w:hideMark/>
          </w:tcPr>
          <w:p w14:paraId="59BCE9AD"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26" w:type="dxa"/>
            <w:tcBorders>
              <w:top w:val="nil"/>
              <w:left w:val="nil"/>
              <w:bottom w:val="nil"/>
              <w:right w:val="nil"/>
            </w:tcBorders>
            <w:shd w:val="clear" w:color="FFFFFF" w:fill="FFFFFF"/>
            <w:noWrap/>
            <w:vAlign w:val="bottom"/>
            <w:hideMark/>
          </w:tcPr>
          <w:p w14:paraId="3F5D8A68"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75" w:type="dxa"/>
            <w:tcBorders>
              <w:top w:val="nil"/>
              <w:left w:val="nil"/>
              <w:bottom w:val="nil"/>
              <w:right w:val="nil"/>
            </w:tcBorders>
            <w:shd w:val="clear" w:color="FFFFFF" w:fill="FFFFFF"/>
            <w:noWrap/>
            <w:vAlign w:val="bottom"/>
            <w:hideMark/>
          </w:tcPr>
          <w:p w14:paraId="02939B97"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15" w:type="dxa"/>
            <w:tcBorders>
              <w:top w:val="nil"/>
              <w:left w:val="nil"/>
              <w:bottom w:val="nil"/>
              <w:right w:val="nil"/>
            </w:tcBorders>
            <w:shd w:val="clear" w:color="FFFFFF" w:fill="FFFFFF"/>
            <w:noWrap/>
            <w:vAlign w:val="bottom"/>
            <w:hideMark/>
          </w:tcPr>
          <w:p w14:paraId="73C4A13B"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31" w:type="dxa"/>
            <w:tcBorders>
              <w:top w:val="nil"/>
              <w:left w:val="nil"/>
              <w:bottom w:val="nil"/>
              <w:right w:val="nil"/>
            </w:tcBorders>
            <w:shd w:val="clear" w:color="FFFFFF" w:fill="FFFFFF"/>
            <w:noWrap/>
            <w:vAlign w:val="bottom"/>
            <w:hideMark/>
          </w:tcPr>
          <w:p w14:paraId="596A492C"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20" w:type="dxa"/>
            <w:tcBorders>
              <w:top w:val="nil"/>
              <w:left w:val="nil"/>
              <w:bottom w:val="nil"/>
              <w:right w:val="nil"/>
            </w:tcBorders>
            <w:shd w:val="clear" w:color="FFFFFF" w:fill="FFFFFF"/>
            <w:noWrap/>
            <w:vAlign w:val="bottom"/>
            <w:hideMark/>
          </w:tcPr>
          <w:p w14:paraId="5D860DC0"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49601738" w14:textId="77777777" w:rsidTr="00834149">
        <w:trPr>
          <w:trHeight w:val="315"/>
        </w:trPr>
        <w:tc>
          <w:tcPr>
            <w:tcW w:w="4311" w:type="dxa"/>
            <w:gridSpan w:val="3"/>
            <w:tcBorders>
              <w:top w:val="nil"/>
              <w:left w:val="nil"/>
              <w:bottom w:val="nil"/>
              <w:right w:val="nil"/>
            </w:tcBorders>
            <w:shd w:val="clear" w:color="FFFFFF" w:fill="FFFFFF"/>
            <w:noWrap/>
            <w:vAlign w:val="bottom"/>
            <w:hideMark/>
          </w:tcPr>
          <w:p w14:paraId="41D4B216"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Total Undisbursed (Active + Closed)</w:t>
            </w:r>
          </w:p>
        </w:tc>
        <w:tc>
          <w:tcPr>
            <w:tcW w:w="1387" w:type="dxa"/>
            <w:tcBorders>
              <w:top w:val="nil"/>
              <w:left w:val="nil"/>
              <w:bottom w:val="nil"/>
              <w:right w:val="nil"/>
            </w:tcBorders>
            <w:shd w:val="clear" w:color="FFFFFF" w:fill="FFFFFF"/>
            <w:noWrap/>
            <w:vAlign w:val="bottom"/>
            <w:hideMark/>
          </w:tcPr>
          <w:p w14:paraId="17C0C3D8"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22.60173841</w:t>
            </w:r>
          </w:p>
        </w:tc>
        <w:tc>
          <w:tcPr>
            <w:tcW w:w="1696" w:type="dxa"/>
            <w:tcBorders>
              <w:top w:val="nil"/>
              <w:left w:val="nil"/>
              <w:bottom w:val="nil"/>
              <w:right w:val="nil"/>
            </w:tcBorders>
            <w:shd w:val="clear" w:color="FFFFFF" w:fill="FFFFFF"/>
            <w:noWrap/>
            <w:vAlign w:val="bottom"/>
            <w:hideMark/>
          </w:tcPr>
          <w:p w14:paraId="592604BE"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794" w:type="dxa"/>
            <w:tcBorders>
              <w:top w:val="nil"/>
              <w:left w:val="nil"/>
              <w:bottom w:val="nil"/>
              <w:right w:val="nil"/>
            </w:tcBorders>
            <w:shd w:val="clear" w:color="FFFFFF" w:fill="FFFFFF"/>
            <w:noWrap/>
            <w:vAlign w:val="bottom"/>
            <w:hideMark/>
          </w:tcPr>
          <w:p w14:paraId="2290CD9C"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61" w:type="dxa"/>
            <w:tcBorders>
              <w:top w:val="nil"/>
              <w:left w:val="nil"/>
              <w:bottom w:val="nil"/>
              <w:right w:val="nil"/>
            </w:tcBorders>
            <w:shd w:val="clear" w:color="FFFFFF" w:fill="FFFFFF"/>
            <w:noWrap/>
            <w:vAlign w:val="bottom"/>
            <w:hideMark/>
          </w:tcPr>
          <w:p w14:paraId="282C9252"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607" w:type="dxa"/>
            <w:tcBorders>
              <w:top w:val="nil"/>
              <w:left w:val="nil"/>
              <w:bottom w:val="nil"/>
              <w:right w:val="nil"/>
            </w:tcBorders>
            <w:shd w:val="clear" w:color="FFFFFF" w:fill="FFFFFF"/>
            <w:noWrap/>
            <w:vAlign w:val="bottom"/>
            <w:hideMark/>
          </w:tcPr>
          <w:p w14:paraId="50F6138D"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26" w:type="dxa"/>
            <w:tcBorders>
              <w:top w:val="nil"/>
              <w:left w:val="nil"/>
              <w:bottom w:val="nil"/>
              <w:right w:val="nil"/>
            </w:tcBorders>
            <w:shd w:val="clear" w:color="FFFFFF" w:fill="FFFFFF"/>
            <w:noWrap/>
            <w:vAlign w:val="bottom"/>
            <w:hideMark/>
          </w:tcPr>
          <w:p w14:paraId="0B58F82B"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875" w:type="dxa"/>
            <w:tcBorders>
              <w:top w:val="nil"/>
              <w:left w:val="nil"/>
              <w:bottom w:val="nil"/>
              <w:right w:val="nil"/>
            </w:tcBorders>
            <w:shd w:val="clear" w:color="FFFFFF" w:fill="FFFFFF"/>
            <w:noWrap/>
            <w:vAlign w:val="bottom"/>
            <w:hideMark/>
          </w:tcPr>
          <w:p w14:paraId="6F354B55"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15" w:type="dxa"/>
            <w:tcBorders>
              <w:top w:val="nil"/>
              <w:left w:val="nil"/>
              <w:bottom w:val="nil"/>
              <w:right w:val="nil"/>
            </w:tcBorders>
            <w:shd w:val="clear" w:color="FFFFFF" w:fill="FFFFFF"/>
            <w:noWrap/>
            <w:vAlign w:val="bottom"/>
            <w:hideMark/>
          </w:tcPr>
          <w:p w14:paraId="6A97E12E"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931" w:type="dxa"/>
            <w:tcBorders>
              <w:top w:val="nil"/>
              <w:left w:val="nil"/>
              <w:bottom w:val="nil"/>
              <w:right w:val="nil"/>
            </w:tcBorders>
            <w:shd w:val="clear" w:color="FFFFFF" w:fill="FFFFFF"/>
            <w:noWrap/>
            <w:vAlign w:val="bottom"/>
            <w:hideMark/>
          </w:tcPr>
          <w:p w14:paraId="5FA691BA"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c>
          <w:tcPr>
            <w:tcW w:w="1120" w:type="dxa"/>
            <w:tcBorders>
              <w:top w:val="nil"/>
              <w:left w:val="nil"/>
              <w:bottom w:val="nil"/>
              <w:right w:val="nil"/>
            </w:tcBorders>
            <w:shd w:val="clear" w:color="FFFFFF" w:fill="FFFFFF"/>
            <w:noWrap/>
            <w:vAlign w:val="bottom"/>
            <w:hideMark/>
          </w:tcPr>
          <w:p w14:paraId="14317B9E" w14:textId="77777777" w:rsidR="00E035EA" w:rsidRPr="00834149" w:rsidRDefault="00E035EA" w:rsidP="005C75BA">
            <w:pPr>
              <w:rPr>
                <w:rFonts w:eastAsia="Times New Roman" w:cs="Arial"/>
                <w:color w:val="333333"/>
                <w:sz w:val="18"/>
                <w:szCs w:val="18"/>
              </w:rPr>
            </w:pPr>
            <w:r w:rsidRPr="00834149">
              <w:rPr>
                <w:rFonts w:eastAsia="Times New Roman" w:cs="Arial"/>
                <w:color w:val="333333"/>
                <w:sz w:val="18"/>
                <w:szCs w:val="18"/>
              </w:rPr>
              <w:t> </w:t>
            </w:r>
          </w:p>
        </w:tc>
      </w:tr>
      <w:tr w:rsidR="00E035EA" w:rsidRPr="00434A65" w14:paraId="74B2D720" w14:textId="77777777" w:rsidTr="00834149">
        <w:trPr>
          <w:trHeight w:val="315"/>
        </w:trPr>
        <w:tc>
          <w:tcPr>
            <w:tcW w:w="4050" w:type="dxa"/>
            <w:gridSpan w:val="2"/>
            <w:tcBorders>
              <w:top w:val="single" w:sz="4" w:space="0" w:color="000000"/>
              <w:left w:val="nil"/>
              <w:bottom w:val="nil"/>
              <w:right w:val="nil"/>
            </w:tcBorders>
            <w:shd w:val="clear" w:color="FFFFFF" w:fill="FFFFFF"/>
            <w:noWrap/>
            <w:vAlign w:val="bottom"/>
            <w:hideMark/>
          </w:tcPr>
          <w:p w14:paraId="5C344F32" w14:textId="77777777" w:rsidR="00E035EA" w:rsidRPr="00834149" w:rsidRDefault="00E035EA" w:rsidP="005C75BA">
            <w:pPr>
              <w:rPr>
                <w:rFonts w:eastAsia="Times New Roman" w:cs="Arial"/>
                <w:b/>
                <w:bCs/>
                <w:color w:val="000000"/>
                <w:sz w:val="18"/>
                <w:szCs w:val="18"/>
                <w:u w:val="single"/>
              </w:rPr>
            </w:pPr>
            <w:r w:rsidRPr="00834149">
              <w:rPr>
                <w:rFonts w:eastAsia="Times New Roman" w:cs="Arial"/>
                <w:b/>
                <w:bCs/>
                <w:color w:val="000000"/>
                <w:sz w:val="18"/>
                <w:szCs w:val="18"/>
                <w:u w:val="single"/>
              </w:rPr>
              <w:t>Active Projects</w:t>
            </w:r>
          </w:p>
        </w:tc>
        <w:tc>
          <w:tcPr>
            <w:tcW w:w="1648" w:type="dxa"/>
            <w:gridSpan w:val="2"/>
            <w:tcBorders>
              <w:top w:val="single" w:sz="4" w:space="0" w:color="000000"/>
              <w:left w:val="nil"/>
              <w:bottom w:val="nil"/>
              <w:right w:val="nil"/>
            </w:tcBorders>
            <w:shd w:val="clear" w:color="FFFFFF" w:fill="FFFFFF"/>
            <w:noWrap/>
            <w:vAlign w:val="center"/>
            <w:hideMark/>
          </w:tcPr>
          <w:p w14:paraId="5DCF26BA"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1696" w:type="dxa"/>
            <w:tcBorders>
              <w:top w:val="single" w:sz="4" w:space="0" w:color="000000"/>
              <w:left w:val="nil"/>
              <w:bottom w:val="nil"/>
              <w:right w:val="nil"/>
            </w:tcBorders>
            <w:shd w:val="clear" w:color="FFFFFF" w:fill="FFFFFF"/>
            <w:noWrap/>
            <w:vAlign w:val="center"/>
            <w:hideMark/>
          </w:tcPr>
          <w:p w14:paraId="6F0D872F"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794" w:type="dxa"/>
            <w:tcBorders>
              <w:top w:val="single" w:sz="4" w:space="0" w:color="000000"/>
              <w:left w:val="nil"/>
              <w:bottom w:val="nil"/>
              <w:right w:val="nil"/>
            </w:tcBorders>
            <w:shd w:val="clear" w:color="FFFFFF" w:fill="FFFFFF"/>
            <w:noWrap/>
            <w:vAlign w:val="center"/>
            <w:hideMark/>
          </w:tcPr>
          <w:p w14:paraId="7507F934"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661" w:type="dxa"/>
            <w:tcBorders>
              <w:top w:val="single" w:sz="4" w:space="0" w:color="000000"/>
              <w:left w:val="nil"/>
              <w:bottom w:val="nil"/>
              <w:right w:val="nil"/>
            </w:tcBorders>
            <w:shd w:val="clear" w:color="FFFFFF" w:fill="FFFFFF"/>
            <w:noWrap/>
            <w:vAlign w:val="center"/>
            <w:hideMark/>
          </w:tcPr>
          <w:p w14:paraId="4DF025B8"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607" w:type="dxa"/>
            <w:tcBorders>
              <w:top w:val="single" w:sz="4" w:space="0" w:color="000000"/>
              <w:left w:val="nil"/>
              <w:bottom w:val="nil"/>
              <w:right w:val="nil"/>
            </w:tcBorders>
            <w:shd w:val="clear" w:color="FFFFFF" w:fill="FFFFFF"/>
            <w:noWrap/>
            <w:vAlign w:val="center"/>
            <w:hideMark/>
          </w:tcPr>
          <w:p w14:paraId="10E3D7FE"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826" w:type="dxa"/>
            <w:tcBorders>
              <w:top w:val="single" w:sz="4" w:space="0" w:color="000000"/>
              <w:left w:val="nil"/>
              <w:bottom w:val="nil"/>
              <w:right w:val="nil"/>
            </w:tcBorders>
            <w:shd w:val="clear" w:color="FFFFFF" w:fill="FFFFFF"/>
            <w:noWrap/>
            <w:vAlign w:val="center"/>
            <w:hideMark/>
          </w:tcPr>
          <w:p w14:paraId="0FE1DE14"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875" w:type="dxa"/>
            <w:tcBorders>
              <w:top w:val="single" w:sz="4" w:space="0" w:color="000000"/>
              <w:left w:val="nil"/>
              <w:bottom w:val="nil"/>
              <w:right w:val="nil"/>
            </w:tcBorders>
            <w:shd w:val="clear" w:color="FFFFFF" w:fill="FFFFFF"/>
            <w:noWrap/>
            <w:vAlign w:val="center"/>
            <w:hideMark/>
          </w:tcPr>
          <w:p w14:paraId="67115E95"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915" w:type="dxa"/>
            <w:tcBorders>
              <w:top w:val="single" w:sz="4" w:space="0" w:color="000000"/>
              <w:left w:val="nil"/>
              <w:bottom w:val="nil"/>
              <w:right w:val="nil"/>
            </w:tcBorders>
            <w:shd w:val="clear" w:color="FFFFFF" w:fill="FFFFFF"/>
            <w:noWrap/>
            <w:vAlign w:val="center"/>
            <w:hideMark/>
          </w:tcPr>
          <w:p w14:paraId="2066789C"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2051" w:type="dxa"/>
            <w:gridSpan w:val="2"/>
            <w:vMerge w:val="restart"/>
            <w:tcBorders>
              <w:top w:val="single" w:sz="4" w:space="0" w:color="000000"/>
              <w:left w:val="nil"/>
              <w:bottom w:val="nil"/>
              <w:right w:val="nil"/>
            </w:tcBorders>
            <w:shd w:val="clear" w:color="FFFFFF" w:fill="FFFFFF"/>
            <w:vAlign w:val="center"/>
            <w:hideMark/>
          </w:tcPr>
          <w:p w14:paraId="162DC387"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Difference Between</w:t>
            </w:r>
            <w:r w:rsidRPr="00834149">
              <w:rPr>
                <w:rFonts w:eastAsia="Times New Roman" w:cs="Arial"/>
                <w:b/>
                <w:bCs/>
                <w:color w:val="000000"/>
                <w:sz w:val="18"/>
                <w:szCs w:val="18"/>
              </w:rPr>
              <w:br/>
              <w:t>Expected and Actual</w:t>
            </w:r>
          </w:p>
        </w:tc>
      </w:tr>
      <w:tr w:rsidR="00E035EA" w:rsidRPr="00434A65" w14:paraId="2D5C209C" w14:textId="77777777" w:rsidTr="00834149">
        <w:trPr>
          <w:trHeight w:val="315"/>
        </w:trPr>
        <w:tc>
          <w:tcPr>
            <w:tcW w:w="1080" w:type="dxa"/>
            <w:tcBorders>
              <w:top w:val="nil"/>
              <w:left w:val="nil"/>
              <w:bottom w:val="nil"/>
              <w:right w:val="nil"/>
            </w:tcBorders>
            <w:shd w:val="clear" w:color="FFFFFF" w:fill="FFFFFF"/>
            <w:noWrap/>
            <w:vAlign w:val="center"/>
            <w:hideMark/>
          </w:tcPr>
          <w:p w14:paraId="0BF3D29A"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2970" w:type="dxa"/>
            <w:tcBorders>
              <w:top w:val="nil"/>
              <w:left w:val="nil"/>
              <w:bottom w:val="nil"/>
              <w:right w:val="nil"/>
            </w:tcBorders>
            <w:shd w:val="clear" w:color="FFFFFF" w:fill="FFFFFF"/>
            <w:noWrap/>
            <w:vAlign w:val="center"/>
            <w:hideMark/>
          </w:tcPr>
          <w:p w14:paraId="23E307AF"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3344" w:type="dxa"/>
            <w:gridSpan w:val="3"/>
            <w:tcBorders>
              <w:top w:val="nil"/>
              <w:left w:val="nil"/>
              <w:bottom w:val="nil"/>
              <w:right w:val="nil"/>
            </w:tcBorders>
            <w:shd w:val="clear" w:color="FFFFFF" w:fill="FFFFFF"/>
            <w:noWrap/>
            <w:vAlign w:val="center"/>
            <w:hideMark/>
          </w:tcPr>
          <w:p w14:paraId="57AA7EB8" w14:textId="77777777" w:rsidR="00E035EA" w:rsidRPr="00834149" w:rsidRDefault="00E035EA" w:rsidP="005C75BA">
            <w:pPr>
              <w:jc w:val="center"/>
              <w:rPr>
                <w:rFonts w:eastAsia="Times New Roman" w:cs="Arial"/>
                <w:b/>
                <w:bCs/>
                <w:color w:val="000000"/>
                <w:sz w:val="18"/>
                <w:szCs w:val="18"/>
                <w:u w:val="single"/>
              </w:rPr>
            </w:pPr>
            <w:r w:rsidRPr="00834149">
              <w:rPr>
                <w:rFonts w:eastAsia="Times New Roman" w:cs="Arial"/>
                <w:b/>
                <w:bCs/>
                <w:color w:val="000000"/>
                <w:sz w:val="18"/>
                <w:szCs w:val="18"/>
                <w:u w:val="single"/>
              </w:rPr>
              <w:t xml:space="preserve">Last PSR </w:t>
            </w:r>
          </w:p>
        </w:tc>
        <w:tc>
          <w:tcPr>
            <w:tcW w:w="794" w:type="dxa"/>
            <w:tcBorders>
              <w:top w:val="nil"/>
              <w:left w:val="nil"/>
              <w:bottom w:val="nil"/>
              <w:right w:val="nil"/>
            </w:tcBorders>
            <w:shd w:val="clear" w:color="FFFFFF" w:fill="FFFFFF"/>
            <w:noWrap/>
            <w:vAlign w:val="center"/>
            <w:hideMark/>
          </w:tcPr>
          <w:p w14:paraId="42CC30E2"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661" w:type="dxa"/>
            <w:tcBorders>
              <w:top w:val="nil"/>
              <w:left w:val="nil"/>
              <w:bottom w:val="nil"/>
              <w:right w:val="nil"/>
            </w:tcBorders>
            <w:shd w:val="clear" w:color="FFFFFF" w:fill="FFFFFF"/>
            <w:noWrap/>
            <w:vAlign w:val="center"/>
            <w:hideMark/>
          </w:tcPr>
          <w:p w14:paraId="2E7C385A"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607" w:type="dxa"/>
            <w:tcBorders>
              <w:top w:val="nil"/>
              <w:left w:val="nil"/>
              <w:bottom w:val="nil"/>
              <w:right w:val="nil"/>
            </w:tcBorders>
            <w:shd w:val="clear" w:color="FFFFFF" w:fill="FFFFFF"/>
            <w:noWrap/>
            <w:vAlign w:val="center"/>
            <w:hideMark/>
          </w:tcPr>
          <w:p w14:paraId="6E8A9DE6"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826" w:type="dxa"/>
            <w:tcBorders>
              <w:top w:val="nil"/>
              <w:left w:val="nil"/>
              <w:bottom w:val="nil"/>
              <w:right w:val="nil"/>
            </w:tcBorders>
            <w:shd w:val="clear" w:color="FFFFFF" w:fill="FFFFFF"/>
            <w:noWrap/>
            <w:vAlign w:val="center"/>
            <w:hideMark/>
          </w:tcPr>
          <w:p w14:paraId="56D86C27"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875" w:type="dxa"/>
            <w:tcBorders>
              <w:top w:val="nil"/>
              <w:left w:val="nil"/>
              <w:bottom w:val="nil"/>
              <w:right w:val="nil"/>
            </w:tcBorders>
            <w:shd w:val="clear" w:color="FFFFFF" w:fill="FFFFFF"/>
            <w:noWrap/>
            <w:vAlign w:val="center"/>
            <w:hideMark/>
          </w:tcPr>
          <w:p w14:paraId="47B9E7B6"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915" w:type="dxa"/>
            <w:tcBorders>
              <w:top w:val="nil"/>
              <w:left w:val="nil"/>
              <w:bottom w:val="nil"/>
              <w:right w:val="nil"/>
            </w:tcBorders>
            <w:shd w:val="clear" w:color="FFFFFF" w:fill="FFFFFF"/>
            <w:noWrap/>
            <w:vAlign w:val="center"/>
            <w:hideMark/>
          </w:tcPr>
          <w:p w14:paraId="41FB1F43"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2051" w:type="dxa"/>
            <w:gridSpan w:val="2"/>
            <w:vMerge/>
            <w:tcBorders>
              <w:top w:val="nil"/>
              <w:left w:val="nil"/>
              <w:bottom w:val="nil"/>
              <w:right w:val="nil"/>
            </w:tcBorders>
            <w:vAlign w:val="center"/>
            <w:hideMark/>
          </w:tcPr>
          <w:p w14:paraId="59EB27A1" w14:textId="77777777" w:rsidR="00E035EA" w:rsidRPr="00834149" w:rsidRDefault="00E035EA" w:rsidP="005C75BA">
            <w:pPr>
              <w:rPr>
                <w:rFonts w:eastAsia="Times New Roman" w:cs="Arial"/>
                <w:b/>
                <w:bCs/>
                <w:color w:val="000000"/>
                <w:sz w:val="18"/>
                <w:szCs w:val="18"/>
              </w:rPr>
            </w:pPr>
          </w:p>
        </w:tc>
      </w:tr>
      <w:tr w:rsidR="00E035EA" w:rsidRPr="00434A65" w14:paraId="5BD490FD" w14:textId="77777777" w:rsidTr="00834149">
        <w:trPr>
          <w:trHeight w:val="315"/>
        </w:trPr>
        <w:tc>
          <w:tcPr>
            <w:tcW w:w="1080" w:type="dxa"/>
            <w:tcBorders>
              <w:top w:val="nil"/>
              <w:left w:val="nil"/>
              <w:bottom w:val="nil"/>
              <w:right w:val="nil"/>
            </w:tcBorders>
            <w:shd w:val="clear" w:color="FFFFFF" w:fill="FFFFFF"/>
            <w:noWrap/>
            <w:vAlign w:val="center"/>
            <w:hideMark/>
          </w:tcPr>
          <w:p w14:paraId="425BC156"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2970" w:type="dxa"/>
            <w:tcBorders>
              <w:top w:val="nil"/>
              <w:left w:val="nil"/>
              <w:bottom w:val="nil"/>
              <w:right w:val="nil"/>
            </w:tcBorders>
            <w:shd w:val="clear" w:color="FFFFFF" w:fill="FFFFFF"/>
            <w:noWrap/>
            <w:vAlign w:val="center"/>
            <w:hideMark/>
          </w:tcPr>
          <w:p w14:paraId="5514D0B7"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3344" w:type="dxa"/>
            <w:gridSpan w:val="3"/>
            <w:tcBorders>
              <w:top w:val="nil"/>
              <w:left w:val="nil"/>
              <w:bottom w:val="nil"/>
              <w:right w:val="nil"/>
            </w:tcBorders>
            <w:shd w:val="clear" w:color="FFFFFF" w:fill="FFFFFF"/>
            <w:noWrap/>
            <w:vAlign w:val="center"/>
            <w:hideMark/>
          </w:tcPr>
          <w:p w14:paraId="1A97D978"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Supervision Rating</w:t>
            </w:r>
          </w:p>
        </w:tc>
        <w:tc>
          <w:tcPr>
            <w:tcW w:w="794" w:type="dxa"/>
            <w:tcBorders>
              <w:top w:val="nil"/>
              <w:left w:val="nil"/>
              <w:bottom w:val="nil"/>
              <w:right w:val="nil"/>
            </w:tcBorders>
            <w:shd w:val="clear" w:color="FFFFFF" w:fill="FFFFFF"/>
            <w:noWrap/>
            <w:vAlign w:val="center"/>
            <w:hideMark/>
          </w:tcPr>
          <w:p w14:paraId="4E7E9407"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2969" w:type="dxa"/>
            <w:gridSpan w:val="4"/>
            <w:tcBorders>
              <w:top w:val="nil"/>
              <w:left w:val="nil"/>
              <w:bottom w:val="nil"/>
              <w:right w:val="nil"/>
            </w:tcBorders>
            <w:shd w:val="clear" w:color="FFFFFF" w:fill="FFFFFF"/>
            <w:noWrap/>
            <w:vAlign w:val="center"/>
            <w:hideMark/>
          </w:tcPr>
          <w:p w14:paraId="6901BCAA" w14:textId="77777777" w:rsidR="00E035EA" w:rsidRPr="00834149" w:rsidRDefault="00E035EA" w:rsidP="005C75BA">
            <w:pPr>
              <w:jc w:val="center"/>
              <w:rPr>
                <w:rFonts w:eastAsia="Times New Roman" w:cs="Arial"/>
                <w:b/>
                <w:bCs/>
                <w:color w:val="000000"/>
                <w:sz w:val="18"/>
                <w:szCs w:val="18"/>
                <w:u w:val="single"/>
              </w:rPr>
            </w:pPr>
            <w:r w:rsidRPr="00834149">
              <w:rPr>
                <w:rFonts w:eastAsia="Times New Roman" w:cs="Arial"/>
                <w:b/>
                <w:bCs/>
                <w:color w:val="000000"/>
                <w:sz w:val="18"/>
                <w:szCs w:val="18"/>
                <w:u w:val="single"/>
              </w:rPr>
              <w:t>Original Amount in US$ Millions</w:t>
            </w:r>
          </w:p>
        </w:tc>
        <w:tc>
          <w:tcPr>
            <w:tcW w:w="915" w:type="dxa"/>
            <w:tcBorders>
              <w:top w:val="nil"/>
              <w:left w:val="nil"/>
              <w:bottom w:val="nil"/>
              <w:right w:val="nil"/>
            </w:tcBorders>
            <w:shd w:val="clear" w:color="FFFFFF" w:fill="FFFFFF"/>
            <w:noWrap/>
            <w:vAlign w:val="center"/>
            <w:hideMark/>
          </w:tcPr>
          <w:p w14:paraId="02AFA3B9" w14:textId="77777777" w:rsidR="00E035EA" w:rsidRPr="00834149" w:rsidRDefault="00E035EA" w:rsidP="005C75BA">
            <w:pPr>
              <w:jc w:val="center"/>
              <w:rPr>
                <w:rFonts w:eastAsia="Times New Roman" w:cs="Arial"/>
                <w:b/>
                <w:bCs/>
                <w:color w:val="333333"/>
                <w:sz w:val="18"/>
                <w:szCs w:val="18"/>
              </w:rPr>
            </w:pPr>
            <w:r w:rsidRPr="00834149">
              <w:rPr>
                <w:rFonts w:eastAsia="Times New Roman" w:cs="Arial"/>
                <w:b/>
                <w:bCs/>
                <w:color w:val="333333"/>
                <w:sz w:val="18"/>
                <w:szCs w:val="18"/>
              </w:rPr>
              <w:t> </w:t>
            </w:r>
          </w:p>
        </w:tc>
        <w:tc>
          <w:tcPr>
            <w:tcW w:w="2051" w:type="dxa"/>
            <w:gridSpan w:val="2"/>
            <w:tcBorders>
              <w:top w:val="nil"/>
              <w:left w:val="nil"/>
              <w:bottom w:val="nil"/>
              <w:right w:val="nil"/>
            </w:tcBorders>
            <w:shd w:val="clear" w:color="FFFFFF" w:fill="FFFFFF"/>
            <w:noWrap/>
            <w:vAlign w:val="center"/>
            <w:hideMark/>
          </w:tcPr>
          <w:p w14:paraId="27289B25"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Disbursements ͣ ̷</w:t>
            </w:r>
          </w:p>
        </w:tc>
      </w:tr>
      <w:tr w:rsidR="00E035EA" w:rsidRPr="00434A65" w14:paraId="41530838" w14:textId="77777777" w:rsidTr="00834149">
        <w:trPr>
          <w:trHeight w:val="630"/>
        </w:trPr>
        <w:tc>
          <w:tcPr>
            <w:tcW w:w="1080" w:type="dxa"/>
            <w:tcBorders>
              <w:top w:val="nil"/>
              <w:left w:val="nil"/>
              <w:bottom w:val="single" w:sz="4" w:space="0" w:color="000000"/>
              <w:right w:val="nil"/>
            </w:tcBorders>
            <w:shd w:val="clear" w:color="FFFFFF" w:fill="FFFFFF"/>
            <w:noWrap/>
            <w:vAlign w:val="center"/>
            <w:hideMark/>
          </w:tcPr>
          <w:p w14:paraId="04CB33BF"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Project ID</w:t>
            </w:r>
          </w:p>
        </w:tc>
        <w:tc>
          <w:tcPr>
            <w:tcW w:w="2970" w:type="dxa"/>
            <w:tcBorders>
              <w:top w:val="nil"/>
              <w:left w:val="nil"/>
              <w:bottom w:val="single" w:sz="4" w:space="0" w:color="000000"/>
              <w:right w:val="nil"/>
            </w:tcBorders>
            <w:shd w:val="clear" w:color="FFFFFF" w:fill="FFFFFF"/>
            <w:noWrap/>
            <w:vAlign w:val="center"/>
            <w:hideMark/>
          </w:tcPr>
          <w:p w14:paraId="028CE734"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Project Name</w:t>
            </w:r>
          </w:p>
        </w:tc>
        <w:tc>
          <w:tcPr>
            <w:tcW w:w="1648" w:type="dxa"/>
            <w:gridSpan w:val="2"/>
            <w:tcBorders>
              <w:top w:val="nil"/>
              <w:left w:val="nil"/>
              <w:bottom w:val="single" w:sz="4" w:space="0" w:color="000000"/>
              <w:right w:val="nil"/>
            </w:tcBorders>
            <w:shd w:val="clear" w:color="FFFFFF" w:fill="FFFFFF"/>
            <w:vAlign w:val="center"/>
            <w:hideMark/>
          </w:tcPr>
          <w:p w14:paraId="728E6DEF" w14:textId="77777777" w:rsidR="00E035EA" w:rsidRPr="00834149" w:rsidRDefault="00E035EA" w:rsidP="005C75BA">
            <w:pPr>
              <w:ind w:right="63"/>
              <w:jc w:val="center"/>
              <w:rPr>
                <w:rFonts w:eastAsia="Times New Roman" w:cs="Arial"/>
                <w:b/>
                <w:bCs/>
                <w:color w:val="000000"/>
                <w:sz w:val="18"/>
                <w:szCs w:val="18"/>
                <w:u w:val="single"/>
              </w:rPr>
            </w:pPr>
            <w:r w:rsidRPr="00834149">
              <w:rPr>
                <w:rFonts w:eastAsia="Times New Roman" w:cs="Arial"/>
                <w:b/>
                <w:bCs/>
                <w:color w:val="000000"/>
                <w:sz w:val="18"/>
                <w:szCs w:val="18"/>
                <w:u w:val="single"/>
              </w:rPr>
              <w:t>Development</w:t>
            </w:r>
            <w:r w:rsidRPr="00834149">
              <w:rPr>
                <w:rFonts w:eastAsia="Times New Roman" w:cs="Arial"/>
                <w:b/>
                <w:bCs/>
                <w:color w:val="000000"/>
                <w:sz w:val="18"/>
                <w:szCs w:val="18"/>
                <w:u w:val="single"/>
              </w:rPr>
              <w:br/>
              <w:t>Objectives</w:t>
            </w:r>
          </w:p>
        </w:tc>
        <w:tc>
          <w:tcPr>
            <w:tcW w:w="1696" w:type="dxa"/>
            <w:tcBorders>
              <w:top w:val="nil"/>
              <w:left w:val="nil"/>
              <w:bottom w:val="single" w:sz="4" w:space="0" w:color="000000"/>
              <w:right w:val="nil"/>
            </w:tcBorders>
            <w:shd w:val="clear" w:color="FFFFFF" w:fill="FFFFFF"/>
            <w:vAlign w:val="center"/>
            <w:hideMark/>
          </w:tcPr>
          <w:p w14:paraId="5D1C64EF" w14:textId="77777777" w:rsidR="00E035EA" w:rsidRPr="00834149" w:rsidRDefault="00E035EA" w:rsidP="005C75BA">
            <w:pPr>
              <w:jc w:val="center"/>
              <w:rPr>
                <w:rFonts w:eastAsia="Times New Roman" w:cs="Arial"/>
                <w:b/>
                <w:bCs/>
                <w:color w:val="000000"/>
                <w:sz w:val="18"/>
                <w:szCs w:val="18"/>
                <w:u w:val="single"/>
              </w:rPr>
            </w:pPr>
            <w:r w:rsidRPr="00834149">
              <w:rPr>
                <w:rFonts w:eastAsia="Times New Roman" w:cs="Arial"/>
                <w:b/>
                <w:bCs/>
                <w:color w:val="000000"/>
                <w:sz w:val="18"/>
                <w:szCs w:val="18"/>
                <w:u w:val="single"/>
              </w:rPr>
              <w:t>Implementation</w:t>
            </w:r>
            <w:r w:rsidRPr="00834149">
              <w:rPr>
                <w:rFonts w:eastAsia="Times New Roman" w:cs="Arial"/>
                <w:b/>
                <w:bCs/>
                <w:color w:val="000000"/>
                <w:sz w:val="18"/>
                <w:szCs w:val="18"/>
                <w:u w:val="single"/>
              </w:rPr>
              <w:br/>
              <w:t>Progress</w:t>
            </w:r>
          </w:p>
        </w:tc>
        <w:tc>
          <w:tcPr>
            <w:tcW w:w="794" w:type="dxa"/>
            <w:tcBorders>
              <w:top w:val="nil"/>
              <w:left w:val="nil"/>
              <w:bottom w:val="single" w:sz="4" w:space="0" w:color="000000"/>
              <w:right w:val="nil"/>
            </w:tcBorders>
            <w:shd w:val="clear" w:color="FFFFFF" w:fill="FFFFFF"/>
            <w:vAlign w:val="center"/>
            <w:hideMark/>
          </w:tcPr>
          <w:p w14:paraId="25590004"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 xml:space="preserve">Fiscal </w:t>
            </w:r>
            <w:r w:rsidRPr="00834149">
              <w:rPr>
                <w:rFonts w:eastAsia="Times New Roman" w:cs="Arial"/>
                <w:b/>
                <w:bCs/>
                <w:color w:val="000000"/>
                <w:sz w:val="18"/>
                <w:szCs w:val="18"/>
              </w:rPr>
              <w:br/>
              <w:t>Year</w:t>
            </w:r>
          </w:p>
        </w:tc>
        <w:tc>
          <w:tcPr>
            <w:tcW w:w="661" w:type="dxa"/>
            <w:tcBorders>
              <w:top w:val="nil"/>
              <w:left w:val="nil"/>
              <w:bottom w:val="single" w:sz="4" w:space="0" w:color="000000"/>
              <w:right w:val="nil"/>
            </w:tcBorders>
            <w:shd w:val="clear" w:color="FFFFFF" w:fill="FFFFFF"/>
            <w:noWrap/>
            <w:vAlign w:val="center"/>
            <w:hideMark/>
          </w:tcPr>
          <w:p w14:paraId="62624F1A"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IBRD</w:t>
            </w:r>
          </w:p>
        </w:tc>
        <w:tc>
          <w:tcPr>
            <w:tcW w:w="607" w:type="dxa"/>
            <w:tcBorders>
              <w:top w:val="nil"/>
              <w:left w:val="nil"/>
              <w:bottom w:val="single" w:sz="4" w:space="0" w:color="000000"/>
              <w:right w:val="nil"/>
            </w:tcBorders>
            <w:shd w:val="clear" w:color="FFFFFF" w:fill="FFFFFF"/>
            <w:noWrap/>
            <w:vAlign w:val="center"/>
            <w:hideMark/>
          </w:tcPr>
          <w:p w14:paraId="70817461"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IDA</w:t>
            </w:r>
          </w:p>
        </w:tc>
        <w:tc>
          <w:tcPr>
            <w:tcW w:w="826" w:type="dxa"/>
            <w:tcBorders>
              <w:top w:val="nil"/>
              <w:left w:val="nil"/>
              <w:bottom w:val="single" w:sz="4" w:space="0" w:color="000000"/>
              <w:right w:val="nil"/>
            </w:tcBorders>
            <w:shd w:val="clear" w:color="FFFFFF" w:fill="FFFFFF"/>
            <w:noWrap/>
            <w:vAlign w:val="center"/>
            <w:hideMark/>
          </w:tcPr>
          <w:p w14:paraId="315AA892"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Grants</w:t>
            </w:r>
          </w:p>
        </w:tc>
        <w:tc>
          <w:tcPr>
            <w:tcW w:w="875" w:type="dxa"/>
            <w:tcBorders>
              <w:top w:val="nil"/>
              <w:left w:val="nil"/>
              <w:bottom w:val="single" w:sz="4" w:space="0" w:color="000000"/>
              <w:right w:val="nil"/>
            </w:tcBorders>
            <w:shd w:val="clear" w:color="FFFFFF" w:fill="FFFFFF"/>
            <w:noWrap/>
            <w:vAlign w:val="center"/>
            <w:hideMark/>
          </w:tcPr>
          <w:p w14:paraId="7E01C246"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Cancel.</w:t>
            </w:r>
          </w:p>
        </w:tc>
        <w:tc>
          <w:tcPr>
            <w:tcW w:w="915" w:type="dxa"/>
            <w:tcBorders>
              <w:top w:val="nil"/>
              <w:left w:val="nil"/>
              <w:bottom w:val="single" w:sz="4" w:space="0" w:color="000000"/>
              <w:right w:val="nil"/>
            </w:tcBorders>
            <w:shd w:val="clear" w:color="FFFFFF" w:fill="FFFFFF"/>
            <w:noWrap/>
            <w:vAlign w:val="center"/>
            <w:hideMark/>
          </w:tcPr>
          <w:p w14:paraId="24870472"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Undisb.</w:t>
            </w:r>
          </w:p>
        </w:tc>
        <w:tc>
          <w:tcPr>
            <w:tcW w:w="931" w:type="dxa"/>
            <w:tcBorders>
              <w:top w:val="nil"/>
              <w:left w:val="nil"/>
              <w:bottom w:val="single" w:sz="4" w:space="0" w:color="000000"/>
              <w:right w:val="nil"/>
            </w:tcBorders>
            <w:shd w:val="clear" w:color="FFFFFF" w:fill="FFFFFF"/>
            <w:noWrap/>
            <w:vAlign w:val="center"/>
            <w:hideMark/>
          </w:tcPr>
          <w:p w14:paraId="6AC25D8E"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Orig.</w:t>
            </w:r>
          </w:p>
        </w:tc>
        <w:tc>
          <w:tcPr>
            <w:tcW w:w="1120" w:type="dxa"/>
            <w:tcBorders>
              <w:top w:val="nil"/>
              <w:left w:val="nil"/>
              <w:bottom w:val="single" w:sz="4" w:space="0" w:color="000000"/>
              <w:right w:val="nil"/>
            </w:tcBorders>
            <w:shd w:val="clear" w:color="FFFFFF" w:fill="FFFFFF"/>
            <w:noWrap/>
            <w:vAlign w:val="center"/>
            <w:hideMark/>
          </w:tcPr>
          <w:p w14:paraId="3D8C101D" w14:textId="77777777" w:rsidR="00E035EA" w:rsidRPr="00834149" w:rsidRDefault="00E035EA" w:rsidP="005C75BA">
            <w:pPr>
              <w:jc w:val="center"/>
              <w:rPr>
                <w:rFonts w:eastAsia="Times New Roman" w:cs="Arial"/>
                <w:b/>
                <w:bCs/>
                <w:color w:val="000000"/>
                <w:sz w:val="18"/>
                <w:szCs w:val="18"/>
              </w:rPr>
            </w:pPr>
            <w:r w:rsidRPr="00834149">
              <w:rPr>
                <w:rFonts w:eastAsia="Times New Roman" w:cs="Arial"/>
                <w:b/>
                <w:bCs/>
                <w:color w:val="000000"/>
                <w:sz w:val="18"/>
                <w:szCs w:val="18"/>
              </w:rPr>
              <w:t>Frm Rev'd</w:t>
            </w:r>
          </w:p>
        </w:tc>
      </w:tr>
      <w:tr w:rsidR="00E035EA" w:rsidRPr="00434A65" w14:paraId="67BF470E" w14:textId="77777777" w:rsidTr="00834149">
        <w:trPr>
          <w:trHeight w:val="324"/>
        </w:trPr>
        <w:tc>
          <w:tcPr>
            <w:tcW w:w="1080" w:type="dxa"/>
            <w:tcBorders>
              <w:top w:val="nil"/>
              <w:left w:val="nil"/>
              <w:bottom w:val="nil"/>
              <w:right w:val="nil"/>
            </w:tcBorders>
            <w:shd w:val="clear" w:color="FFFFFF" w:fill="F8FBFC"/>
            <w:noWrap/>
            <w:vAlign w:val="bottom"/>
            <w:hideMark/>
          </w:tcPr>
          <w:p w14:paraId="296F2476"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P118045</w:t>
            </w:r>
          </w:p>
        </w:tc>
        <w:tc>
          <w:tcPr>
            <w:tcW w:w="2970" w:type="dxa"/>
            <w:tcBorders>
              <w:top w:val="nil"/>
              <w:left w:val="nil"/>
              <w:bottom w:val="nil"/>
              <w:right w:val="nil"/>
            </w:tcBorders>
            <w:shd w:val="clear" w:color="FFFFFF" w:fill="F8FBFC"/>
            <w:noWrap/>
            <w:vAlign w:val="bottom"/>
            <w:hideMark/>
          </w:tcPr>
          <w:p w14:paraId="27D68DB9"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TG:Agricultural Sector Support Project</w:t>
            </w:r>
          </w:p>
        </w:tc>
        <w:tc>
          <w:tcPr>
            <w:tcW w:w="1648" w:type="dxa"/>
            <w:gridSpan w:val="2"/>
            <w:tcBorders>
              <w:top w:val="nil"/>
              <w:left w:val="nil"/>
              <w:bottom w:val="nil"/>
              <w:right w:val="nil"/>
            </w:tcBorders>
            <w:shd w:val="clear" w:color="FFFFFF" w:fill="F8FBFC"/>
            <w:noWrap/>
            <w:vAlign w:val="bottom"/>
            <w:hideMark/>
          </w:tcPr>
          <w:p w14:paraId="6D07B74A"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S</w:t>
            </w:r>
          </w:p>
        </w:tc>
        <w:tc>
          <w:tcPr>
            <w:tcW w:w="1696" w:type="dxa"/>
            <w:tcBorders>
              <w:top w:val="nil"/>
              <w:left w:val="nil"/>
              <w:bottom w:val="nil"/>
              <w:right w:val="nil"/>
            </w:tcBorders>
            <w:shd w:val="clear" w:color="FFFFFF" w:fill="F8FBFC"/>
            <w:noWrap/>
            <w:vAlign w:val="bottom"/>
            <w:hideMark/>
          </w:tcPr>
          <w:p w14:paraId="5C0F7DDA"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S</w:t>
            </w:r>
          </w:p>
        </w:tc>
        <w:tc>
          <w:tcPr>
            <w:tcW w:w="794" w:type="dxa"/>
            <w:tcBorders>
              <w:top w:val="nil"/>
              <w:left w:val="nil"/>
              <w:bottom w:val="nil"/>
              <w:right w:val="nil"/>
            </w:tcBorders>
            <w:shd w:val="clear" w:color="FFFFFF" w:fill="F8FBFC"/>
            <w:noWrap/>
            <w:vAlign w:val="bottom"/>
            <w:hideMark/>
          </w:tcPr>
          <w:p w14:paraId="595C0AA8"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2011</w:t>
            </w:r>
          </w:p>
        </w:tc>
        <w:tc>
          <w:tcPr>
            <w:tcW w:w="661" w:type="dxa"/>
            <w:tcBorders>
              <w:top w:val="nil"/>
              <w:left w:val="nil"/>
              <w:bottom w:val="nil"/>
              <w:right w:val="nil"/>
            </w:tcBorders>
            <w:shd w:val="clear" w:color="FFFFFF" w:fill="F8FBFC"/>
            <w:noWrap/>
            <w:vAlign w:val="bottom"/>
            <w:hideMark/>
          </w:tcPr>
          <w:p w14:paraId="3B11AF8A"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607" w:type="dxa"/>
            <w:tcBorders>
              <w:top w:val="nil"/>
              <w:left w:val="nil"/>
              <w:bottom w:val="nil"/>
              <w:right w:val="nil"/>
            </w:tcBorders>
            <w:shd w:val="clear" w:color="FFFFFF" w:fill="F8FBFC"/>
            <w:noWrap/>
            <w:vAlign w:val="bottom"/>
            <w:hideMark/>
          </w:tcPr>
          <w:p w14:paraId="3088192D"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9.0</w:t>
            </w:r>
          </w:p>
        </w:tc>
        <w:tc>
          <w:tcPr>
            <w:tcW w:w="826" w:type="dxa"/>
            <w:tcBorders>
              <w:top w:val="nil"/>
              <w:left w:val="nil"/>
              <w:bottom w:val="nil"/>
              <w:right w:val="nil"/>
            </w:tcBorders>
            <w:shd w:val="clear" w:color="FFFFFF" w:fill="F8FBFC"/>
            <w:noWrap/>
            <w:vAlign w:val="bottom"/>
            <w:hideMark/>
          </w:tcPr>
          <w:p w14:paraId="703A973B"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 </w:t>
            </w:r>
          </w:p>
        </w:tc>
        <w:tc>
          <w:tcPr>
            <w:tcW w:w="875" w:type="dxa"/>
            <w:tcBorders>
              <w:top w:val="nil"/>
              <w:left w:val="nil"/>
              <w:bottom w:val="nil"/>
              <w:right w:val="nil"/>
            </w:tcBorders>
            <w:shd w:val="clear" w:color="FFFFFF" w:fill="F8FBFC"/>
            <w:noWrap/>
            <w:vAlign w:val="bottom"/>
            <w:hideMark/>
          </w:tcPr>
          <w:p w14:paraId="12C8A201"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915" w:type="dxa"/>
            <w:tcBorders>
              <w:top w:val="nil"/>
              <w:left w:val="nil"/>
              <w:bottom w:val="nil"/>
              <w:right w:val="nil"/>
            </w:tcBorders>
            <w:shd w:val="clear" w:color="FFFFFF" w:fill="F8FBFC"/>
            <w:noWrap/>
            <w:vAlign w:val="bottom"/>
            <w:hideMark/>
          </w:tcPr>
          <w:p w14:paraId="35FBC5AC"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931" w:type="dxa"/>
            <w:tcBorders>
              <w:top w:val="nil"/>
              <w:left w:val="nil"/>
              <w:bottom w:val="nil"/>
              <w:right w:val="nil"/>
            </w:tcBorders>
            <w:shd w:val="clear" w:color="FFFFFF" w:fill="F8FBFC"/>
            <w:noWrap/>
            <w:vAlign w:val="bottom"/>
            <w:hideMark/>
          </w:tcPr>
          <w:p w14:paraId="16DB3200"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0.4</w:t>
            </w:r>
          </w:p>
        </w:tc>
        <w:tc>
          <w:tcPr>
            <w:tcW w:w="1120" w:type="dxa"/>
            <w:tcBorders>
              <w:top w:val="nil"/>
              <w:left w:val="nil"/>
              <w:bottom w:val="nil"/>
              <w:right w:val="nil"/>
            </w:tcBorders>
            <w:shd w:val="clear" w:color="FFFFFF" w:fill="F8FBFC"/>
            <w:noWrap/>
            <w:vAlign w:val="bottom"/>
            <w:hideMark/>
          </w:tcPr>
          <w:p w14:paraId="7219EDA8"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r>
      <w:tr w:rsidR="00E035EA" w:rsidRPr="00434A65" w14:paraId="7074FD1A" w14:textId="77777777" w:rsidTr="00834149">
        <w:trPr>
          <w:trHeight w:val="324"/>
        </w:trPr>
        <w:tc>
          <w:tcPr>
            <w:tcW w:w="1080" w:type="dxa"/>
            <w:tcBorders>
              <w:top w:val="nil"/>
              <w:left w:val="nil"/>
              <w:bottom w:val="nil"/>
              <w:right w:val="nil"/>
            </w:tcBorders>
            <w:shd w:val="clear" w:color="FFFFFF" w:fill="FFFFFF"/>
            <w:noWrap/>
            <w:vAlign w:val="bottom"/>
            <w:hideMark/>
          </w:tcPr>
          <w:p w14:paraId="3015DC33"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P127200</w:t>
            </w:r>
          </w:p>
        </w:tc>
        <w:tc>
          <w:tcPr>
            <w:tcW w:w="2970" w:type="dxa"/>
            <w:tcBorders>
              <w:top w:val="nil"/>
              <w:left w:val="nil"/>
              <w:bottom w:val="nil"/>
              <w:right w:val="nil"/>
            </w:tcBorders>
            <w:shd w:val="clear" w:color="FFFFFF" w:fill="FFFFFF"/>
            <w:noWrap/>
            <w:vAlign w:val="bottom"/>
            <w:hideMark/>
          </w:tcPr>
          <w:p w14:paraId="51AD4A85"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TG Community Development and Safety Nets</w:t>
            </w:r>
          </w:p>
        </w:tc>
        <w:tc>
          <w:tcPr>
            <w:tcW w:w="1648" w:type="dxa"/>
            <w:gridSpan w:val="2"/>
            <w:tcBorders>
              <w:top w:val="nil"/>
              <w:left w:val="nil"/>
              <w:bottom w:val="nil"/>
              <w:right w:val="nil"/>
            </w:tcBorders>
            <w:shd w:val="clear" w:color="FFFFFF" w:fill="FFFFFF"/>
            <w:noWrap/>
            <w:vAlign w:val="bottom"/>
            <w:hideMark/>
          </w:tcPr>
          <w:p w14:paraId="0010C0CA"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S</w:t>
            </w:r>
          </w:p>
        </w:tc>
        <w:tc>
          <w:tcPr>
            <w:tcW w:w="1696" w:type="dxa"/>
            <w:tcBorders>
              <w:top w:val="nil"/>
              <w:left w:val="nil"/>
              <w:bottom w:val="nil"/>
              <w:right w:val="nil"/>
            </w:tcBorders>
            <w:shd w:val="clear" w:color="FFFFFF" w:fill="FFFFFF"/>
            <w:noWrap/>
            <w:vAlign w:val="bottom"/>
            <w:hideMark/>
          </w:tcPr>
          <w:p w14:paraId="1DC0AB26"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MS</w:t>
            </w:r>
          </w:p>
        </w:tc>
        <w:tc>
          <w:tcPr>
            <w:tcW w:w="794" w:type="dxa"/>
            <w:tcBorders>
              <w:top w:val="nil"/>
              <w:left w:val="nil"/>
              <w:bottom w:val="nil"/>
              <w:right w:val="nil"/>
            </w:tcBorders>
            <w:shd w:val="clear" w:color="FFFFFF" w:fill="FFFFFF"/>
            <w:noWrap/>
            <w:vAlign w:val="bottom"/>
            <w:hideMark/>
          </w:tcPr>
          <w:p w14:paraId="03729944"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2012</w:t>
            </w:r>
          </w:p>
        </w:tc>
        <w:tc>
          <w:tcPr>
            <w:tcW w:w="661" w:type="dxa"/>
            <w:tcBorders>
              <w:top w:val="nil"/>
              <w:left w:val="nil"/>
              <w:bottom w:val="nil"/>
              <w:right w:val="nil"/>
            </w:tcBorders>
            <w:shd w:val="clear" w:color="FFFFFF" w:fill="FFFFFF"/>
            <w:noWrap/>
            <w:vAlign w:val="bottom"/>
            <w:hideMark/>
          </w:tcPr>
          <w:p w14:paraId="5E6E7941"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607" w:type="dxa"/>
            <w:tcBorders>
              <w:top w:val="nil"/>
              <w:left w:val="nil"/>
              <w:bottom w:val="nil"/>
              <w:right w:val="nil"/>
            </w:tcBorders>
            <w:shd w:val="clear" w:color="FFFFFF" w:fill="FFFFFF"/>
            <w:noWrap/>
            <w:vAlign w:val="bottom"/>
            <w:hideMark/>
          </w:tcPr>
          <w:p w14:paraId="4F2E8B41"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26.1</w:t>
            </w:r>
          </w:p>
        </w:tc>
        <w:tc>
          <w:tcPr>
            <w:tcW w:w="826" w:type="dxa"/>
            <w:tcBorders>
              <w:top w:val="nil"/>
              <w:left w:val="nil"/>
              <w:bottom w:val="nil"/>
              <w:right w:val="nil"/>
            </w:tcBorders>
            <w:shd w:val="clear" w:color="FFFFFF" w:fill="FFFFFF"/>
            <w:noWrap/>
            <w:vAlign w:val="bottom"/>
            <w:hideMark/>
          </w:tcPr>
          <w:p w14:paraId="47A111E2"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 </w:t>
            </w:r>
          </w:p>
        </w:tc>
        <w:tc>
          <w:tcPr>
            <w:tcW w:w="875" w:type="dxa"/>
            <w:tcBorders>
              <w:top w:val="nil"/>
              <w:left w:val="nil"/>
              <w:bottom w:val="nil"/>
              <w:right w:val="nil"/>
            </w:tcBorders>
            <w:shd w:val="clear" w:color="FFFFFF" w:fill="FFFFFF"/>
            <w:noWrap/>
            <w:vAlign w:val="bottom"/>
            <w:hideMark/>
          </w:tcPr>
          <w:p w14:paraId="0937D9B4"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915" w:type="dxa"/>
            <w:tcBorders>
              <w:top w:val="nil"/>
              <w:left w:val="nil"/>
              <w:bottom w:val="nil"/>
              <w:right w:val="nil"/>
            </w:tcBorders>
            <w:shd w:val="clear" w:color="FFFFFF" w:fill="FFFFFF"/>
            <w:noWrap/>
            <w:vAlign w:val="bottom"/>
            <w:hideMark/>
          </w:tcPr>
          <w:p w14:paraId="3EA7969F"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1.8</w:t>
            </w:r>
          </w:p>
        </w:tc>
        <w:tc>
          <w:tcPr>
            <w:tcW w:w="931" w:type="dxa"/>
            <w:tcBorders>
              <w:top w:val="nil"/>
              <w:left w:val="nil"/>
              <w:bottom w:val="nil"/>
              <w:right w:val="nil"/>
            </w:tcBorders>
            <w:shd w:val="clear" w:color="FFFFFF" w:fill="FFFFFF"/>
            <w:noWrap/>
            <w:vAlign w:val="bottom"/>
            <w:hideMark/>
          </w:tcPr>
          <w:p w14:paraId="3E4A2F7F"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1120" w:type="dxa"/>
            <w:tcBorders>
              <w:top w:val="nil"/>
              <w:left w:val="nil"/>
              <w:bottom w:val="nil"/>
              <w:right w:val="nil"/>
            </w:tcBorders>
            <w:shd w:val="clear" w:color="FFFFFF" w:fill="FFFFFF"/>
            <w:noWrap/>
            <w:vAlign w:val="bottom"/>
            <w:hideMark/>
          </w:tcPr>
          <w:p w14:paraId="3F0CFDE5"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r>
      <w:tr w:rsidR="00E035EA" w:rsidRPr="00434A65" w14:paraId="5F4CF764" w14:textId="77777777" w:rsidTr="00834149">
        <w:trPr>
          <w:trHeight w:val="324"/>
        </w:trPr>
        <w:tc>
          <w:tcPr>
            <w:tcW w:w="1080" w:type="dxa"/>
            <w:tcBorders>
              <w:top w:val="nil"/>
              <w:left w:val="nil"/>
              <w:bottom w:val="nil"/>
              <w:right w:val="nil"/>
            </w:tcBorders>
            <w:shd w:val="clear" w:color="FFFFFF" w:fill="F8FBFC"/>
            <w:noWrap/>
            <w:vAlign w:val="bottom"/>
            <w:hideMark/>
          </w:tcPr>
          <w:p w14:paraId="531EB027"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P143843</w:t>
            </w:r>
          </w:p>
        </w:tc>
        <w:tc>
          <w:tcPr>
            <w:tcW w:w="2970" w:type="dxa"/>
            <w:tcBorders>
              <w:top w:val="nil"/>
              <w:left w:val="nil"/>
              <w:bottom w:val="nil"/>
              <w:right w:val="nil"/>
            </w:tcBorders>
            <w:shd w:val="clear" w:color="FFFFFF" w:fill="F8FBFC"/>
            <w:noWrap/>
            <w:vAlign w:val="bottom"/>
            <w:hideMark/>
          </w:tcPr>
          <w:p w14:paraId="5B589C9C"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TG- Maternal and Child Health Support</w:t>
            </w:r>
          </w:p>
        </w:tc>
        <w:tc>
          <w:tcPr>
            <w:tcW w:w="1648" w:type="dxa"/>
            <w:gridSpan w:val="2"/>
            <w:tcBorders>
              <w:top w:val="nil"/>
              <w:left w:val="nil"/>
              <w:bottom w:val="nil"/>
              <w:right w:val="nil"/>
            </w:tcBorders>
            <w:shd w:val="clear" w:color="FFFFFF" w:fill="F8FBFC"/>
            <w:noWrap/>
            <w:vAlign w:val="bottom"/>
            <w:hideMark/>
          </w:tcPr>
          <w:p w14:paraId="717D01B5"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MS</w:t>
            </w:r>
          </w:p>
        </w:tc>
        <w:tc>
          <w:tcPr>
            <w:tcW w:w="1696" w:type="dxa"/>
            <w:tcBorders>
              <w:top w:val="nil"/>
              <w:left w:val="nil"/>
              <w:bottom w:val="nil"/>
              <w:right w:val="nil"/>
            </w:tcBorders>
            <w:shd w:val="clear" w:color="FFFFFF" w:fill="F8FBFC"/>
            <w:noWrap/>
            <w:vAlign w:val="bottom"/>
            <w:hideMark/>
          </w:tcPr>
          <w:p w14:paraId="63B77251"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S</w:t>
            </w:r>
          </w:p>
        </w:tc>
        <w:tc>
          <w:tcPr>
            <w:tcW w:w="794" w:type="dxa"/>
            <w:tcBorders>
              <w:top w:val="nil"/>
              <w:left w:val="nil"/>
              <w:bottom w:val="nil"/>
              <w:right w:val="nil"/>
            </w:tcBorders>
            <w:shd w:val="clear" w:color="FFFFFF" w:fill="F8FBFC"/>
            <w:noWrap/>
            <w:vAlign w:val="bottom"/>
            <w:hideMark/>
          </w:tcPr>
          <w:p w14:paraId="0FA9671E"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2014</w:t>
            </w:r>
          </w:p>
        </w:tc>
        <w:tc>
          <w:tcPr>
            <w:tcW w:w="661" w:type="dxa"/>
            <w:tcBorders>
              <w:top w:val="nil"/>
              <w:left w:val="nil"/>
              <w:bottom w:val="nil"/>
              <w:right w:val="nil"/>
            </w:tcBorders>
            <w:shd w:val="clear" w:color="FFFFFF" w:fill="F8FBFC"/>
            <w:noWrap/>
            <w:vAlign w:val="bottom"/>
            <w:hideMark/>
          </w:tcPr>
          <w:p w14:paraId="70E5ADA2"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607" w:type="dxa"/>
            <w:tcBorders>
              <w:top w:val="nil"/>
              <w:left w:val="nil"/>
              <w:bottom w:val="nil"/>
              <w:right w:val="nil"/>
            </w:tcBorders>
            <w:shd w:val="clear" w:color="FFFFFF" w:fill="F8FBFC"/>
            <w:noWrap/>
            <w:vAlign w:val="bottom"/>
            <w:hideMark/>
          </w:tcPr>
          <w:p w14:paraId="3643017C"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14.0</w:t>
            </w:r>
          </w:p>
        </w:tc>
        <w:tc>
          <w:tcPr>
            <w:tcW w:w="826" w:type="dxa"/>
            <w:tcBorders>
              <w:top w:val="nil"/>
              <w:left w:val="nil"/>
              <w:bottom w:val="nil"/>
              <w:right w:val="nil"/>
            </w:tcBorders>
            <w:shd w:val="clear" w:color="FFFFFF" w:fill="F8FBFC"/>
            <w:noWrap/>
            <w:vAlign w:val="bottom"/>
            <w:hideMark/>
          </w:tcPr>
          <w:p w14:paraId="439CBF99"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 </w:t>
            </w:r>
          </w:p>
        </w:tc>
        <w:tc>
          <w:tcPr>
            <w:tcW w:w="875" w:type="dxa"/>
            <w:tcBorders>
              <w:top w:val="nil"/>
              <w:left w:val="nil"/>
              <w:bottom w:val="nil"/>
              <w:right w:val="nil"/>
            </w:tcBorders>
            <w:shd w:val="clear" w:color="FFFFFF" w:fill="F8FBFC"/>
            <w:noWrap/>
            <w:vAlign w:val="bottom"/>
            <w:hideMark/>
          </w:tcPr>
          <w:p w14:paraId="6F6F2A58"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915" w:type="dxa"/>
            <w:tcBorders>
              <w:top w:val="nil"/>
              <w:left w:val="nil"/>
              <w:bottom w:val="nil"/>
              <w:right w:val="nil"/>
            </w:tcBorders>
            <w:shd w:val="clear" w:color="FFFFFF" w:fill="F8FBFC"/>
            <w:noWrap/>
            <w:vAlign w:val="bottom"/>
            <w:hideMark/>
          </w:tcPr>
          <w:p w14:paraId="16B8630A"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6.0</w:t>
            </w:r>
          </w:p>
        </w:tc>
        <w:tc>
          <w:tcPr>
            <w:tcW w:w="931" w:type="dxa"/>
            <w:tcBorders>
              <w:top w:val="nil"/>
              <w:left w:val="nil"/>
              <w:bottom w:val="nil"/>
              <w:right w:val="nil"/>
            </w:tcBorders>
            <w:shd w:val="clear" w:color="FFFFFF" w:fill="F8FBFC"/>
            <w:noWrap/>
            <w:vAlign w:val="bottom"/>
            <w:hideMark/>
          </w:tcPr>
          <w:p w14:paraId="3ABC2DDB"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3.6</w:t>
            </w:r>
          </w:p>
        </w:tc>
        <w:tc>
          <w:tcPr>
            <w:tcW w:w="1120" w:type="dxa"/>
            <w:tcBorders>
              <w:top w:val="nil"/>
              <w:left w:val="nil"/>
              <w:bottom w:val="nil"/>
              <w:right w:val="nil"/>
            </w:tcBorders>
            <w:shd w:val="clear" w:color="FFFFFF" w:fill="F8FBFC"/>
            <w:noWrap/>
            <w:vAlign w:val="bottom"/>
            <w:hideMark/>
          </w:tcPr>
          <w:p w14:paraId="6037FF60"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r>
      <w:tr w:rsidR="00E035EA" w:rsidRPr="00434A65" w14:paraId="4AC5BEB0" w14:textId="77777777" w:rsidTr="00834149">
        <w:trPr>
          <w:trHeight w:val="324"/>
        </w:trPr>
        <w:tc>
          <w:tcPr>
            <w:tcW w:w="1080" w:type="dxa"/>
            <w:tcBorders>
              <w:top w:val="nil"/>
              <w:left w:val="nil"/>
              <w:bottom w:val="nil"/>
              <w:right w:val="nil"/>
            </w:tcBorders>
            <w:shd w:val="clear" w:color="FFFFFF" w:fill="FFFFFF"/>
            <w:noWrap/>
            <w:vAlign w:val="bottom"/>
            <w:hideMark/>
          </w:tcPr>
          <w:p w14:paraId="26BB984A"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P124198</w:t>
            </w:r>
          </w:p>
        </w:tc>
        <w:tc>
          <w:tcPr>
            <w:tcW w:w="2970" w:type="dxa"/>
            <w:tcBorders>
              <w:top w:val="nil"/>
              <w:left w:val="nil"/>
              <w:bottom w:val="nil"/>
              <w:right w:val="nil"/>
            </w:tcBorders>
            <w:shd w:val="clear" w:color="FFFFFF" w:fill="FFFFFF"/>
            <w:noWrap/>
            <w:vAlign w:val="bottom"/>
            <w:hideMark/>
          </w:tcPr>
          <w:p w14:paraId="05CE0403"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TG-PSG-Integr.Disaster &amp; Land Mgmt (PSG)</w:t>
            </w:r>
          </w:p>
        </w:tc>
        <w:tc>
          <w:tcPr>
            <w:tcW w:w="1648" w:type="dxa"/>
            <w:gridSpan w:val="2"/>
            <w:tcBorders>
              <w:top w:val="nil"/>
              <w:left w:val="nil"/>
              <w:bottom w:val="nil"/>
              <w:right w:val="nil"/>
            </w:tcBorders>
            <w:shd w:val="clear" w:color="FFFFFF" w:fill="FFFFFF"/>
            <w:noWrap/>
            <w:vAlign w:val="bottom"/>
            <w:hideMark/>
          </w:tcPr>
          <w:p w14:paraId="4B7C9240"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MS</w:t>
            </w:r>
          </w:p>
        </w:tc>
        <w:tc>
          <w:tcPr>
            <w:tcW w:w="1696" w:type="dxa"/>
            <w:tcBorders>
              <w:top w:val="nil"/>
              <w:left w:val="nil"/>
              <w:bottom w:val="nil"/>
              <w:right w:val="nil"/>
            </w:tcBorders>
            <w:shd w:val="clear" w:color="FFFFFF" w:fill="FFFFFF"/>
            <w:noWrap/>
            <w:vAlign w:val="bottom"/>
            <w:hideMark/>
          </w:tcPr>
          <w:p w14:paraId="05036CB5"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MS</w:t>
            </w:r>
          </w:p>
        </w:tc>
        <w:tc>
          <w:tcPr>
            <w:tcW w:w="794" w:type="dxa"/>
            <w:tcBorders>
              <w:top w:val="nil"/>
              <w:left w:val="nil"/>
              <w:bottom w:val="nil"/>
              <w:right w:val="nil"/>
            </w:tcBorders>
            <w:shd w:val="clear" w:color="FFFFFF" w:fill="FFFFFF"/>
            <w:noWrap/>
            <w:vAlign w:val="bottom"/>
            <w:hideMark/>
          </w:tcPr>
          <w:p w14:paraId="6F6E0BDB"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2012</w:t>
            </w:r>
          </w:p>
        </w:tc>
        <w:tc>
          <w:tcPr>
            <w:tcW w:w="661" w:type="dxa"/>
            <w:tcBorders>
              <w:top w:val="nil"/>
              <w:left w:val="nil"/>
              <w:bottom w:val="nil"/>
              <w:right w:val="nil"/>
            </w:tcBorders>
            <w:shd w:val="clear" w:color="FFFFFF" w:fill="FFFFFF"/>
            <w:noWrap/>
            <w:vAlign w:val="bottom"/>
            <w:hideMark/>
          </w:tcPr>
          <w:p w14:paraId="6BC9C1EC"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607" w:type="dxa"/>
            <w:tcBorders>
              <w:top w:val="nil"/>
              <w:left w:val="nil"/>
              <w:bottom w:val="nil"/>
              <w:right w:val="nil"/>
            </w:tcBorders>
            <w:shd w:val="clear" w:color="FFFFFF" w:fill="FFFFFF"/>
            <w:noWrap/>
            <w:vAlign w:val="bottom"/>
            <w:hideMark/>
          </w:tcPr>
          <w:p w14:paraId="36217432"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826" w:type="dxa"/>
            <w:tcBorders>
              <w:top w:val="nil"/>
              <w:left w:val="nil"/>
              <w:bottom w:val="nil"/>
              <w:right w:val="nil"/>
            </w:tcBorders>
            <w:shd w:val="clear" w:color="FFFFFF" w:fill="FFFFFF"/>
            <w:noWrap/>
            <w:vAlign w:val="bottom"/>
            <w:hideMark/>
          </w:tcPr>
          <w:p w14:paraId="3C736693"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9.2</w:t>
            </w:r>
          </w:p>
        </w:tc>
        <w:tc>
          <w:tcPr>
            <w:tcW w:w="875" w:type="dxa"/>
            <w:tcBorders>
              <w:top w:val="nil"/>
              <w:left w:val="nil"/>
              <w:bottom w:val="nil"/>
              <w:right w:val="nil"/>
            </w:tcBorders>
            <w:shd w:val="clear" w:color="FFFFFF" w:fill="FFFFFF"/>
            <w:noWrap/>
            <w:vAlign w:val="bottom"/>
            <w:hideMark/>
          </w:tcPr>
          <w:p w14:paraId="3232E906"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915" w:type="dxa"/>
            <w:tcBorders>
              <w:top w:val="nil"/>
              <w:left w:val="nil"/>
              <w:bottom w:val="nil"/>
              <w:right w:val="nil"/>
            </w:tcBorders>
            <w:shd w:val="clear" w:color="FFFFFF" w:fill="FFFFFF"/>
            <w:noWrap/>
            <w:vAlign w:val="bottom"/>
            <w:hideMark/>
          </w:tcPr>
          <w:p w14:paraId="662259ED"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2.3</w:t>
            </w:r>
          </w:p>
        </w:tc>
        <w:tc>
          <w:tcPr>
            <w:tcW w:w="931" w:type="dxa"/>
            <w:tcBorders>
              <w:top w:val="nil"/>
              <w:left w:val="nil"/>
              <w:bottom w:val="nil"/>
              <w:right w:val="nil"/>
            </w:tcBorders>
            <w:shd w:val="clear" w:color="FFFFFF" w:fill="FFFFFF"/>
            <w:noWrap/>
            <w:vAlign w:val="bottom"/>
            <w:hideMark/>
          </w:tcPr>
          <w:p w14:paraId="4EE0D5A1"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1120" w:type="dxa"/>
            <w:tcBorders>
              <w:top w:val="nil"/>
              <w:left w:val="nil"/>
              <w:bottom w:val="nil"/>
              <w:right w:val="nil"/>
            </w:tcBorders>
            <w:shd w:val="clear" w:color="FFFFFF" w:fill="FFFFFF"/>
            <w:noWrap/>
            <w:vAlign w:val="bottom"/>
            <w:hideMark/>
          </w:tcPr>
          <w:p w14:paraId="227056FC"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r>
      <w:tr w:rsidR="00E035EA" w:rsidRPr="00434A65" w14:paraId="39E73092" w14:textId="77777777" w:rsidTr="00834149">
        <w:trPr>
          <w:trHeight w:val="324"/>
        </w:trPr>
        <w:tc>
          <w:tcPr>
            <w:tcW w:w="1080" w:type="dxa"/>
            <w:tcBorders>
              <w:top w:val="nil"/>
              <w:left w:val="nil"/>
              <w:bottom w:val="nil"/>
              <w:right w:val="nil"/>
            </w:tcBorders>
            <w:shd w:val="clear" w:color="FFFFFF" w:fill="F8FBFC"/>
            <w:noWrap/>
            <w:vAlign w:val="bottom"/>
            <w:hideMark/>
          </w:tcPr>
          <w:p w14:paraId="1F31482C"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P149277</w:t>
            </w:r>
          </w:p>
        </w:tc>
        <w:tc>
          <w:tcPr>
            <w:tcW w:w="2970" w:type="dxa"/>
            <w:tcBorders>
              <w:top w:val="nil"/>
              <w:left w:val="nil"/>
              <w:bottom w:val="nil"/>
              <w:right w:val="nil"/>
            </w:tcBorders>
            <w:shd w:val="clear" w:color="FFFFFF" w:fill="F8FBFC"/>
            <w:noWrap/>
            <w:vAlign w:val="bottom"/>
            <w:hideMark/>
          </w:tcPr>
          <w:p w14:paraId="40AA787B"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TOGO Mining Governance and Development</w:t>
            </w:r>
          </w:p>
        </w:tc>
        <w:tc>
          <w:tcPr>
            <w:tcW w:w="1648" w:type="dxa"/>
            <w:gridSpan w:val="2"/>
            <w:tcBorders>
              <w:top w:val="nil"/>
              <w:left w:val="nil"/>
              <w:bottom w:val="nil"/>
              <w:right w:val="nil"/>
            </w:tcBorders>
            <w:shd w:val="clear" w:color="FFFFFF" w:fill="F8FBFC"/>
            <w:noWrap/>
            <w:vAlign w:val="bottom"/>
            <w:hideMark/>
          </w:tcPr>
          <w:p w14:paraId="66DCDEDF"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MS</w:t>
            </w:r>
          </w:p>
        </w:tc>
        <w:tc>
          <w:tcPr>
            <w:tcW w:w="1696" w:type="dxa"/>
            <w:tcBorders>
              <w:top w:val="nil"/>
              <w:left w:val="nil"/>
              <w:bottom w:val="nil"/>
              <w:right w:val="nil"/>
            </w:tcBorders>
            <w:shd w:val="clear" w:color="FFFFFF" w:fill="F8FBFC"/>
            <w:noWrap/>
            <w:vAlign w:val="bottom"/>
            <w:hideMark/>
          </w:tcPr>
          <w:p w14:paraId="425F0932"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MS</w:t>
            </w:r>
          </w:p>
        </w:tc>
        <w:tc>
          <w:tcPr>
            <w:tcW w:w="794" w:type="dxa"/>
            <w:tcBorders>
              <w:top w:val="nil"/>
              <w:left w:val="nil"/>
              <w:bottom w:val="nil"/>
              <w:right w:val="nil"/>
            </w:tcBorders>
            <w:shd w:val="clear" w:color="FFFFFF" w:fill="F8FBFC"/>
            <w:noWrap/>
            <w:vAlign w:val="bottom"/>
            <w:hideMark/>
          </w:tcPr>
          <w:p w14:paraId="52F0AA7D" w14:textId="77777777" w:rsidR="00E035EA" w:rsidRPr="00834149" w:rsidRDefault="00E035EA" w:rsidP="005C75BA">
            <w:pPr>
              <w:jc w:val="center"/>
              <w:rPr>
                <w:rFonts w:eastAsia="Times New Roman" w:cs="Arial"/>
                <w:color w:val="000000"/>
                <w:sz w:val="18"/>
                <w:szCs w:val="18"/>
              </w:rPr>
            </w:pPr>
            <w:r w:rsidRPr="00834149">
              <w:rPr>
                <w:rFonts w:eastAsia="Times New Roman" w:cs="Arial"/>
                <w:color w:val="000000"/>
                <w:sz w:val="18"/>
                <w:szCs w:val="18"/>
              </w:rPr>
              <w:t>2016</w:t>
            </w:r>
          </w:p>
        </w:tc>
        <w:tc>
          <w:tcPr>
            <w:tcW w:w="661" w:type="dxa"/>
            <w:tcBorders>
              <w:top w:val="nil"/>
              <w:left w:val="nil"/>
              <w:bottom w:val="nil"/>
              <w:right w:val="nil"/>
            </w:tcBorders>
            <w:shd w:val="clear" w:color="FFFFFF" w:fill="F8FBFC"/>
            <w:noWrap/>
            <w:vAlign w:val="bottom"/>
            <w:hideMark/>
          </w:tcPr>
          <w:p w14:paraId="75C969C1"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607" w:type="dxa"/>
            <w:tcBorders>
              <w:top w:val="nil"/>
              <w:left w:val="nil"/>
              <w:bottom w:val="nil"/>
              <w:right w:val="nil"/>
            </w:tcBorders>
            <w:shd w:val="clear" w:color="FFFFFF" w:fill="F8FBFC"/>
            <w:noWrap/>
            <w:vAlign w:val="bottom"/>
            <w:hideMark/>
          </w:tcPr>
          <w:p w14:paraId="4AEB03FA"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15.0</w:t>
            </w:r>
          </w:p>
        </w:tc>
        <w:tc>
          <w:tcPr>
            <w:tcW w:w="826" w:type="dxa"/>
            <w:tcBorders>
              <w:top w:val="nil"/>
              <w:left w:val="nil"/>
              <w:bottom w:val="nil"/>
              <w:right w:val="nil"/>
            </w:tcBorders>
            <w:shd w:val="clear" w:color="FFFFFF" w:fill="F8FBFC"/>
            <w:noWrap/>
            <w:vAlign w:val="bottom"/>
            <w:hideMark/>
          </w:tcPr>
          <w:p w14:paraId="35047932"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 </w:t>
            </w:r>
          </w:p>
        </w:tc>
        <w:tc>
          <w:tcPr>
            <w:tcW w:w="875" w:type="dxa"/>
            <w:tcBorders>
              <w:top w:val="nil"/>
              <w:left w:val="nil"/>
              <w:bottom w:val="nil"/>
              <w:right w:val="nil"/>
            </w:tcBorders>
            <w:shd w:val="clear" w:color="FFFFFF" w:fill="F8FBFC"/>
            <w:noWrap/>
            <w:vAlign w:val="bottom"/>
            <w:hideMark/>
          </w:tcPr>
          <w:p w14:paraId="07AA31CF"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c>
          <w:tcPr>
            <w:tcW w:w="915" w:type="dxa"/>
            <w:tcBorders>
              <w:top w:val="nil"/>
              <w:left w:val="nil"/>
              <w:bottom w:val="nil"/>
              <w:right w:val="nil"/>
            </w:tcBorders>
            <w:shd w:val="clear" w:color="FFFFFF" w:fill="F8FBFC"/>
            <w:noWrap/>
            <w:vAlign w:val="bottom"/>
            <w:hideMark/>
          </w:tcPr>
          <w:p w14:paraId="27457FFB"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12.5</w:t>
            </w:r>
          </w:p>
        </w:tc>
        <w:tc>
          <w:tcPr>
            <w:tcW w:w="931" w:type="dxa"/>
            <w:tcBorders>
              <w:top w:val="nil"/>
              <w:left w:val="nil"/>
              <w:bottom w:val="nil"/>
              <w:right w:val="nil"/>
            </w:tcBorders>
            <w:shd w:val="clear" w:color="FFFFFF" w:fill="F8FBFC"/>
            <w:noWrap/>
            <w:vAlign w:val="bottom"/>
            <w:hideMark/>
          </w:tcPr>
          <w:p w14:paraId="304B9959"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1.9</w:t>
            </w:r>
          </w:p>
        </w:tc>
        <w:tc>
          <w:tcPr>
            <w:tcW w:w="1120" w:type="dxa"/>
            <w:tcBorders>
              <w:top w:val="nil"/>
              <w:left w:val="nil"/>
              <w:bottom w:val="nil"/>
              <w:right w:val="nil"/>
            </w:tcBorders>
            <w:shd w:val="clear" w:color="FFFFFF" w:fill="F8FBFC"/>
            <w:noWrap/>
            <w:vAlign w:val="bottom"/>
            <w:hideMark/>
          </w:tcPr>
          <w:p w14:paraId="5F46CB04" w14:textId="77777777" w:rsidR="00E035EA" w:rsidRPr="00834149" w:rsidRDefault="00E035EA" w:rsidP="005C75BA">
            <w:pPr>
              <w:jc w:val="right"/>
              <w:rPr>
                <w:rFonts w:eastAsia="Times New Roman" w:cs="Arial"/>
                <w:color w:val="000000"/>
                <w:sz w:val="18"/>
                <w:szCs w:val="18"/>
              </w:rPr>
            </w:pPr>
            <w:r w:rsidRPr="00834149">
              <w:rPr>
                <w:rFonts w:eastAsia="Times New Roman" w:cs="Arial"/>
                <w:color w:val="000000"/>
                <w:sz w:val="18"/>
                <w:szCs w:val="18"/>
              </w:rPr>
              <w:t>0.0</w:t>
            </w:r>
          </w:p>
        </w:tc>
      </w:tr>
      <w:tr w:rsidR="00E035EA" w:rsidRPr="00434A65" w14:paraId="602CBA5E" w14:textId="77777777" w:rsidTr="00834149">
        <w:trPr>
          <w:trHeight w:val="324"/>
        </w:trPr>
        <w:tc>
          <w:tcPr>
            <w:tcW w:w="4050" w:type="dxa"/>
            <w:gridSpan w:val="2"/>
            <w:tcBorders>
              <w:top w:val="single" w:sz="4" w:space="0" w:color="000000"/>
              <w:left w:val="nil"/>
              <w:bottom w:val="single" w:sz="4" w:space="0" w:color="000000"/>
              <w:right w:val="nil"/>
            </w:tcBorders>
            <w:shd w:val="clear" w:color="FFFFFF" w:fill="FFFFFF"/>
            <w:noWrap/>
            <w:vAlign w:val="bottom"/>
            <w:hideMark/>
          </w:tcPr>
          <w:p w14:paraId="753F1BE4" w14:textId="77777777" w:rsidR="00E035EA" w:rsidRPr="00834149" w:rsidRDefault="00E035EA" w:rsidP="005C75BA">
            <w:pPr>
              <w:rPr>
                <w:rFonts w:eastAsia="Times New Roman" w:cs="Arial"/>
                <w:b/>
                <w:bCs/>
                <w:color w:val="000000"/>
                <w:sz w:val="18"/>
                <w:szCs w:val="18"/>
              </w:rPr>
            </w:pPr>
            <w:r w:rsidRPr="00834149">
              <w:rPr>
                <w:rFonts w:eastAsia="Times New Roman" w:cs="Arial"/>
                <w:b/>
                <w:bCs/>
                <w:color w:val="000000"/>
                <w:sz w:val="18"/>
                <w:szCs w:val="18"/>
              </w:rPr>
              <w:t>Overall Result</w:t>
            </w:r>
          </w:p>
        </w:tc>
        <w:tc>
          <w:tcPr>
            <w:tcW w:w="1648" w:type="dxa"/>
            <w:gridSpan w:val="2"/>
            <w:tcBorders>
              <w:top w:val="single" w:sz="4" w:space="0" w:color="000000"/>
              <w:left w:val="nil"/>
              <w:bottom w:val="single" w:sz="4" w:space="0" w:color="000000"/>
              <w:right w:val="nil"/>
            </w:tcBorders>
            <w:shd w:val="clear" w:color="FFFFFF" w:fill="FFFFFF"/>
            <w:noWrap/>
            <w:vAlign w:val="bottom"/>
            <w:hideMark/>
          </w:tcPr>
          <w:p w14:paraId="111DE547" w14:textId="77777777" w:rsidR="00E035EA" w:rsidRPr="00834149" w:rsidRDefault="00E035EA" w:rsidP="005C75BA">
            <w:pPr>
              <w:rPr>
                <w:rFonts w:eastAsia="Times New Roman" w:cs="Arial"/>
                <w:b/>
                <w:bCs/>
                <w:color w:val="333333"/>
                <w:sz w:val="18"/>
                <w:szCs w:val="18"/>
              </w:rPr>
            </w:pPr>
            <w:r w:rsidRPr="00834149">
              <w:rPr>
                <w:rFonts w:eastAsia="Times New Roman" w:cs="Arial"/>
                <w:b/>
                <w:bCs/>
                <w:color w:val="333333"/>
                <w:sz w:val="18"/>
                <w:szCs w:val="18"/>
              </w:rPr>
              <w:t> </w:t>
            </w:r>
          </w:p>
        </w:tc>
        <w:tc>
          <w:tcPr>
            <w:tcW w:w="1696" w:type="dxa"/>
            <w:tcBorders>
              <w:top w:val="single" w:sz="4" w:space="0" w:color="000000"/>
              <w:left w:val="nil"/>
              <w:bottom w:val="single" w:sz="4" w:space="0" w:color="000000"/>
              <w:right w:val="nil"/>
            </w:tcBorders>
            <w:shd w:val="clear" w:color="FFFFFF" w:fill="FFFFFF"/>
            <w:noWrap/>
            <w:vAlign w:val="bottom"/>
            <w:hideMark/>
          </w:tcPr>
          <w:p w14:paraId="42F19A8D" w14:textId="77777777" w:rsidR="00E035EA" w:rsidRPr="00834149" w:rsidRDefault="00E035EA" w:rsidP="005C75BA">
            <w:pPr>
              <w:rPr>
                <w:rFonts w:eastAsia="Times New Roman" w:cs="Arial"/>
                <w:b/>
                <w:bCs/>
                <w:color w:val="333333"/>
                <w:sz w:val="18"/>
                <w:szCs w:val="18"/>
              </w:rPr>
            </w:pPr>
            <w:r w:rsidRPr="00834149">
              <w:rPr>
                <w:rFonts w:eastAsia="Times New Roman" w:cs="Arial"/>
                <w:b/>
                <w:bCs/>
                <w:color w:val="333333"/>
                <w:sz w:val="18"/>
                <w:szCs w:val="18"/>
              </w:rPr>
              <w:t> </w:t>
            </w:r>
          </w:p>
        </w:tc>
        <w:tc>
          <w:tcPr>
            <w:tcW w:w="794" w:type="dxa"/>
            <w:tcBorders>
              <w:top w:val="single" w:sz="4" w:space="0" w:color="000000"/>
              <w:left w:val="nil"/>
              <w:bottom w:val="single" w:sz="4" w:space="0" w:color="000000"/>
              <w:right w:val="nil"/>
            </w:tcBorders>
            <w:shd w:val="clear" w:color="FFFFFF" w:fill="FFFFFF"/>
            <w:noWrap/>
            <w:vAlign w:val="bottom"/>
            <w:hideMark/>
          </w:tcPr>
          <w:p w14:paraId="49C2F12F" w14:textId="77777777" w:rsidR="00E035EA" w:rsidRPr="00834149" w:rsidRDefault="00E035EA" w:rsidP="005C75BA">
            <w:pPr>
              <w:rPr>
                <w:rFonts w:eastAsia="Times New Roman" w:cs="Arial"/>
                <w:b/>
                <w:bCs/>
                <w:color w:val="333333"/>
                <w:sz w:val="18"/>
                <w:szCs w:val="18"/>
              </w:rPr>
            </w:pPr>
            <w:r w:rsidRPr="00834149">
              <w:rPr>
                <w:rFonts w:eastAsia="Times New Roman" w:cs="Arial"/>
                <w:b/>
                <w:bCs/>
                <w:color w:val="333333"/>
                <w:sz w:val="18"/>
                <w:szCs w:val="18"/>
              </w:rPr>
              <w:t> </w:t>
            </w:r>
          </w:p>
        </w:tc>
        <w:tc>
          <w:tcPr>
            <w:tcW w:w="661" w:type="dxa"/>
            <w:tcBorders>
              <w:top w:val="single" w:sz="4" w:space="0" w:color="000000"/>
              <w:left w:val="nil"/>
              <w:bottom w:val="single" w:sz="4" w:space="0" w:color="000000"/>
              <w:right w:val="nil"/>
            </w:tcBorders>
            <w:shd w:val="clear" w:color="FFFFFF" w:fill="FFFFFF"/>
            <w:noWrap/>
            <w:vAlign w:val="bottom"/>
            <w:hideMark/>
          </w:tcPr>
          <w:p w14:paraId="56AB695F" w14:textId="77777777" w:rsidR="00E035EA" w:rsidRPr="00834149" w:rsidRDefault="00E035EA" w:rsidP="005C75BA">
            <w:pPr>
              <w:jc w:val="right"/>
              <w:rPr>
                <w:rFonts w:eastAsia="Times New Roman" w:cs="Arial"/>
                <w:b/>
                <w:bCs/>
                <w:color w:val="000000"/>
                <w:sz w:val="18"/>
                <w:szCs w:val="18"/>
              </w:rPr>
            </w:pPr>
            <w:r w:rsidRPr="00834149">
              <w:rPr>
                <w:rFonts w:eastAsia="Times New Roman" w:cs="Arial"/>
                <w:b/>
                <w:bCs/>
                <w:color w:val="000000"/>
                <w:sz w:val="18"/>
                <w:szCs w:val="18"/>
              </w:rPr>
              <w:t>0.0</w:t>
            </w:r>
          </w:p>
        </w:tc>
        <w:tc>
          <w:tcPr>
            <w:tcW w:w="607" w:type="dxa"/>
            <w:tcBorders>
              <w:top w:val="single" w:sz="4" w:space="0" w:color="000000"/>
              <w:left w:val="nil"/>
              <w:bottom w:val="single" w:sz="4" w:space="0" w:color="000000"/>
              <w:right w:val="nil"/>
            </w:tcBorders>
            <w:shd w:val="clear" w:color="FFFFFF" w:fill="FFFFFF"/>
            <w:noWrap/>
            <w:vAlign w:val="bottom"/>
            <w:hideMark/>
          </w:tcPr>
          <w:p w14:paraId="08F63E6D" w14:textId="77777777" w:rsidR="00E035EA" w:rsidRPr="00834149" w:rsidRDefault="00E035EA" w:rsidP="005C75BA">
            <w:pPr>
              <w:jc w:val="right"/>
              <w:rPr>
                <w:rFonts w:eastAsia="Times New Roman" w:cs="Arial"/>
                <w:b/>
                <w:bCs/>
                <w:color w:val="000000"/>
                <w:sz w:val="18"/>
                <w:szCs w:val="18"/>
              </w:rPr>
            </w:pPr>
            <w:r w:rsidRPr="00834149">
              <w:rPr>
                <w:rFonts w:eastAsia="Times New Roman" w:cs="Arial"/>
                <w:b/>
                <w:bCs/>
                <w:color w:val="000000"/>
                <w:sz w:val="18"/>
                <w:szCs w:val="18"/>
              </w:rPr>
              <w:t>64.1</w:t>
            </w:r>
          </w:p>
        </w:tc>
        <w:tc>
          <w:tcPr>
            <w:tcW w:w="826" w:type="dxa"/>
            <w:tcBorders>
              <w:top w:val="single" w:sz="4" w:space="0" w:color="000000"/>
              <w:left w:val="nil"/>
              <w:bottom w:val="single" w:sz="4" w:space="0" w:color="000000"/>
              <w:right w:val="nil"/>
            </w:tcBorders>
            <w:shd w:val="clear" w:color="FFFFFF" w:fill="FFFFFF"/>
            <w:noWrap/>
            <w:vAlign w:val="bottom"/>
            <w:hideMark/>
          </w:tcPr>
          <w:p w14:paraId="69C59810" w14:textId="77777777" w:rsidR="00E035EA" w:rsidRPr="00834149" w:rsidRDefault="00E035EA" w:rsidP="005C75BA">
            <w:pPr>
              <w:jc w:val="right"/>
              <w:rPr>
                <w:rFonts w:eastAsia="Times New Roman" w:cs="Arial"/>
                <w:b/>
                <w:bCs/>
                <w:color w:val="000000"/>
                <w:sz w:val="18"/>
                <w:szCs w:val="18"/>
              </w:rPr>
            </w:pPr>
            <w:r w:rsidRPr="00834149">
              <w:rPr>
                <w:rFonts w:eastAsia="Times New Roman" w:cs="Arial"/>
                <w:b/>
                <w:bCs/>
                <w:color w:val="000000"/>
                <w:sz w:val="18"/>
                <w:szCs w:val="18"/>
              </w:rPr>
              <w:t>9.2</w:t>
            </w:r>
          </w:p>
        </w:tc>
        <w:tc>
          <w:tcPr>
            <w:tcW w:w="875" w:type="dxa"/>
            <w:tcBorders>
              <w:top w:val="single" w:sz="4" w:space="0" w:color="000000"/>
              <w:left w:val="nil"/>
              <w:bottom w:val="single" w:sz="4" w:space="0" w:color="000000"/>
              <w:right w:val="nil"/>
            </w:tcBorders>
            <w:shd w:val="clear" w:color="FFFFFF" w:fill="FFFFFF"/>
            <w:noWrap/>
            <w:vAlign w:val="bottom"/>
            <w:hideMark/>
          </w:tcPr>
          <w:p w14:paraId="5C678E0E" w14:textId="77777777" w:rsidR="00E035EA" w:rsidRPr="00834149" w:rsidRDefault="00E035EA" w:rsidP="005C75BA">
            <w:pPr>
              <w:jc w:val="right"/>
              <w:rPr>
                <w:rFonts w:eastAsia="Times New Roman" w:cs="Arial"/>
                <w:b/>
                <w:bCs/>
                <w:color w:val="000000"/>
                <w:sz w:val="18"/>
                <w:szCs w:val="18"/>
              </w:rPr>
            </w:pPr>
            <w:r w:rsidRPr="00834149">
              <w:rPr>
                <w:rFonts w:eastAsia="Times New Roman" w:cs="Arial"/>
                <w:b/>
                <w:bCs/>
                <w:color w:val="000000"/>
                <w:sz w:val="18"/>
                <w:szCs w:val="18"/>
              </w:rPr>
              <w:t>0.0</w:t>
            </w:r>
          </w:p>
        </w:tc>
        <w:tc>
          <w:tcPr>
            <w:tcW w:w="915" w:type="dxa"/>
            <w:tcBorders>
              <w:top w:val="single" w:sz="4" w:space="0" w:color="000000"/>
              <w:left w:val="nil"/>
              <w:bottom w:val="single" w:sz="4" w:space="0" w:color="000000"/>
              <w:right w:val="nil"/>
            </w:tcBorders>
            <w:shd w:val="clear" w:color="FFFFFF" w:fill="FFFFFF"/>
            <w:noWrap/>
            <w:vAlign w:val="bottom"/>
            <w:hideMark/>
          </w:tcPr>
          <w:p w14:paraId="0BC18CAD" w14:textId="77777777" w:rsidR="00E035EA" w:rsidRPr="00834149" w:rsidRDefault="00E035EA" w:rsidP="005C75BA">
            <w:pPr>
              <w:jc w:val="right"/>
              <w:rPr>
                <w:rFonts w:eastAsia="Times New Roman" w:cs="Arial"/>
                <w:b/>
                <w:bCs/>
                <w:color w:val="000000"/>
                <w:sz w:val="18"/>
                <w:szCs w:val="18"/>
              </w:rPr>
            </w:pPr>
            <w:r w:rsidRPr="00834149">
              <w:rPr>
                <w:rFonts w:eastAsia="Times New Roman" w:cs="Arial"/>
                <w:b/>
                <w:bCs/>
                <w:color w:val="000000"/>
                <w:sz w:val="18"/>
                <w:szCs w:val="18"/>
              </w:rPr>
              <w:t>22.6</w:t>
            </w:r>
          </w:p>
        </w:tc>
        <w:tc>
          <w:tcPr>
            <w:tcW w:w="931" w:type="dxa"/>
            <w:tcBorders>
              <w:top w:val="single" w:sz="4" w:space="0" w:color="000000"/>
              <w:left w:val="nil"/>
              <w:bottom w:val="single" w:sz="4" w:space="0" w:color="000000"/>
              <w:right w:val="nil"/>
            </w:tcBorders>
            <w:shd w:val="clear" w:color="FFFFFF" w:fill="FFFFFF"/>
            <w:noWrap/>
            <w:vAlign w:val="bottom"/>
            <w:hideMark/>
          </w:tcPr>
          <w:p w14:paraId="1B3E774E" w14:textId="77777777" w:rsidR="00E035EA" w:rsidRPr="00834149" w:rsidRDefault="00E035EA" w:rsidP="005C75BA">
            <w:pPr>
              <w:jc w:val="right"/>
              <w:rPr>
                <w:rFonts w:eastAsia="Times New Roman" w:cs="Arial"/>
                <w:b/>
                <w:bCs/>
                <w:color w:val="000000"/>
                <w:sz w:val="18"/>
                <w:szCs w:val="18"/>
              </w:rPr>
            </w:pPr>
            <w:r w:rsidRPr="00834149">
              <w:rPr>
                <w:rFonts w:eastAsia="Times New Roman" w:cs="Arial"/>
                <w:b/>
                <w:bCs/>
                <w:color w:val="000000"/>
                <w:sz w:val="18"/>
                <w:szCs w:val="18"/>
              </w:rPr>
              <w:t>5.9</w:t>
            </w:r>
          </w:p>
        </w:tc>
        <w:tc>
          <w:tcPr>
            <w:tcW w:w="1120" w:type="dxa"/>
            <w:tcBorders>
              <w:top w:val="single" w:sz="4" w:space="0" w:color="000000"/>
              <w:left w:val="nil"/>
              <w:bottom w:val="single" w:sz="4" w:space="0" w:color="000000"/>
              <w:right w:val="nil"/>
            </w:tcBorders>
            <w:shd w:val="clear" w:color="FFFFFF" w:fill="FFFFFF"/>
            <w:noWrap/>
            <w:vAlign w:val="bottom"/>
            <w:hideMark/>
          </w:tcPr>
          <w:p w14:paraId="4673B67D" w14:textId="77777777" w:rsidR="00E035EA" w:rsidRPr="00834149" w:rsidRDefault="00E035EA" w:rsidP="005C75BA">
            <w:pPr>
              <w:jc w:val="right"/>
              <w:rPr>
                <w:rFonts w:eastAsia="Times New Roman" w:cs="Arial"/>
                <w:b/>
                <w:bCs/>
                <w:color w:val="000000"/>
                <w:sz w:val="18"/>
                <w:szCs w:val="18"/>
              </w:rPr>
            </w:pPr>
            <w:r w:rsidRPr="00834149">
              <w:rPr>
                <w:rFonts w:eastAsia="Times New Roman" w:cs="Arial"/>
                <w:b/>
                <w:bCs/>
                <w:color w:val="000000"/>
                <w:sz w:val="18"/>
                <w:szCs w:val="18"/>
              </w:rPr>
              <w:t>0.0</w:t>
            </w:r>
          </w:p>
        </w:tc>
      </w:tr>
      <w:tr w:rsidR="00E035EA" w:rsidRPr="00434A65" w14:paraId="4224D5BD" w14:textId="77777777" w:rsidTr="00834149">
        <w:trPr>
          <w:trHeight w:val="273"/>
        </w:trPr>
        <w:tc>
          <w:tcPr>
            <w:tcW w:w="14123" w:type="dxa"/>
            <w:gridSpan w:val="13"/>
            <w:tcBorders>
              <w:top w:val="nil"/>
              <w:left w:val="nil"/>
              <w:bottom w:val="nil"/>
              <w:right w:val="nil"/>
            </w:tcBorders>
            <w:shd w:val="clear" w:color="FFFFFF" w:fill="FFFFFF"/>
            <w:noWrap/>
            <w:vAlign w:val="bottom"/>
            <w:hideMark/>
          </w:tcPr>
          <w:p w14:paraId="2EF683A3"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 Disbursement data is updated at the end of the first week of the month.</w:t>
            </w:r>
          </w:p>
        </w:tc>
      </w:tr>
      <w:tr w:rsidR="00E035EA" w:rsidRPr="00434A65" w14:paraId="1EA15201" w14:textId="77777777" w:rsidTr="00834149">
        <w:trPr>
          <w:trHeight w:val="273"/>
        </w:trPr>
        <w:tc>
          <w:tcPr>
            <w:tcW w:w="14123" w:type="dxa"/>
            <w:gridSpan w:val="13"/>
            <w:tcBorders>
              <w:top w:val="nil"/>
              <w:left w:val="nil"/>
              <w:bottom w:val="nil"/>
              <w:right w:val="nil"/>
            </w:tcBorders>
            <w:shd w:val="clear" w:color="FFFFFF" w:fill="FFFFFF"/>
            <w:noWrap/>
            <w:vAlign w:val="bottom"/>
            <w:hideMark/>
          </w:tcPr>
          <w:p w14:paraId="1A287F1E" w14:textId="77777777" w:rsidR="00E035EA" w:rsidRPr="00834149" w:rsidRDefault="00E035EA" w:rsidP="005C75BA">
            <w:pPr>
              <w:rPr>
                <w:rFonts w:eastAsia="Times New Roman" w:cs="Arial"/>
                <w:color w:val="000000"/>
                <w:sz w:val="18"/>
                <w:szCs w:val="18"/>
              </w:rPr>
            </w:pPr>
            <w:r w:rsidRPr="00834149">
              <w:rPr>
                <w:rFonts w:eastAsia="Times New Roman" w:cs="Arial"/>
                <w:color w:val="000000"/>
                <w:sz w:val="18"/>
                <w:szCs w:val="18"/>
              </w:rPr>
              <w:t>a. Intended disbursements to date minus actual disbursements to date as projected at appraisal.</w:t>
            </w:r>
          </w:p>
        </w:tc>
      </w:tr>
    </w:tbl>
    <w:p w14:paraId="2DD3BB5E" w14:textId="77777777" w:rsidR="00E035EA" w:rsidRDefault="00E035EA" w:rsidP="00E035EA">
      <w:pPr>
        <w:sectPr w:rsidR="00E035EA" w:rsidSect="00834149">
          <w:pgSz w:w="15840" w:h="12240" w:orient="landscape"/>
          <w:pgMar w:top="810" w:right="1440" w:bottom="1080" w:left="1440" w:header="720" w:footer="720" w:gutter="0"/>
          <w:cols w:space="720"/>
          <w:docGrid w:linePitch="360"/>
        </w:sectPr>
      </w:pPr>
    </w:p>
    <w:p w14:paraId="43BCCD5A" w14:textId="18CF2DDB" w:rsidR="00E035EA" w:rsidRPr="00834149" w:rsidRDefault="00E035EA" w:rsidP="00834149">
      <w:pPr>
        <w:pStyle w:val="Caption"/>
        <w:jc w:val="center"/>
        <w:rPr>
          <w:rFonts w:cs="Times New Roman"/>
          <w:bCs w:val="0"/>
          <w:caps w:val="0"/>
          <w:sz w:val="22"/>
          <w:szCs w:val="22"/>
        </w:rPr>
      </w:pPr>
      <w:bookmarkStart w:id="54" w:name="_Toc477452445"/>
      <w:r w:rsidRPr="00834149">
        <w:rPr>
          <w:rFonts w:cs="Times New Roman"/>
          <w:bCs w:val="0"/>
          <w:caps w:val="0"/>
          <w:sz w:val="22"/>
          <w:szCs w:val="22"/>
        </w:rPr>
        <w:lastRenderedPageBreak/>
        <w:t>Annex</w:t>
      </w:r>
      <w:r w:rsidR="00DF6013" w:rsidRPr="00834149">
        <w:rPr>
          <w:rFonts w:cs="Times New Roman"/>
          <w:bCs w:val="0"/>
          <w:caps w:val="0"/>
          <w:sz w:val="22"/>
          <w:szCs w:val="22"/>
        </w:rPr>
        <w:t xml:space="preserve"> </w:t>
      </w:r>
      <w:r w:rsidR="00DF6013" w:rsidRPr="00834149">
        <w:rPr>
          <w:rFonts w:cs="Times New Roman"/>
          <w:bCs w:val="0"/>
          <w:caps w:val="0"/>
          <w:sz w:val="22"/>
          <w:szCs w:val="22"/>
          <w:lang w:val="fr-FR"/>
        </w:rPr>
        <w:fldChar w:fldCharType="begin"/>
      </w:r>
      <w:r w:rsidR="00DF6013" w:rsidRPr="00834149">
        <w:rPr>
          <w:rFonts w:cs="Times New Roman"/>
          <w:bCs w:val="0"/>
          <w:caps w:val="0"/>
          <w:sz w:val="22"/>
          <w:szCs w:val="22"/>
        </w:rPr>
        <w:instrText xml:space="preserve"> SEQ Annex \* ARABIC </w:instrText>
      </w:r>
      <w:r w:rsidR="00DF6013" w:rsidRPr="00834149">
        <w:rPr>
          <w:rFonts w:cs="Times New Roman"/>
          <w:bCs w:val="0"/>
          <w:caps w:val="0"/>
          <w:sz w:val="22"/>
          <w:szCs w:val="22"/>
          <w:lang w:val="fr-FR"/>
        </w:rPr>
        <w:fldChar w:fldCharType="separate"/>
      </w:r>
      <w:r w:rsidR="000D6ABB">
        <w:rPr>
          <w:rFonts w:cs="Times New Roman"/>
          <w:bCs w:val="0"/>
          <w:caps w:val="0"/>
          <w:noProof/>
          <w:sz w:val="22"/>
          <w:szCs w:val="22"/>
        </w:rPr>
        <w:t>5</w:t>
      </w:r>
      <w:r w:rsidR="00DF6013" w:rsidRPr="00834149">
        <w:rPr>
          <w:rFonts w:cs="Times New Roman"/>
          <w:bCs w:val="0"/>
          <w:caps w:val="0"/>
          <w:sz w:val="22"/>
          <w:szCs w:val="22"/>
          <w:lang w:val="fr-FR"/>
        </w:rPr>
        <w:fldChar w:fldCharType="end"/>
      </w:r>
      <w:r w:rsidRPr="00834149">
        <w:rPr>
          <w:rFonts w:cs="Times New Roman"/>
          <w:bCs w:val="0"/>
          <w:caps w:val="0"/>
          <w:sz w:val="22"/>
          <w:szCs w:val="22"/>
        </w:rPr>
        <w:t xml:space="preserve"> Statement of IFC’s Held and Disbursed Portfolio</w:t>
      </w:r>
      <w:bookmarkEnd w:id="54"/>
    </w:p>
    <w:tbl>
      <w:tblPr>
        <w:tblW w:w="12327" w:type="dxa"/>
        <w:tblLook w:val="04A0" w:firstRow="1" w:lastRow="0" w:firstColumn="1" w:lastColumn="0" w:noHBand="0" w:noVBand="1"/>
      </w:tblPr>
      <w:tblGrid>
        <w:gridCol w:w="1779"/>
        <w:gridCol w:w="1101"/>
        <w:gridCol w:w="784"/>
        <w:gridCol w:w="794"/>
        <w:gridCol w:w="969"/>
        <w:gridCol w:w="986"/>
        <w:gridCol w:w="1218"/>
        <w:gridCol w:w="267"/>
        <w:gridCol w:w="721"/>
        <w:gridCol w:w="794"/>
        <w:gridCol w:w="1056"/>
        <w:gridCol w:w="986"/>
        <w:gridCol w:w="1218"/>
        <w:gridCol w:w="267"/>
      </w:tblGrid>
      <w:tr w:rsidR="00E035EA" w:rsidRPr="00434A65" w14:paraId="60B0BC17" w14:textId="77777777" w:rsidTr="005C75BA">
        <w:trPr>
          <w:trHeight w:val="273"/>
        </w:trPr>
        <w:tc>
          <w:tcPr>
            <w:tcW w:w="12327" w:type="dxa"/>
            <w:gridSpan w:val="14"/>
            <w:tcBorders>
              <w:top w:val="nil"/>
              <w:left w:val="nil"/>
              <w:bottom w:val="nil"/>
              <w:right w:val="nil"/>
            </w:tcBorders>
            <w:shd w:val="clear" w:color="FFFFFF" w:fill="FFFFFF"/>
            <w:noWrap/>
            <w:vAlign w:val="center"/>
            <w:hideMark/>
          </w:tcPr>
          <w:p w14:paraId="3D1EC678" w14:textId="0C06FADA" w:rsidR="00E035EA" w:rsidRPr="00834149" w:rsidRDefault="00E035EA" w:rsidP="005C75BA">
            <w:pPr>
              <w:jc w:val="center"/>
              <w:rPr>
                <w:rFonts w:eastAsia="Times New Roman" w:cs="Arial"/>
                <w:b/>
                <w:bCs/>
                <w:i/>
                <w:iCs/>
                <w:color w:val="000000"/>
              </w:rPr>
            </w:pPr>
          </w:p>
        </w:tc>
      </w:tr>
      <w:tr w:rsidR="00E035EA" w:rsidRPr="00434A65" w14:paraId="04C368BF" w14:textId="77777777" w:rsidTr="005C75BA">
        <w:trPr>
          <w:trHeight w:val="273"/>
        </w:trPr>
        <w:tc>
          <w:tcPr>
            <w:tcW w:w="12327" w:type="dxa"/>
            <w:gridSpan w:val="14"/>
            <w:tcBorders>
              <w:top w:val="nil"/>
              <w:left w:val="nil"/>
              <w:bottom w:val="nil"/>
              <w:right w:val="nil"/>
            </w:tcBorders>
            <w:shd w:val="clear" w:color="FFFFFF" w:fill="FFFFFF"/>
            <w:noWrap/>
            <w:vAlign w:val="center"/>
            <w:hideMark/>
          </w:tcPr>
          <w:p w14:paraId="772C97AB" w14:textId="5C4064A9" w:rsidR="00E035EA" w:rsidRPr="00834149" w:rsidRDefault="00E035EA" w:rsidP="00434A65">
            <w:pPr>
              <w:jc w:val="center"/>
              <w:rPr>
                <w:rFonts w:eastAsia="Times New Roman" w:cs="Arial"/>
                <w:b/>
                <w:bCs/>
                <w:color w:val="000000"/>
              </w:rPr>
            </w:pPr>
            <w:r w:rsidRPr="00834149">
              <w:rPr>
                <w:rFonts w:eastAsia="Times New Roman" w:cs="Arial"/>
                <w:b/>
                <w:bCs/>
                <w:color w:val="000000"/>
              </w:rPr>
              <w:t>(In US</w:t>
            </w:r>
            <w:r w:rsidR="00434A65" w:rsidRPr="00834149">
              <w:rPr>
                <w:rFonts w:eastAsia="Times New Roman" w:cs="Arial"/>
                <w:b/>
                <w:bCs/>
                <w:color w:val="000000"/>
              </w:rPr>
              <w:t>$</w:t>
            </w:r>
            <w:r w:rsidRPr="00834149">
              <w:rPr>
                <w:rFonts w:eastAsia="Times New Roman" w:cs="Arial"/>
                <w:b/>
                <w:bCs/>
                <w:color w:val="000000"/>
              </w:rPr>
              <w:t xml:space="preserve"> Millions)</w:t>
            </w:r>
          </w:p>
        </w:tc>
      </w:tr>
      <w:tr w:rsidR="00E035EA" w:rsidRPr="00434A65" w14:paraId="64E38AAA" w14:textId="77777777" w:rsidTr="005C75BA">
        <w:trPr>
          <w:trHeight w:val="231"/>
        </w:trPr>
        <w:tc>
          <w:tcPr>
            <w:tcW w:w="1779" w:type="dxa"/>
            <w:tcBorders>
              <w:top w:val="nil"/>
              <w:left w:val="nil"/>
              <w:bottom w:val="nil"/>
              <w:right w:val="nil"/>
            </w:tcBorders>
            <w:shd w:val="clear" w:color="FFFFFF" w:fill="FFFFFF"/>
            <w:noWrap/>
            <w:vAlign w:val="bottom"/>
            <w:hideMark/>
          </w:tcPr>
          <w:p w14:paraId="579610F9"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1101" w:type="dxa"/>
            <w:tcBorders>
              <w:top w:val="nil"/>
              <w:left w:val="nil"/>
              <w:bottom w:val="nil"/>
              <w:right w:val="nil"/>
            </w:tcBorders>
            <w:shd w:val="clear" w:color="FFFFFF" w:fill="FFFFFF"/>
            <w:noWrap/>
            <w:vAlign w:val="bottom"/>
            <w:hideMark/>
          </w:tcPr>
          <w:p w14:paraId="3315F307"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784" w:type="dxa"/>
            <w:tcBorders>
              <w:top w:val="nil"/>
              <w:left w:val="nil"/>
              <w:bottom w:val="nil"/>
              <w:right w:val="nil"/>
            </w:tcBorders>
            <w:shd w:val="clear" w:color="FFFFFF" w:fill="FFFFFF"/>
            <w:noWrap/>
            <w:vAlign w:val="bottom"/>
            <w:hideMark/>
          </w:tcPr>
          <w:p w14:paraId="6C1933D3"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767" w:type="dxa"/>
            <w:tcBorders>
              <w:top w:val="nil"/>
              <w:left w:val="nil"/>
              <w:bottom w:val="nil"/>
              <w:right w:val="nil"/>
            </w:tcBorders>
            <w:shd w:val="clear" w:color="FFFFFF" w:fill="FFFFFF"/>
            <w:noWrap/>
            <w:vAlign w:val="bottom"/>
            <w:hideMark/>
          </w:tcPr>
          <w:p w14:paraId="1DE60F27"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969" w:type="dxa"/>
            <w:tcBorders>
              <w:top w:val="nil"/>
              <w:left w:val="nil"/>
              <w:bottom w:val="nil"/>
              <w:right w:val="nil"/>
            </w:tcBorders>
            <w:shd w:val="clear" w:color="FFFFFF" w:fill="FFFFFF"/>
            <w:noWrap/>
            <w:vAlign w:val="bottom"/>
            <w:hideMark/>
          </w:tcPr>
          <w:p w14:paraId="1DE01B6B"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866" w:type="dxa"/>
            <w:tcBorders>
              <w:top w:val="nil"/>
              <w:left w:val="nil"/>
              <w:bottom w:val="nil"/>
              <w:right w:val="nil"/>
            </w:tcBorders>
            <w:shd w:val="clear" w:color="FFFFFF" w:fill="FFFFFF"/>
            <w:noWrap/>
            <w:vAlign w:val="bottom"/>
            <w:hideMark/>
          </w:tcPr>
          <w:p w14:paraId="39889FF4"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1147" w:type="dxa"/>
            <w:tcBorders>
              <w:top w:val="nil"/>
              <w:left w:val="nil"/>
              <w:bottom w:val="nil"/>
              <w:right w:val="nil"/>
            </w:tcBorders>
            <w:shd w:val="clear" w:color="FFFFFF" w:fill="FFFFFF"/>
            <w:noWrap/>
            <w:vAlign w:val="bottom"/>
            <w:hideMark/>
          </w:tcPr>
          <w:p w14:paraId="496D2370"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267" w:type="dxa"/>
            <w:tcBorders>
              <w:top w:val="nil"/>
              <w:left w:val="nil"/>
              <w:bottom w:val="nil"/>
              <w:right w:val="nil"/>
            </w:tcBorders>
            <w:shd w:val="clear" w:color="FFFFFF" w:fill="FFFFFF"/>
            <w:noWrap/>
            <w:vAlign w:val="bottom"/>
            <w:hideMark/>
          </w:tcPr>
          <w:p w14:paraId="7AF56AAF"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667" w:type="dxa"/>
            <w:tcBorders>
              <w:top w:val="nil"/>
              <w:left w:val="nil"/>
              <w:bottom w:val="nil"/>
              <w:right w:val="nil"/>
            </w:tcBorders>
            <w:shd w:val="clear" w:color="FFFFFF" w:fill="FFFFFF"/>
            <w:noWrap/>
            <w:vAlign w:val="bottom"/>
            <w:hideMark/>
          </w:tcPr>
          <w:p w14:paraId="340AA41A"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767" w:type="dxa"/>
            <w:tcBorders>
              <w:top w:val="nil"/>
              <w:left w:val="nil"/>
              <w:bottom w:val="nil"/>
              <w:right w:val="nil"/>
            </w:tcBorders>
            <w:shd w:val="clear" w:color="FFFFFF" w:fill="FFFFFF"/>
            <w:noWrap/>
            <w:vAlign w:val="bottom"/>
            <w:hideMark/>
          </w:tcPr>
          <w:p w14:paraId="17463BE9"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1056" w:type="dxa"/>
            <w:tcBorders>
              <w:top w:val="nil"/>
              <w:left w:val="nil"/>
              <w:bottom w:val="nil"/>
              <w:right w:val="nil"/>
            </w:tcBorders>
            <w:shd w:val="clear" w:color="FFFFFF" w:fill="FFFFFF"/>
            <w:noWrap/>
            <w:vAlign w:val="bottom"/>
            <w:hideMark/>
          </w:tcPr>
          <w:p w14:paraId="7C75118A"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866" w:type="dxa"/>
            <w:tcBorders>
              <w:top w:val="nil"/>
              <w:left w:val="nil"/>
              <w:bottom w:val="nil"/>
              <w:right w:val="nil"/>
            </w:tcBorders>
            <w:shd w:val="clear" w:color="FFFFFF" w:fill="FFFFFF"/>
            <w:noWrap/>
            <w:vAlign w:val="bottom"/>
            <w:hideMark/>
          </w:tcPr>
          <w:p w14:paraId="322EC84E"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1024" w:type="dxa"/>
            <w:tcBorders>
              <w:top w:val="nil"/>
              <w:left w:val="nil"/>
              <w:bottom w:val="nil"/>
              <w:right w:val="nil"/>
            </w:tcBorders>
            <w:shd w:val="clear" w:color="FFFFFF" w:fill="FFFFFF"/>
            <w:noWrap/>
            <w:vAlign w:val="bottom"/>
            <w:hideMark/>
          </w:tcPr>
          <w:p w14:paraId="47C724D6"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267" w:type="dxa"/>
            <w:tcBorders>
              <w:top w:val="nil"/>
              <w:left w:val="nil"/>
              <w:bottom w:val="nil"/>
              <w:right w:val="nil"/>
            </w:tcBorders>
            <w:shd w:val="clear" w:color="FFFFFF" w:fill="FFFFFF"/>
            <w:noWrap/>
            <w:vAlign w:val="bottom"/>
            <w:hideMark/>
          </w:tcPr>
          <w:p w14:paraId="3DDD110A" w14:textId="77777777" w:rsidR="00E035EA" w:rsidRPr="00834149" w:rsidRDefault="00E035EA" w:rsidP="005C75BA">
            <w:pPr>
              <w:rPr>
                <w:rFonts w:eastAsia="Times New Roman" w:cs="Arial"/>
                <w:color w:val="333333"/>
              </w:rPr>
            </w:pPr>
            <w:r w:rsidRPr="00834149">
              <w:rPr>
                <w:rFonts w:eastAsia="Times New Roman" w:cs="Arial"/>
                <w:color w:val="333333"/>
              </w:rPr>
              <w:t> </w:t>
            </w:r>
          </w:p>
        </w:tc>
      </w:tr>
      <w:tr w:rsidR="00E035EA" w:rsidRPr="00434A65" w14:paraId="33C67C5F" w14:textId="77777777" w:rsidTr="005C75BA">
        <w:trPr>
          <w:trHeight w:val="324"/>
        </w:trPr>
        <w:tc>
          <w:tcPr>
            <w:tcW w:w="1779" w:type="dxa"/>
            <w:tcBorders>
              <w:top w:val="double" w:sz="6" w:space="0" w:color="000000"/>
              <w:left w:val="nil"/>
              <w:bottom w:val="nil"/>
              <w:right w:val="nil"/>
            </w:tcBorders>
            <w:shd w:val="clear" w:color="FFFFFF" w:fill="FFFFFF"/>
            <w:noWrap/>
            <w:vAlign w:val="bottom"/>
            <w:hideMark/>
          </w:tcPr>
          <w:p w14:paraId="084B9A64"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1101" w:type="dxa"/>
            <w:tcBorders>
              <w:top w:val="double" w:sz="6" w:space="0" w:color="000000"/>
              <w:left w:val="nil"/>
              <w:bottom w:val="nil"/>
              <w:right w:val="nil"/>
            </w:tcBorders>
            <w:shd w:val="clear" w:color="FFFFFF" w:fill="FFFFFF"/>
            <w:noWrap/>
            <w:vAlign w:val="bottom"/>
            <w:hideMark/>
          </w:tcPr>
          <w:p w14:paraId="576EA0C1"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784" w:type="dxa"/>
            <w:tcBorders>
              <w:top w:val="double" w:sz="6" w:space="0" w:color="000000"/>
              <w:left w:val="nil"/>
              <w:bottom w:val="nil"/>
              <w:right w:val="nil"/>
            </w:tcBorders>
            <w:shd w:val="clear" w:color="FFFFFF" w:fill="FFFFFF"/>
            <w:noWrap/>
            <w:vAlign w:val="bottom"/>
            <w:hideMark/>
          </w:tcPr>
          <w:p w14:paraId="4A19EF51"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767" w:type="dxa"/>
            <w:tcBorders>
              <w:top w:val="double" w:sz="6" w:space="0" w:color="000000"/>
              <w:left w:val="nil"/>
              <w:bottom w:val="nil"/>
              <w:right w:val="nil"/>
            </w:tcBorders>
            <w:shd w:val="clear" w:color="FFFFFF" w:fill="FFFFFF"/>
            <w:noWrap/>
            <w:vAlign w:val="bottom"/>
            <w:hideMark/>
          </w:tcPr>
          <w:p w14:paraId="5FFEE325"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969" w:type="dxa"/>
            <w:tcBorders>
              <w:top w:val="double" w:sz="6" w:space="0" w:color="000000"/>
              <w:left w:val="nil"/>
              <w:bottom w:val="nil"/>
              <w:right w:val="nil"/>
            </w:tcBorders>
            <w:shd w:val="clear" w:color="FFFFFF" w:fill="FFFFFF"/>
            <w:noWrap/>
            <w:vAlign w:val="bottom"/>
            <w:hideMark/>
          </w:tcPr>
          <w:p w14:paraId="505CF1C9"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866" w:type="dxa"/>
            <w:tcBorders>
              <w:top w:val="double" w:sz="6" w:space="0" w:color="000000"/>
              <w:left w:val="nil"/>
              <w:bottom w:val="nil"/>
              <w:right w:val="nil"/>
            </w:tcBorders>
            <w:shd w:val="clear" w:color="FFFFFF" w:fill="FFFFFF"/>
            <w:noWrap/>
            <w:vAlign w:val="bottom"/>
            <w:hideMark/>
          </w:tcPr>
          <w:p w14:paraId="18B482B7"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1147" w:type="dxa"/>
            <w:tcBorders>
              <w:top w:val="double" w:sz="6" w:space="0" w:color="000000"/>
              <w:left w:val="nil"/>
              <w:bottom w:val="nil"/>
              <w:right w:val="nil"/>
            </w:tcBorders>
            <w:shd w:val="clear" w:color="FFFFFF" w:fill="FFFFFF"/>
            <w:noWrap/>
            <w:vAlign w:val="bottom"/>
            <w:hideMark/>
          </w:tcPr>
          <w:p w14:paraId="60076006"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267" w:type="dxa"/>
            <w:tcBorders>
              <w:top w:val="double" w:sz="6" w:space="0" w:color="000000"/>
              <w:left w:val="nil"/>
              <w:bottom w:val="nil"/>
              <w:right w:val="nil"/>
            </w:tcBorders>
            <w:shd w:val="clear" w:color="FFFFFF" w:fill="FFFFFF"/>
            <w:noWrap/>
            <w:vAlign w:val="bottom"/>
            <w:hideMark/>
          </w:tcPr>
          <w:p w14:paraId="15FBB334"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667" w:type="dxa"/>
            <w:tcBorders>
              <w:top w:val="double" w:sz="6" w:space="0" w:color="000000"/>
              <w:left w:val="nil"/>
              <w:bottom w:val="nil"/>
              <w:right w:val="nil"/>
            </w:tcBorders>
            <w:shd w:val="clear" w:color="FFFFFF" w:fill="FFFFFF"/>
            <w:noWrap/>
            <w:vAlign w:val="bottom"/>
            <w:hideMark/>
          </w:tcPr>
          <w:p w14:paraId="74169061"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767" w:type="dxa"/>
            <w:tcBorders>
              <w:top w:val="double" w:sz="6" w:space="0" w:color="000000"/>
              <w:left w:val="nil"/>
              <w:bottom w:val="nil"/>
              <w:right w:val="nil"/>
            </w:tcBorders>
            <w:shd w:val="clear" w:color="FFFFFF" w:fill="FFFFFF"/>
            <w:noWrap/>
            <w:vAlign w:val="bottom"/>
            <w:hideMark/>
          </w:tcPr>
          <w:p w14:paraId="20ADC5D0"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1056" w:type="dxa"/>
            <w:tcBorders>
              <w:top w:val="double" w:sz="6" w:space="0" w:color="000000"/>
              <w:left w:val="nil"/>
              <w:bottom w:val="nil"/>
              <w:right w:val="nil"/>
            </w:tcBorders>
            <w:shd w:val="clear" w:color="FFFFFF" w:fill="FFFFFF"/>
            <w:noWrap/>
            <w:vAlign w:val="bottom"/>
            <w:hideMark/>
          </w:tcPr>
          <w:p w14:paraId="458A77AE"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866" w:type="dxa"/>
            <w:tcBorders>
              <w:top w:val="double" w:sz="6" w:space="0" w:color="000000"/>
              <w:left w:val="nil"/>
              <w:bottom w:val="nil"/>
              <w:right w:val="nil"/>
            </w:tcBorders>
            <w:shd w:val="clear" w:color="FFFFFF" w:fill="FFFFFF"/>
            <w:noWrap/>
            <w:vAlign w:val="bottom"/>
            <w:hideMark/>
          </w:tcPr>
          <w:p w14:paraId="6C1E341C"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1024" w:type="dxa"/>
            <w:tcBorders>
              <w:top w:val="double" w:sz="6" w:space="0" w:color="000000"/>
              <w:left w:val="nil"/>
              <w:bottom w:val="nil"/>
              <w:right w:val="nil"/>
            </w:tcBorders>
            <w:shd w:val="clear" w:color="FFFFFF" w:fill="FFFFFF"/>
            <w:noWrap/>
            <w:vAlign w:val="bottom"/>
            <w:hideMark/>
          </w:tcPr>
          <w:p w14:paraId="5DC21792"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267" w:type="dxa"/>
            <w:tcBorders>
              <w:top w:val="nil"/>
              <w:left w:val="nil"/>
              <w:bottom w:val="nil"/>
              <w:right w:val="nil"/>
            </w:tcBorders>
            <w:shd w:val="clear" w:color="FFFFFF" w:fill="FFFFFF"/>
            <w:noWrap/>
            <w:vAlign w:val="bottom"/>
            <w:hideMark/>
          </w:tcPr>
          <w:p w14:paraId="7A0F308D" w14:textId="77777777" w:rsidR="00E035EA" w:rsidRPr="00834149" w:rsidRDefault="00E035EA" w:rsidP="005C75BA">
            <w:pPr>
              <w:rPr>
                <w:rFonts w:eastAsia="Times New Roman" w:cs="Arial"/>
                <w:color w:val="333333"/>
              </w:rPr>
            </w:pPr>
            <w:r w:rsidRPr="00834149">
              <w:rPr>
                <w:rFonts w:eastAsia="Times New Roman" w:cs="Arial"/>
                <w:color w:val="333333"/>
              </w:rPr>
              <w:t> </w:t>
            </w:r>
          </w:p>
        </w:tc>
      </w:tr>
      <w:tr w:rsidR="00E035EA" w:rsidRPr="00434A65" w14:paraId="1D8F6F44" w14:textId="77777777" w:rsidTr="005C75BA">
        <w:trPr>
          <w:trHeight w:val="324"/>
        </w:trPr>
        <w:tc>
          <w:tcPr>
            <w:tcW w:w="1779" w:type="dxa"/>
            <w:tcBorders>
              <w:top w:val="nil"/>
              <w:left w:val="nil"/>
              <w:bottom w:val="nil"/>
              <w:right w:val="nil"/>
            </w:tcBorders>
            <w:shd w:val="clear" w:color="FFFFFF" w:fill="FFFFFF"/>
            <w:noWrap/>
            <w:vAlign w:val="bottom"/>
            <w:hideMark/>
          </w:tcPr>
          <w:p w14:paraId="609E18C2"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1101" w:type="dxa"/>
            <w:tcBorders>
              <w:top w:val="nil"/>
              <w:left w:val="nil"/>
              <w:bottom w:val="nil"/>
              <w:right w:val="nil"/>
            </w:tcBorders>
            <w:shd w:val="clear" w:color="FFFFFF" w:fill="FFFFFF"/>
            <w:noWrap/>
            <w:vAlign w:val="bottom"/>
            <w:hideMark/>
          </w:tcPr>
          <w:p w14:paraId="2C28B8EC"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4533" w:type="dxa"/>
            <w:gridSpan w:val="5"/>
            <w:tcBorders>
              <w:top w:val="nil"/>
              <w:left w:val="nil"/>
              <w:bottom w:val="single" w:sz="4" w:space="0" w:color="000000"/>
              <w:right w:val="nil"/>
            </w:tcBorders>
            <w:shd w:val="clear" w:color="FFFFFF" w:fill="FFFFFF"/>
            <w:noWrap/>
            <w:vAlign w:val="bottom"/>
            <w:hideMark/>
          </w:tcPr>
          <w:p w14:paraId="314B0589" w14:textId="77777777" w:rsidR="00E035EA" w:rsidRPr="00834149" w:rsidRDefault="00E035EA" w:rsidP="005C75BA">
            <w:pPr>
              <w:jc w:val="center"/>
              <w:rPr>
                <w:rFonts w:eastAsia="Times New Roman" w:cs="Arial"/>
                <w:b/>
                <w:bCs/>
                <w:color w:val="000000"/>
                <w:u w:val="single"/>
              </w:rPr>
            </w:pPr>
            <w:r w:rsidRPr="00834149">
              <w:rPr>
                <w:rFonts w:eastAsia="Times New Roman" w:cs="Arial"/>
                <w:b/>
                <w:bCs/>
                <w:color w:val="000000"/>
                <w:u w:val="single"/>
              </w:rPr>
              <w:t>Committed</w:t>
            </w:r>
          </w:p>
        </w:tc>
        <w:tc>
          <w:tcPr>
            <w:tcW w:w="267" w:type="dxa"/>
            <w:tcBorders>
              <w:top w:val="nil"/>
              <w:left w:val="nil"/>
              <w:bottom w:val="nil"/>
              <w:right w:val="nil"/>
            </w:tcBorders>
            <w:shd w:val="clear" w:color="FFFFFF" w:fill="FFFFFF"/>
            <w:noWrap/>
            <w:vAlign w:val="bottom"/>
            <w:hideMark/>
          </w:tcPr>
          <w:p w14:paraId="26201D68" w14:textId="77777777" w:rsidR="00E035EA" w:rsidRPr="00834149" w:rsidRDefault="00E035EA" w:rsidP="005C75BA">
            <w:pPr>
              <w:jc w:val="center"/>
              <w:rPr>
                <w:rFonts w:eastAsia="Times New Roman" w:cs="Arial"/>
                <w:b/>
                <w:bCs/>
                <w:color w:val="000000"/>
                <w:u w:val="single"/>
              </w:rPr>
            </w:pPr>
            <w:r w:rsidRPr="00834149">
              <w:rPr>
                <w:rFonts w:eastAsia="Times New Roman" w:cs="Arial"/>
                <w:b/>
                <w:bCs/>
                <w:color w:val="000000"/>
                <w:u w:val="single"/>
              </w:rPr>
              <w:t> </w:t>
            </w:r>
          </w:p>
        </w:tc>
        <w:tc>
          <w:tcPr>
            <w:tcW w:w="4380" w:type="dxa"/>
            <w:gridSpan w:val="5"/>
            <w:tcBorders>
              <w:top w:val="nil"/>
              <w:left w:val="nil"/>
              <w:bottom w:val="single" w:sz="4" w:space="0" w:color="000000"/>
              <w:right w:val="nil"/>
            </w:tcBorders>
            <w:shd w:val="clear" w:color="FFFFFF" w:fill="FFFFFF"/>
            <w:noWrap/>
            <w:vAlign w:val="bottom"/>
            <w:hideMark/>
          </w:tcPr>
          <w:p w14:paraId="3914E0F2" w14:textId="77777777" w:rsidR="00E035EA" w:rsidRPr="00834149" w:rsidRDefault="00E035EA" w:rsidP="005C75BA">
            <w:pPr>
              <w:jc w:val="center"/>
              <w:rPr>
                <w:rFonts w:eastAsia="Times New Roman" w:cs="Arial"/>
                <w:b/>
                <w:bCs/>
                <w:color w:val="000000"/>
                <w:u w:val="single"/>
              </w:rPr>
            </w:pPr>
            <w:r w:rsidRPr="00834149">
              <w:rPr>
                <w:rFonts w:eastAsia="Times New Roman" w:cs="Arial"/>
                <w:b/>
                <w:bCs/>
                <w:color w:val="000000"/>
                <w:u w:val="single"/>
              </w:rPr>
              <w:t>Disbursed Outstanding</w:t>
            </w:r>
          </w:p>
        </w:tc>
        <w:tc>
          <w:tcPr>
            <w:tcW w:w="267" w:type="dxa"/>
            <w:tcBorders>
              <w:top w:val="nil"/>
              <w:left w:val="nil"/>
              <w:bottom w:val="nil"/>
              <w:right w:val="nil"/>
            </w:tcBorders>
            <w:shd w:val="clear" w:color="FFFFFF" w:fill="FFFFFF"/>
            <w:noWrap/>
            <w:vAlign w:val="bottom"/>
            <w:hideMark/>
          </w:tcPr>
          <w:p w14:paraId="7106664C" w14:textId="77777777" w:rsidR="00E035EA" w:rsidRPr="00834149" w:rsidRDefault="00E035EA" w:rsidP="005C75BA">
            <w:pPr>
              <w:rPr>
                <w:rFonts w:eastAsia="Times New Roman" w:cs="Arial"/>
                <w:color w:val="333333"/>
              </w:rPr>
            </w:pPr>
            <w:r w:rsidRPr="00834149">
              <w:rPr>
                <w:rFonts w:eastAsia="Times New Roman" w:cs="Arial"/>
                <w:color w:val="333333"/>
              </w:rPr>
              <w:t> </w:t>
            </w:r>
          </w:p>
        </w:tc>
      </w:tr>
      <w:tr w:rsidR="00E035EA" w:rsidRPr="00434A65" w14:paraId="1EABD5A2" w14:textId="77777777" w:rsidTr="005C75BA">
        <w:trPr>
          <w:trHeight w:val="555"/>
        </w:trPr>
        <w:tc>
          <w:tcPr>
            <w:tcW w:w="1779" w:type="dxa"/>
            <w:tcBorders>
              <w:top w:val="nil"/>
              <w:left w:val="nil"/>
              <w:bottom w:val="double" w:sz="6" w:space="0" w:color="000000"/>
              <w:right w:val="nil"/>
            </w:tcBorders>
            <w:shd w:val="clear" w:color="FFFFFF" w:fill="FFFFFF"/>
            <w:noWrap/>
            <w:vAlign w:val="bottom"/>
            <w:hideMark/>
          </w:tcPr>
          <w:p w14:paraId="22AC4EB5" w14:textId="77777777" w:rsidR="00E035EA" w:rsidRPr="00834149" w:rsidRDefault="00E035EA" w:rsidP="005C75BA">
            <w:pPr>
              <w:rPr>
                <w:rFonts w:eastAsia="Times New Roman" w:cs="Arial"/>
                <w:b/>
                <w:bCs/>
                <w:color w:val="000000"/>
              </w:rPr>
            </w:pPr>
            <w:r w:rsidRPr="00834149">
              <w:rPr>
                <w:rFonts w:eastAsia="Times New Roman" w:cs="Arial"/>
                <w:b/>
                <w:bCs/>
                <w:color w:val="000000"/>
              </w:rPr>
              <w:t>FY Approval</w:t>
            </w:r>
          </w:p>
        </w:tc>
        <w:tc>
          <w:tcPr>
            <w:tcW w:w="1101" w:type="dxa"/>
            <w:tcBorders>
              <w:top w:val="nil"/>
              <w:left w:val="nil"/>
              <w:bottom w:val="double" w:sz="6" w:space="0" w:color="000000"/>
              <w:right w:val="nil"/>
            </w:tcBorders>
            <w:shd w:val="clear" w:color="FFFFFF" w:fill="FFFFFF"/>
            <w:noWrap/>
            <w:vAlign w:val="bottom"/>
            <w:hideMark/>
          </w:tcPr>
          <w:p w14:paraId="475448C6" w14:textId="77777777" w:rsidR="00E035EA" w:rsidRPr="00834149" w:rsidRDefault="00E035EA" w:rsidP="005C75BA">
            <w:pPr>
              <w:rPr>
                <w:rFonts w:eastAsia="Times New Roman" w:cs="Arial"/>
                <w:b/>
                <w:bCs/>
                <w:color w:val="000000"/>
              </w:rPr>
            </w:pPr>
            <w:r w:rsidRPr="00834149">
              <w:rPr>
                <w:rFonts w:eastAsia="Times New Roman" w:cs="Arial"/>
                <w:b/>
                <w:bCs/>
                <w:color w:val="000000"/>
              </w:rPr>
              <w:t>Company</w:t>
            </w:r>
          </w:p>
        </w:tc>
        <w:tc>
          <w:tcPr>
            <w:tcW w:w="784" w:type="dxa"/>
            <w:tcBorders>
              <w:top w:val="nil"/>
              <w:left w:val="nil"/>
              <w:bottom w:val="double" w:sz="6" w:space="0" w:color="000000"/>
              <w:right w:val="nil"/>
            </w:tcBorders>
            <w:shd w:val="clear" w:color="FFFFFF" w:fill="FFFFFF"/>
            <w:noWrap/>
            <w:vAlign w:val="bottom"/>
            <w:hideMark/>
          </w:tcPr>
          <w:p w14:paraId="0778B7AA" w14:textId="77777777" w:rsidR="00E035EA" w:rsidRPr="00834149" w:rsidRDefault="00E035EA" w:rsidP="005C75BA">
            <w:pPr>
              <w:rPr>
                <w:rFonts w:eastAsia="Times New Roman" w:cs="Arial"/>
                <w:b/>
                <w:bCs/>
                <w:color w:val="000000"/>
              </w:rPr>
            </w:pPr>
            <w:r w:rsidRPr="00834149">
              <w:rPr>
                <w:rFonts w:eastAsia="Times New Roman" w:cs="Arial"/>
                <w:b/>
                <w:bCs/>
                <w:color w:val="000000"/>
              </w:rPr>
              <w:t>Loan</w:t>
            </w:r>
          </w:p>
        </w:tc>
        <w:tc>
          <w:tcPr>
            <w:tcW w:w="767" w:type="dxa"/>
            <w:tcBorders>
              <w:top w:val="nil"/>
              <w:left w:val="nil"/>
              <w:bottom w:val="double" w:sz="6" w:space="0" w:color="000000"/>
              <w:right w:val="nil"/>
            </w:tcBorders>
            <w:shd w:val="clear" w:color="FFFFFF" w:fill="FFFFFF"/>
            <w:noWrap/>
            <w:vAlign w:val="bottom"/>
            <w:hideMark/>
          </w:tcPr>
          <w:p w14:paraId="3D2A9F2B" w14:textId="77777777" w:rsidR="00E035EA" w:rsidRPr="00834149" w:rsidRDefault="00E035EA" w:rsidP="005C75BA">
            <w:pPr>
              <w:rPr>
                <w:rFonts w:eastAsia="Times New Roman" w:cs="Arial"/>
                <w:b/>
                <w:bCs/>
                <w:color w:val="000000"/>
              </w:rPr>
            </w:pPr>
            <w:r w:rsidRPr="00834149">
              <w:rPr>
                <w:rFonts w:eastAsia="Times New Roman" w:cs="Arial"/>
                <w:b/>
                <w:bCs/>
                <w:color w:val="000000"/>
              </w:rPr>
              <w:t>Equity</w:t>
            </w:r>
          </w:p>
        </w:tc>
        <w:tc>
          <w:tcPr>
            <w:tcW w:w="969" w:type="dxa"/>
            <w:tcBorders>
              <w:top w:val="nil"/>
              <w:left w:val="nil"/>
              <w:bottom w:val="double" w:sz="6" w:space="0" w:color="000000"/>
              <w:right w:val="nil"/>
            </w:tcBorders>
            <w:shd w:val="clear" w:color="FFFFFF" w:fill="FFFFFF"/>
            <w:vAlign w:val="bottom"/>
            <w:hideMark/>
          </w:tcPr>
          <w:p w14:paraId="2729071E" w14:textId="384C5DBA" w:rsidR="00E035EA" w:rsidRPr="00834149" w:rsidRDefault="00E035EA" w:rsidP="00434A65">
            <w:pPr>
              <w:rPr>
                <w:rFonts w:eastAsia="Times New Roman" w:cs="Arial"/>
                <w:b/>
                <w:bCs/>
                <w:color w:val="000000"/>
              </w:rPr>
            </w:pPr>
            <w:r w:rsidRPr="00834149">
              <w:rPr>
                <w:rFonts w:eastAsia="Times New Roman" w:cs="Arial"/>
                <w:b/>
                <w:bCs/>
                <w:color w:val="000000"/>
              </w:rPr>
              <w:t>**Quasi</w:t>
            </w:r>
            <w:r w:rsidRPr="00834149">
              <w:rPr>
                <w:rFonts w:eastAsia="Times New Roman" w:cs="Arial"/>
                <w:b/>
                <w:bCs/>
                <w:color w:val="000000"/>
              </w:rPr>
              <w:br/>
              <w:t xml:space="preserve">   Equity</w:t>
            </w:r>
          </w:p>
        </w:tc>
        <w:tc>
          <w:tcPr>
            <w:tcW w:w="866" w:type="dxa"/>
            <w:tcBorders>
              <w:top w:val="nil"/>
              <w:left w:val="nil"/>
              <w:bottom w:val="double" w:sz="6" w:space="0" w:color="000000"/>
              <w:right w:val="nil"/>
            </w:tcBorders>
            <w:shd w:val="clear" w:color="FFFFFF" w:fill="FFFFFF"/>
            <w:noWrap/>
            <w:vAlign w:val="bottom"/>
            <w:hideMark/>
          </w:tcPr>
          <w:p w14:paraId="6C02E336" w14:textId="77777777" w:rsidR="00E035EA" w:rsidRPr="00834149" w:rsidRDefault="00E035EA" w:rsidP="005C75BA">
            <w:pPr>
              <w:rPr>
                <w:rFonts w:eastAsia="Times New Roman" w:cs="Arial"/>
                <w:b/>
                <w:bCs/>
                <w:color w:val="000000"/>
              </w:rPr>
            </w:pPr>
            <w:r w:rsidRPr="00834149">
              <w:rPr>
                <w:rFonts w:eastAsia="Times New Roman" w:cs="Arial"/>
                <w:b/>
                <w:bCs/>
                <w:color w:val="000000"/>
              </w:rPr>
              <w:t>*GT/RM</w:t>
            </w:r>
          </w:p>
        </w:tc>
        <w:tc>
          <w:tcPr>
            <w:tcW w:w="1147" w:type="dxa"/>
            <w:tcBorders>
              <w:top w:val="nil"/>
              <w:left w:val="nil"/>
              <w:bottom w:val="double" w:sz="6" w:space="0" w:color="000000"/>
              <w:right w:val="nil"/>
            </w:tcBorders>
            <w:shd w:val="clear" w:color="FFFFFF" w:fill="FFFFFF"/>
            <w:noWrap/>
            <w:vAlign w:val="bottom"/>
            <w:hideMark/>
          </w:tcPr>
          <w:p w14:paraId="45D37C3D" w14:textId="77777777" w:rsidR="00E035EA" w:rsidRPr="00834149" w:rsidRDefault="00E035EA" w:rsidP="005C75BA">
            <w:pPr>
              <w:rPr>
                <w:rFonts w:eastAsia="Times New Roman" w:cs="Arial"/>
                <w:b/>
                <w:bCs/>
                <w:color w:val="000000"/>
              </w:rPr>
            </w:pPr>
            <w:r w:rsidRPr="00834149">
              <w:rPr>
                <w:rFonts w:eastAsia="Times New Roman" w:cs="Arial"/>
                <w:b/>
                <w:bCs/>
                <w:color w:val="000000"/>
              </w:rPr>
              <w:t>Participant</w:t>
            </w:r>
          </w:p>
        </w:tc>
        <w:tc>
          <w:tcPr>
            <w:tcW w:w="267" w:type="dxa"/>
            <w:tcBorders>
              <w:top w:val="nil"/>
              <w:left w:val="nil"/>
              <w:bottom w:val="double" w:sz="6" w:space="0" w:color="000000"/>
              <w:right w:val="nil"/>
            </w:tcBorders>
            <w:shd w:val="clear" w:color="FFFFFF" w:fill="FFFFFF"/>
            <w:noWrap/>
            <w:vAlign w:val="bottom"/>
            <w:hideMark/>
          </w:tcPr>
          <w:p w14:paraId="5D52001B" w14:textId="77777777" w:rsidR="00E035EA" w:rsidRPr="00834149" w:rsidRDefault="00E035EA" w:rsidP="005C75BA">
            <w:pPr>
              <w:rPr>
                <w:rFonts w:eastAsia="Times New Roman" w:cs="Arial"/>
                <w:b/>
                <w:bCs/>
                <w:color w:val="000000"/>
              </w:rPr>
            </w:pPr>
            <w:r w:rsidRPr="00834149">
              <w:rPr>
                <w:rFonts w:eastAsia="Times New Roman" w:cs="Arial"/>
                <w:b/>
                <w:bCs/>
                <w:color w:val="000000"/>
              </w:rPr>
              <w:t> </w:t>
            </w:r>
          </w:p>
        </w:tc>
        <w:tc>
          <w:tcPr>
            <w:tcW w:w="667" w:type="dxa"/>
            <w:tcBorders>
              <w:top w:val="nil"/>
              <w:left w:val="nil"/>
              <w:bottom w:val="double" w:sz="6" w:space="0" w:color="000000"/>
              <w:right w:val="nil"/>
            </w:tcBorders>
            <w:shd w:val="clear" w:color="FFFFFF" w:fill="FFFFFF"/>
            <w:noWrap/>
            <w:vAlign w:val="bottom"/>
            <w:hideMark/>
          </w:tcPr>
          <w:p w14:paraId="2DDB04BF" w14:textId="77777777" w:rsidR="00E035EA" w:rsidRPr="00834149" w:rsidRDefault="00E035EA" w:rsidP="005C75BA">
            <w:pPr>
              <w:rPr>
                <w:rFonts w:eastAsia="Times New Roman" w:cs="Arial"/>
                <w:b/>
                <w:bCs/>
                <w:color w:val="000000"/>
              </w:rPr>
            </w:pPr>
            <w:r w:rsidRPr="00834149">
              <w:rPr>
                <w:rFonts w:eastAsia="Times New Roman" w:cs="Arial"/>
                <w:b/>
                <w:bCs/>
                <w:color w:val="000000"/>
              </w:rPr>
              <w:t>Loan</w:t>
            </w:r>
          </w:p>
        </w:tc>
        <w:tc>
          <w:tcPr>
            <w:tcW w:w="767" w:type="dxa"/>
            <w:tcBorders>
              <w:top w:val="nil"/>
              <w:left w:val="nil"/>
              <w:bottom w:val="double" w:sz="6" w:space="0" w:color="000000"/>
              <w:right w:val="nil"/>
            </w:tcBorders>
            <w:shd w:val="clear" w:color="FFFFFF" w:fill="FFFFFF"/>
            <w:noWrap/>
            <w:vAlign w:val="bottom"/>
            <w:hideMark/>
          </w:tcPr>
          <w:p w14:paraId="4651CD4E" w14:textId="77777777" w:rsidR="00E035EA" w:rsidRPr="00834149" w:rsidRDefault="00E035EA" w:rsidP="005C75BA">
            <w:pPr>
              <w:rPr>
                <w:rFonts w:eastAsia="Times New Roman" w:cs="Arial"/>
                <w:b/>
                <w:bCs/>
                <w:color w:val="000000"/>
              </w:rPr>
            </w:pPr>
            <w:r w:rsidRPr="00834149">
              <w:rPr>
                <w:rFonts w:eastAsia="Times New Roman" w:cs="Arial"/>
                <w:b/>
                <w:bCs/>
                <w:color w:val="000000"/>
              </w:rPr>
              <w:t>Equity</w:t>
            </w:r>
          </w:p>
        </w:tc>
        <w:tc>
          <w:tcPr>
            <w:tcW w:w="1056" w:type="dxa"/>
            <w:tcBorders>
              <w:top w:val="nil"/>
              <w:left w:val="nil"/>
              <w:bottom w:val="double" w:sz="6" w:space="0" w:color="000000"/>
              <w:right w:val="nil"/>
            </w:tcBorders>
            <w:shd w:val="clear" w:color="FFFFFF" w:fill="FFFFFF"/>
            <w:vAlign w:val="bottom"/>
            <w:hideMark/>
          </w:tcPr>
          <w:p w14:paraId="4B3E12D6" w14:textId="54116731" w:rsidR="00E035EA" w:rsidRPr="00834149" w:rsidRDefault="00E035EA" w:rsidP="005C75BA">
            <w:pPr>
              <w:rPr>
                <w:rFonts w:eastAsia="Times New Roman" w:cs="Arial"/>
                <w:b/>
                <w:bCs/>
                <w:color w:val="000000"/>
              </w:rPr>
            </w:pPr>
            <w:r w:rsidRPr="00834149">
              <w:rPr>
                <w:rFonts w:eastAsia="Times New Roman" w:cs="Arial"/>
                <w:b/>
                <w:bCs/>
                <w:color w:val="000000"/>
              </w:rPr>
              <w:t>**Quasi</w:t>
            </w:r>
            <w:r w:rsidRPr="00834149">
              <w:rPr>
                <w:rFonts w:eastAsia="Times New Roman" w:cs="Arial"/>
                <w:b/>
                <w:bCs/>
                <w:color w:val="000000"/>
              </w:rPr>
              <w:br/>
              <w:t xml:space="preserve">    </w:t>
            </w:r>
            <w:r w:rsidR="00434A65">
              <w:rPr>
                <w:rFonts w:eastAsia="Times New Roman" w:cs="Arial"/>
                <w:b/>
                <w:bCs/>
                <w:color w:val="000000"/>
              </w:rPr>
              <w:t xml:space="preserve"> </w:t>
            </w:r>
            <w:r w:rsidRPr="00834149">
              <w:rPr>
                <w:rFonts w:eastAsia="Times New Roman" w:cs="Arial"/>
                <w:b/>
                <w:bCs/>
                <w:color w:val="000000"/>
              </w:rPr>
              <w:t>Equity</w:t>
            </w:r>
          </w:p>
        </w:tc>
        <w:tc>
          <w:tcPr>
            <w:tcW w:w="866" w:type="dxa"/>
            <w:tcBorders>
              <w:top w:val="nil"/>
              <w:left w:val="nil"/>
              <w:bottom w:val="double" w:sz="6" w:space="0" w:color="000000"/>
              <w:right w:val="nil"/>
            </w:tcBorders>
            <w:shd w:val="clear" w:color="FFFFFF" w:fill="FFFFFF"/>
            <w:noWrap/>
            <w:vAlign w:val="bottom"/>
            <w:hideMark/>
          </w:tcPr>
          <w:p w14:paraId="27656BFE" w14:textId="77777777" w:rsidR="00E035EA" w:rsidRPr="00834149" w:rsidRDefault="00E035EA" w:rsidP="005C75BA">
            <w:pPr>
              <w:rPr>
                <w:rFonts w:eastAsia="Times New Roman" w:cs="Arial"/>
                <w:b/>
                <w:bCs/>
                <w:color w:val="000000"/>
              </w:rPr>
            </w:pPr>
            <w:r w:rsidRPr="00834149">
              <w:rPr>
                <w:rFonts w:eastAsia="Times New Roman" w:cs="Arial"/>
                <w:b/>
                <w:bCs/>
                <w:color w:val="000000"/>
              </w:rPr>
              <w:t>*GT/RM</w:t>
            </w:r>
          </w:p>
        </w:tc>
        <w:tc>
          <w:tcPr>
            <w:tcW w:w="1024" w:type="dxa"/>
            <w:tcBorders>
              <w:top w:val="nil"/>
              <w:left w:val="nil"/>
              <w:bottom w:val="double" w:sz="6" w:space="0" w:color="000000"/>
              <w:right w:val="nil"/>
            </w:tcBorders>
            <w:shd w:val="clear" w:color="FFFFFF" w:fill="FFFFFF"/>
            <w:noWrap/>
            <w:vAlign w:val="bottom"/>
            <w:hideMark/>
          </w:tcPr>
          <w:p w14:paraId="78ECB75A" w14:textId="77777777" w:rsidR="00E035EA" w:rsidRPr="00834149" w:rsidRDefault="00E035EA" w:rsidP="005C75BA">
            <w:pPr>
              <w:rPr>
                <w:rFonts w:eastAsia="Times New Roman" w:cs="Arial"/>
                <w:b/>
                <w:bCs/>
                <w:color w:val="000000"/>
              </w:rPr>
            </w:pPr>
            <w:r w:rsidRPr="00834149">
              <w:rPr>
                <w:rFonts w:eastAsia="Times New Roman" w:cs="Arial"/>
                <w:b/>
                <w:bCs/>
                <w:color w:val="000000"/>
              </w:rPr>
              <w:t>Participant</w:t>
            </w:r>
          </w:p>
        </w:tc>
        <w:tc>
          <w:tcPr>
            <w:tcW w:w="267" w:type="dxa"/>
            <w:tcBorders>
              <w:top w:val="nil"/>
              <w:left w:val="nil"/>
              <w:bottom w:val="nil"/>
              <w:right w:val="nil"/>
            </w:tcBorders>
            <w:shd w:val="clear" w:color="FFFFFF" w:fill="FFFFFF"/>
            <w:noWrap/>
            <w:vAlign w:val="bottom"/>
            <w:hideMark/>
          </w:tcPr>
          <w:p w14:paraId="2C42EDDC" w14:textId="77777777" w:rsidR="00E035EA" w:rsidRPr="00834149" w:rsidRDefault="00E035EA" w:rsidP="005C75BA">
            <w:pPr>
              <w:rPr>
                <w:rFonts w:eastAsia="Times New Roman" w:cs="Arial"/>
                <w:color w:val="333333"/>
              </w:rPr>
            </w:pPr>
            <w:r w:rsidRPr="00834149">
              <w:rPr>
                <w:rFonts w:eastAsia="Times New Roman" w:cs="Arial"/>
                <w:color w:val="333333"/>
              </w:rPr>
              <w:t> </w:t>
            </w:r>
          </w:p>
        </w:tc>
      </w:tr>
      <w:tr w:rsidR="00E035EA" w:rsidRPr="00434A65" w14:paraId="1CF8706C" w14:textId="77777777" w:rsidTr="005C75BA">
        <w:trPr>
          <w:trHeight w:val="324"/>
        </w:trPr>
        <w:tc>
          <w:tcPr>
            <w:tcW w:w="1779" w:type="dxa"/>
            <w:tcBorders>
              <w:top w:val="nil"/>
              <w:left w:val="nil"/>
              <w:bottom w:val="nil"/>
              <w:right w:val="nil"/>
            </w:tcBorders>
            <w:shd w:val="clear" w:color="FFFFFF" w:fill="F8FBFC"/>
            <w:noWrap/>
            <w:vAlign w:val="bottom"/>
            <w:hideMark/>
          </w:tcPr>
          <w:p w14:paraId="412F70FB" w14:textId="77777777" w:rsidR="00E035EA" w:rsidRPr="00834149" w:rsidRDefault="00E035EA" w:rsidP="005C75BA">
            <w:pPr>
              <w:rPr>
                <w:rFonts w:eastAsia="Times New Roman" w:cs="Arial"/>
                <w:color w:val="000000"/>
              </w:rPr>
            </w:pPr>
            <w:r w:rsidRPr="00834149">
              <w:rPr>
                <w:rFonts w:eastAsia="Times New Roman" w:cs="Arial"/>
                <w:color w:val="000000"/>
              </w:rPr>
              <w:t>FY10</w:t>
            </w:r>
          </w:p>
        </w:tc>
        <w:tc>
          <w:tcPr>
            <w:tcW w:w="1101" w:type="dxa"/>
            <w:tcBorders>
              <w:top w:val="nil"/>
              <w:left w:val="nil"/>
              <w:bottom w:val="nil"/>
              <w:right w:val="nil"/>
            </w:tcBorders>
            <w:shd w:val="clear" w:color="FFFFFF" w:fill="F8FBFC"/>
            <w:noWrap/>
            <w:vAlign w:val="bottom"/>
            <w:hideMark/>
          </w:tcPr>
          <w:p w14:paraId="540E31D0" w14:textId="77777777" w:rsidR="00E035EA" w:rsidRPr="00834149" w:rsidRDefault="00E035EA" w:rsidP="005C75BA">
            <w:pPr>
              <w:rPr>
                <w:rFonts w:eastAsia="Times New Roman" w:cs="Arial"/>
                <w:color w:val="000000"/>
              </w:rPr>
            </w:pPr>
            <w:r w:rsidRPr="00834149">
              <w:rPr>
                <w:rFonts w:eastAsia="Times New Roman" w:cs="Arial"/>
                <w:color w:val="000000"/>
              </w:rPr>
              <w:t>CG TOGO</w:t>
            </w:r>
          </w:p>
        </w:tc>
        <w:tc>
          <w:tcPr>
            <w:tcW w:w="784" w:type="dxa"/>
            <w:tcBorders>
              <w:top w:val="nil"/>
              <w:left w:val="nil"/>
              <w:bottom w:val="nil"/>
              <w:right w:val="nil"/>
            </w:tcBorders>
            <w:shd w:val="clear" w:color="FFFFFF" w:fill="F8FBFC"/>
            <w:noWrap/>
            <w:vAlign w:val="bottom"/>
            <w:hideMark/>
          </w:tcPr>
          <w:p w14:paraId="3F99D03B"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767" w:type="dxa"/>
            <w:tcBorders>
              <w:top w:val="nil"/>
              <w:left w:val="nil"/>
              <w:bottom w:val="nil"/>
              <w:right w:val="nil"/>
            </w:tcBorders>
            <w:shd w:val="clear" w:color="FFFFFF" w:fill="F8FBFC"/>
            <w:noWrap/>
            <w:vAlign w:val="bottom"/>
            <w:hideMark/>
          </w:tcPr>
          <w:p w14:paraId="0AD62ED8" w14:textId="77777777" w:rsidR="00E035EA" w:rsidRPr="00834149" w:rsidRDefault="00E035EA" w:rsidP="005C75BA">
            <w:pPr>
              <w:jc w:val="right"/>
              <w:rPr>
                <w:rFonts w:eastAsia="Times New Roman" w:cs="Arial"/>
                <w:color w:val="000000"/>
              </w:rPr>
            </w:pPr>
            <w:r w:rsidRPr="00834149">
              <w:rPr>
                <w:rFonts w:eastAsia="Times New Roman" w:cs="Arial"/>
                <w:color w:val="000000"/>
              </w:rPr>
              <w:t>4.74</w:t>
            </w:r>
          </w:p>
        </w:tc>
        <w:tc>
          <w:tcPr>
            <w:tcW w:w="969" w:type="dxa"/>
            <w:tcBorders>
              <w:top w:val="nil"/>
              <w:left w:val="nil"/>
              <w:bottom w:val="nil"/>
              <w:right w:val="nil"/>
            </w:tcBorders>
            <w:shd w:val="clear" w:color="FFFFFF" w:fill="F8FBFC"/>
            <w:noWrap/>
            <w:vAlign w:val="bottom"/>
            <w:hideMark/>
          </w:tcPr>
          <w:p w14:paraId="55CFCBEA" w14:textId="77777777" w:rsidR="00E035EA" w:rsidRPr="00834149" w:rsidRDefault="00E035EA" w:rsidP="005C75BA">
            <w:pPr>
              <w:jc w:val="right"/>
              <w:rPr>
                <w:rFonts w:eastAsia="Times New Roman" w:cs="Arial"/>
                <w:color w:val="000000"/>
              </w:rPr>
            </w:pPr>
            <w:r w:rsidRPr="00834149">
              <w:rPr>
                <w:rFonts w:eastAsia="Times New Roman" w:cs="Arial"/>
                <w:color w:val="000000"/>
              </w:rPr>
              <w:t>1.71</w:t>
            </w:r>
          </w:p>
        </w:tc>
        <w:tc>
          <w:tcPr>
            <w:tcW w:w="866" w:type="dxa"/>
            <w:tcBorders>
              <w:top w:val="nil"/>
              <w:left w:val="nil"/>
              <w:bottom w:val="nil"/>
              <w:right w:val="nil"/>
            </w:tcBorders>
            <w:shd w:val="clear" w:color="FFFFFF" w:fill="F8FBFC"/>
            <w:noWrap/>
            <w:vAlign w:val="bottom"/>
            <w:hideMark/>
          </w:tcPr>
          <w:p w14:paraId="1FCEB9BC"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1147" w:type="dxa"/>
            <w:tcBorders>
              <w:top w:val="nil"/>
              <w:left w:val="nil"/>
              <w:bottom w:val="nil"/>
              <w:right w:val="nil"/>
            </w:tcBorders>
            <w:shd w:val="clear" w:color="FFFFFF" w:fill="F8FBFC"/>
            <w:noWrap/>
            <w:vAlign w:val="bottom"/>
            <w:hideMark/>
          </w:tcPr>
          <w:p w14:paraId="58B82016"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267" w:type="dxa"/>
            <w:tcBorders>
              <w:top w:val="nil"/>
              <w:left w:val="nil"/>
              <w:bottom w:val="nil"/>
              <w:right w:val="nil"/>
            </w:tcBorders>
            <w:shd w:val="clear" w:color="FFFFFF" w:fill="F8FBFC"/>
            <w:noWrap/>
            <w:vAlign w:val="bottom"/>
            <w:hideMark/>
          </w:tcPr>
          <w:p w14:paraId="2AB3CE13"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667" w:type="dxa"/>
            <w:tcBorders>
              <w:top w:val="nil"/>
              <w:left w:val="nil"/>
              <w:bottom w:val="nil"/>
              <w:right w:val="nil"/>
            </w:tcBorders>
            <w:shd w:val="clear" w:color="FFFFFF" w:fill="F8FBFC"/>
            <w:noWrap/>
            <w:vAlign w:val="bottom"/>
            <w:hideMark/>
          </w:tcPr>
          <w:p w14:paraId="4EF57FD3"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767" w:type="dxa"/>
            <w:tcBorders>
              <w:top w:val="nil"/>
              <w:left w:val="nil"/>
              <w:bottom w:val="nil"/>
              <w:right w:val="nil"/>
            </w:tcBorders>
            <w:shd w:val="clear" w:color="FFFFFF" w:fill="F8FBFC"/>
            <w:noWrap/>
            <w:vAlign w:val="bottom"/>
            <w:hideMark/>
          </w:tcPr>
          <w:p w14:paraId="3B35A216" w14:textId="77777777" w:rsidR="00E035EA" w:rsidRPr="00834149" w:rsidRDefault="00E035EA" w:rsidP="005C75BA">
            <w:pPr>
              <w:jc w:val="right"/>
              <w:rPr>
                <w:rFonts w:eastAsia="Times New Roman" w:cs="Arial"/>
                <w:color w:val="000000"/>
              </w:rPr>
            </w:pPr>
            <w:r w:rsidRPr="00834149">
              <w:rPr>
                <w:rFonts w:eastAsia="Times New Roman" w:cs="Arial"/>
                <w:color w:val="000000"/>
              </w:rPr>
              <w:t>4.74</w:t>
            </w:r>
          </w:p>
        </w:tc>
        <w:tc>
          <w:tcPr>
            <w:tcW w:w="1056" w:type="dxa"/>
            <w:tcBorders>
              <w:top w:val="nil"/>
              <w:left w:val="nil"/>
              <w:bottom w:val="nil"/>
              <w:right w:val="nil"/>
            </w:tcBorders>
            <w:shd w:val="clear" w:color="FFFFFF" w:fill="F8FBFC"/>
            <w:noWrap/>
            <w:vAlign w:val="bottom"/>
            <w:hideMark/>
          </w:tcPr>
          <w:p w14:paraId="1397F711" w14:textId="77777777" w:rsidR="00E035EA" w:rsidRPr="00834149" w:rsidRDefault="00E035EA" w:rsidP="005C75BA">
            <w:pPr>
              <w:jc w:val="right"/>
              <w:rPr>
                <w:rFonts w:eastAsia="Times New Roman" w:cs="Arial"/>
                <w:color w:val="000000"/>
              </w:rPr>
            </w:pPr>
            <w:r w:rsidRPr="00834149">
              <w:rPr>
                <w:rFonts w:eastAsia="Times New Roman" w:cs="Arial"/>
                <w:color w:val="000000"/>
              </w:rPr>
              <w:t>1.71</w:t>
            </w:r>
          </w:p>
        </w:tc>
        <w:tc>
          <w:tcPr>
            <w:tcW w:w="866" w:type="dxa"/>
            <w:tcBorders>
              <w:top w:val="nil"/>
              <w:left w:val="nil"/>
              <w:bottom w:val="nil"/>
              <w:right w:val="nil"/>
            </w:tcBorders>
            <w:shd w:val="clear" w:color="FFFFFF" w:fill="F8FBFC"/>
            <w:noWrap/>
            <w:vAlign w:val="bottom"/>
            <w:hideMark/>
          </w:tcPr>
          <w:p w14:paraId="47EE0F2F"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1024" w:type="dxa"/>
            <w:tcBorders>
              <w:top w:val="nil"/>
              <w:left w:val="nil"/>
              <w:bottom w:val="nil"/>
              <w:right w:val="nil"/>
            </w:tcBorders>
            <w:shd w:val="clear" w:color="FFFFFF" w:fill="F8FBFC"/>
            <w:noWrap/>
            <w:vAlign w:val="bottom"/>
            <w:hideMark/>
          </w:tcPr>
          <w:p w14:paraId="12C946E8"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267" w:type="dxa"/>
            <w:tcBorders>
              <w:top w:val="nil"/>
              <w:left w:val="nil"/>
              <w:bottom w:val="nil"/>
              <w:right w:val="nil"/>
            </w:tcBorders>
            <w:shd w:val="clear" w:color="FFFFFF" w:fill="FFFFFF"/>
            <w:noWrap/>
            <w:vAlign w:val="bottom"/>
            <w:hideMark/>
          </w:tcPr>
          <w:p w14:paraId="4EB1FB09" w14:textId="77777777" w:rsidR="00E035EA" w:rsidRPr="00834149" w:rsidRDefault="00E035EA" w:rsidP="005C75BA">
            <w:pPr>
              <w:rPr>
                <w:rFonts w:eastAsia="Times New Roman" w:cs="Arial"/>
                <w:color w:val="333333"/>
              </w:rPr>
            </w:pPr>
            <w:r w:rsidRPr="00834149">
              <w:rPr>
                <w:rFonts w:eastAsia="Times New Roman" w:cs="Arial"/>
                <w:color w:val="333333"/>
              </w:rPr>
              <w:t> </w:t>
            </w:r>
          </w:p>
        </w:tc>
      </w:tr>
      <w:tr w:rsidR="00E035EA" w:rsidRPr="00434A65" w14:paraId="73D24AE1" w14:textId="77777777" w:rsidTr="005C75BA">
        <w:trPr>
          <w:trHeight w:val="324"/>
        </w:trPr>
        <w:tc>
          <w:tcPr>
            <w:tcW w:w="1779" w:type="dxa"/>
            <w:tcBorders>
              <w:top w:val="nil"/>
              <w:left w:val="nil"/>
              <w:bottom w:val="nil"/>
              <w:right w:val="nil"/>
            </w:tcBorders>
            <w:shd w:val="clear" w:color="FFFFFF" w:fill="FFFFFF"/>
            <w:noWrap/>
            <w:vAlign w:val="bottom"/>
            <w:hideMark/>
          </w:tcPr>
          <w:p w14:paraId="01FDA526" w14:textId="77777777" w:rsidR="00E035EA" w:rsidRPr="00834149" w:rsidRDefault="00E035EA" w:rsidP="005C75BA">
            <w:pPr>
              <w:rPr>
                <w:rFonts w:eastAsia="Times New Roman" w:cs="Arial"/>
                <w:color w:val="000000"/>
              </w:rPr>
            </w:pPr>
            <w:r w:rsidRPr="00834149">
              <w:rPr>
                <w:rFonts w:eastAsia="Times New Roman" w:cs="Arial"/>
                <w:color w:val="000000"/>
              </w:rPr>
              <w:t>FY11</w:t>
            </w:r>
          </w:p>
        </w:tc>
        <w:tc>
          <w:tcPr>
            <w:tcW w:w="1101" w:type="dxa"/>
            <w:tcBorders>
              <w:top w:val="nil"/>
              <w:left w:val="nil"/>
              <w:bottom w:val="nil"/>
              <w:right w:val="nil"/>
            </w:tcBorders>
            <w:shd w:val="clear" w:color="FFFFFF" w:fill="FFFFFF"/>
            <w:noWrap/>
            <w:vAlign w:val="bottom"/>
            <w:hideMark/>
          </w:tcPr>
          <w:p w14:paraId="7AB541F9" w14:textId="77777777" w:rsidR="00E035EA" w:rsidRPr="00834149" w:rsidRDefault="00E035EA" w:rsidP="005C75BA">
            <w:pPr>
              <w:rPr>
                <w:rFonts w:eastAsia="Times New Roman" w:cs="Arial"/>
                <w:color w:val="000000"/>
              </w:rPr>
            </w:pPr>
            <w:r w:rsidRPr="00834149">
              <w:rPr>
                <w:rFonts w:eastAsia="Times New Roman" w:cs="Arial"/>
                <w:color w:val="000000"/>
              </w:rPr>
              <w:t>LCT</w:t>
            </w:r>
          </w:p>
        </w:tc>
        <w:tc>
          <w:tcPr>
            <w:tcW w:w="784" w:type="dxa"/>
            <w:tcBorders>
              <w:top w:val="nil"/>
              <w:left w:val="nil"/>
              <w:bottom w:val="nil"/>
              <w:right w:val="nil"/>
            </w:tcBorders>
            <w:shd w:val="clear" w:color="FFFFFF" w:fill="FFFFFF"/>
            <w:noWrap/>
            <w:vAlign w:val="bottom"/>
            <w:hideMark/>
          </w:tcPr>
          <w:p w14:paraId="16B0DCE1" w14:textId="77777777" w:rsidR="00E035EA" w:rsidRPr="00834149" w:rsidRDefault="00E035EA" w:rsidP="005C75BA">
            <w:pPr>
              <w:jc w:val="right"/>
              <w:rPr>
                <w:rFonts w:eastAsia="Times New Roman" w:cs="Arial"/>
                <w:color w:val="000000"/>
              </w:rPr>
            </w:pPr>
            <w:r w:rsidRPr="00834149">
              <w:rPr>
                <w:rFonts w:eastAsia="Times New Roman" w:cs="Arial"/>
                <w:color w:val="000000"/>
              </w:rPr>
              <w:t>80.28</w:t>
            </w:r>
          </w:p>
        </w:tc>
        <w:tc>
          <w:tcPr>
            <w:tcW w:w="767" w:type="dxa"/>
            <w:tcBorders>
              <w:top w:val="nil"/>
              <w:left w:val="nil"/>
              <w:bottom w:val="nil"/>
              <w:right w:val="nil"/>
            </w:tcBorders>
            <w:shd w:val="clear" w:color="FFFFFF" w:fill="FFFFFF"/>
            <w:noWrap/>
            <w:vAlign w:val="bottom"/>
            <w:hideMark/>
          </w:tcPr>
          <w:p w14:paraId="1A16720A"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969" w:type="dxa"/>
            <w:tcBorders>
              <w:top w:val="nil"/>
              <w:left w:val="nil"/>
              <w:bottom w:val="nil"/>
              <w:right w:val="nil"/>
            </w:tcBorders>
            <w:shd w:val="clear" w:color="FFFFFF" w:fill="FFFFFF"/>
            <w:noWrap/>
            <w:vAlign w:val="bottom"/>
            <w:hideMark/>
          </w:tcPr>
          <w:p w14:paraId="6A21BC5A"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866" w:type="dxa"/>
            <w:tcBorders>
              <w:top w:val="nil"/>
              <w:left w:val="nil"/>
              <w:bottom w:val="nil"/>
              <w:right w:val="nil"/>
            </w:tcBorders>
            <w:shd w:val="clear" w:color="FFFFFF" w:fill="FFFFFF"/>
            <w:noWrap/>
            <w:vAlign w:val="bottom"/>
            <w:hideMark/>
          </w:tcPr>
          <w:p w14:paraId="2B43B6EB"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1147" w:type="dxa"/>
            <w:tcBorders>
              <w:top w:val="nil"/>
              <w:left w:val="nil"/>
              <w:bottom w:val="nil"/>
              <w:right w:val="nil"/>
            </w:tcBorders>
            <w:shd w:val="clear" w:color="FFFFFF" w:fill="FFFFFF"/>
            <w:noWrap/>
            <w:vAlign w:val="bottom"/>
            <w:hideMark/>
          </w:tcPr>
          <w:p w14:paraId="5FCD1043"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267" w:type="dxa"/>
            <w:tcBorders>
              <w:top w:val="nil"/>
              <w:left w:val="nil"/>
              <w:bottom w:val="nil"/>
              <w:right w:val="nil"/>
            </w:tcBorders>
            <w:shd w:val="clear" w:color="FFFFFF" w:fill="FFFFFF"/>
            <w:noWrap/>
            <w:vAlign w:val="bottom"/>
            <w:hideMark/>
          </w:tcPr>
          <w:p w14:paraId="58F5D1B3"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667" w:type="dxa"/>
            <w:tcBorders>
              <w:top w:val="nil"/>
              <w:left w:val="nil"/>
              <w:bottom w:val="nil"/>
              <w:right w:val="nil"/>
            </w:tcBorders>
            <w:shd w:val="clear" w:color="FFFFFF" w:fill="FFFFFF"/>
            <w:noWrap/>
            <w:vAlign w:val="bottom"/>
            <w:hideMark/>
          </w:tcPr>
          <w:p w14:paraId="697AA76D" w14:textId="77777777" w:rsidR="00E035EA" w:rsidRPr="00834149" w:rsidRDefault="00E035EA" w:rsidP="005C75BA">
            <w:pPr>
              <w:jc w:val="right"/>
              <w:rPr>
                <w:rFonts w:eastAsia="Times New Roman" w:cs="Arial"/>
                <w:color w:val="000000"/>
              </w:rPr>
            </w:pPr>
            <w:r w:rsidRPr="00834149">
              <w:rPr>
                <w:rFonts w:eastAsia="Times New Roman" w:cs="Arial"/>
                <w:color w:val="000000"/>
              </w:rPr>
              <w:t>80.28</w:t>
            </w:r>
          </w:p>
        </w:tc>
        <w:tc>
          <w:tcPr>
            <w:tcW w:w="767" w:type="dxa"/>
            <w:tcBorders>
              <w:top w:val="nil"/>
              <w:left w:val="nil"/>
              <w:bottom w:val="nil"/>
              <w:right w:val="nil"/>
            </w:tcBorders>
            <w:shd w:val="clear" w:color="FFFFFF" w:fill="FFFFFF"/>
            <w:noWrap/>
            <w:vAlign w:val="bottom"/>
            <w:hideMark/>
          </w:tcPr>
          <w:p w14:paraId="2175F3EA"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1056" w:type="dxa"/>
            <w:tcBorders>
              <w:top w:val="nil"/>
              <w:left w:val="nil"/>
              <w:bottom w:val="nil"/>
              <w:right w:val="nil"/>
            </w:tcBorders>
            <w:shd w:val="clear" w:color="FFFFFF" w:fill="FFFFFF"/>
            <w:noWrap/>
            <w:vAlign w:val="bottom"/>
            <w:hideMark/>
          </w:tcPr>
          <w:p w14:paraId="451B2063"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866" w:type="dxa"/>
            <w:tcBorders>
              <w:top w:val="nil"/>
              <w:left w:val="nil"/>
              <w:bottom w:val="nil"/>
              <w:right w:val="nil"/>
            </w:tcBorders>
            <w:shd w:val="clear" w:color="FFFFFF" w:fill="FFFFFF"/>
            <w:noWrap/>
            <w:vAlign w:val="bottom"/>
            <w:hideMark/>
          </w:tcPr>
          <w:p w14:paraId="3CB661A3"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1024" w:type="dxa"/>
            <w:tcBorders>
              <w:top w:val="nil"/>
              <w:left w:val="nil"/>
              <w:bottom w:val="nil"/>
              <w:right w:val="nil"/>
            </w:tcBorders>
            <w:shd w:val="clear" w:color="FFFFFF" w:fill="FFFFFF"/>
            <w:noWrap/>
            <w:vAlign w:val="bottom"/>
            <w:hideMark/>
          </w:tcPr>
          <w:p w14:paraId="3BCC84BB"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267" w:type="dxa"/>
            <w:tcBorders>
              <w:top w:val="nil"/>
              <w:left w:val="nil"/>
              <w:bottom w:val="nil"/>
              <w:right w:val="nil"/>
            </w:tcBorders>
            <w:shd w:val="clear" w:color="FFFFFF" w:fill="FFFFFF"/>
            <w:noWrap/>
            <w:vAlign w:val="bottom"/>
            <w:hideMark/>
          </w:tcPr>
          <w:p w14:paraId="300CBD98" w14:textId="77777777" w:rsidR="00E035EA" w:rsidRPr="00834149" w:rsidRDefault="00E035EA" w:rsidP="005C75BA">
            <w:pPr>
              <w:rPr>
                <w:rFonts w:eastAsia="Times New Roman" w:cs="Arial"/>
                <w:color w:val="333333"/>
              </w:rPr>
            </w:pPr>
            <w:r w:rsidRPr="00834149">
              <w:rPr>
                <w:rFonts w:eastAsia="Times New Roman" w:cs="Arial"/>
                <w:color w:val="333333"/>
              </w:rPr>
              <w:t> </w:t>
            </w:r>
          </w:p>
        </w:tc>
      </w:tr>
      <w:tr w:rsidR="00E035EA" w:rsidRPr="00434A65" w14:paraId="31E3CAE0" w14:textId="77777777" w:rsidTr="005C75BA">
        <w:trPr>
          <w:trHeight w:val="324"/>
        </w:trPr>
        <w:tc>
          <w:tcPr>
            <w:tcW w:w="1779" w:type="dxa"/>
            <w:tcBorders>
              <w:top w:val="nil"/>
              <w:left w:val="nil"/>
              <w:bottom w:val="nil"/>
              <w:right w:val="nil"/>
            </w:tcBorders>
            <w:shd w:val="clear" w:color="FFFFFF" w:fill="F8FBFC"/>
            <w:noWrap/>
            <w:vAlign w:val="bottom"/>
            <w:hideMark/>
          </w:tcPr>
          <w:p w14:paraId="658F91B2" w14:textId="77777777" w:rsidR="00E035EA" w:rsidRPr="00834149" w:rsidRDefault="00E035EA" w:rsidP="005C75BA">
            <w:pPr>
              <w:rPr>
                <w:rFonts w:eastAsia="Times New Roman" w:cs="Arial"/>
                <w:color w:val="000000"/>
              </w:rPr>
            </w:pPr>
            <w:r w:rsidRPr="00834149">
              <w:rPr>
                <w:rFonts w:eastAsia="Times New Roman" w:cs="Arial"/>
                <w:color w:val="000000"/>
              </w:rPr>
              <w:t>FY15</w:t>
            </w:r>
          </w:p>
        </w:tc>
        <w:tc>
          <w:tcPr>
            <w:tcW w:w="1101" w:type="dxa"/>
            <w:tcBorders>
              <w:top w:val="nil"/>
              <w:left w:val="nil"/>
              <w:bottom w:val="nil"/>
              <w:right w:val="nil"/>
            </w:tcBorders>
            <w:shd w:val="clear" w:color="FFFFFF" w:fill="F8FBFC"/>
            <w:noWrap/>
            <w:vAlign w:val="bottom"/>
            <w:hideMark/>
          </w:tcPr>
          <w:p w14:paraId="4FD55286" w14:textId="77777777" w:rsidR="00E035EA" w:rsidRPr="00834149" w:rsidRDefault="00E035EA" w:rsidP="005C75BA">
            <w:pPr>
              <w:rPr>
                <w:rFonts w:eastAsia="Times New Roman" w:cs="Arial"/>
                <w:color w:val="000000"/>
              </w:rPr>
            </w:pPr>
            <w:r w:rsidRPr="00834149">
              <w:rPr>
                <w:rFonts w:eastAsia="Times New Roman" w:cs="Arial"/>
                <w:color w:val="000000"/>
              </w:rPr>
              <w:t>LCT</w:t>
            </w:r>
          </w:p>
        </w:tc>
        <w:tc>
          <w:tcPr>
            <w:tcW w:w="784" w:type="dxa"/>
            <w:tcBorders>
              <w:top w:val="nil"/>
              <w:left w:val="nil"/>
              <w:bottom w:val="nil"/>
              <w:right w:val="nil"/>
            </w:tcBorders>
            <w:shd w:val="clear" w:color="FFFFFF" w:fill="F8FBFC"/>
            <w:noWrap/>
            <w:vAlign w:val="bottom"/>
            <w:hideMark/>
          </w:tcPr>
          <w:p w14:paraId="45CBB7FF" w14:textId="77777777" w:rsidR="00E035EA" w:rsidRPr="00834149" w:rsidRDefault="00E035EA" w:rsidP="005C75BA">
            <w:pPr>
              <w:jc w:val="right"/>
              <w:rPr>
                <w:rFonts w:eastAsia="Times New Roman" w:cs="Arial"/>
                <w:color w:val="000000"/>
              </w:rPr>
            </w:pPr>
            <w:r w:rsidRPr="00834149">
              <w:rPr>
                <w:rFonts w:eastAsia="Times New Roman" w:cs="Arial"/>
                <w:color w:val="000000"/>
              </w:rPr>
              <w:t>9.89</w:t>
            </w:r>
          </w:p>
        </w:tc>
        <w:tc>
          <w:tcPr>
            <w:tcW w:w="767" w:type="dxa"/>
            <w:tcBorders>
              <w:top w:val="nil"/>
              <w:left w:val="nil"/>
              <w:bottom w:val="nil"/>
              <w:right w:val="nil"/>
            </w:tcBorders>
            <w:shd w:val="clear" w:color="FFFFFF" w:fill="F8FBFC"/>
            <w:noWrap/>
            <w:vAlign w:val="bottom"/>
            <w:hideMark/>
          </w:tcPr>
          <w:p w14:paraId="335E78E5"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969" w:type="dxa"/>
            <w:tcBorders>
              <w:top w:val="nil"/>
              <w:left w:val="nil"/>
              <w:bottom w:val="nil"/>
              <w:right w:val="nil"/>
            </w:tcBorders>
            <w:shd w:val="clear" w:color="FFFFFF" w:fill="F8FBFC"/>
            <w:noWrap/>
            <w:vAlign w:val="bottom"/>
            <w:hideMark/>
          </w:tcPr>
          <w:p w14:paraId="4A50B911"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866" w:type="dxa"/>
            <w:tcBorders>
              <w:top w:val="nil"/>
              <w:left w:val="nil"/>
              <w:bottom w:val="nil"/>
              <w:right w:val="nil"/>
            </w:tcBorders>
            <w:shd w:val="clear" w:color="FFFFFF" w:fill="F8FBFC"/>
            <w:noWrap/>
            <w:vAlign w:val="bottom"/>
            <w:hideMark/>
          </w:tcPr>
          <w:p w14:paraId="15D88CC8"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1147" w:type="dxa"/>
            <w:tcBorders>
              <w:top w:val="nil"/>
              <w:left w:val="nil"/>
              <w:bottom w:val="nil"/>
              <w:right w:val="nil"/>
            </w:tcBorders>
            <w:shd w:val="clear" w:color="FFFFFF" w:fill="F8FBFC"/>
            <w:noWrap/>
            <w:vAlign w:val="bottom"/>
            <w:hideMark/>
          </w:tcPr>
          <w:p w14:paraId="2F9D92B3"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267" w:type="dxa"/>
            <w:tcBorders>
              <w:top w:val="nil"/>
              <w:left w:val="nil"/>
              <w:bottom w:val="nil"/>
              <w:right w:val="nil"/>
            </w:tcBorders>
            <w:shd w:val="clear" w:color="FFFFFF" w:fill="F8FBFC"/>
            <w:noWrap/>
            <w:vAlign w:val="bottom"/>
            <w:hideMark/>
          </w:tcPr>
          <w:p w14:paraId="4B119FCA" w14:textId="77777777" w:rsidR="00E035EA" w:rsidRPr="00834149" w:rsidRDefault="00E035EA" w:rsidP="005C75BA">
            <w:pPr>
              <w:rPr>
                <w:rFonts w:eastAsia="Times New Roman" w:cs="Arial"/>
                <w:color w:val="333333"/>
              </w:rPr>
            </w:pPr>
            <w:r w:rsidRPr="00834149">
              <w:rPr>
                <w:rFonts w:eastAsia="Times New Roman" w:cs="Arial"/>
                <w:color w:val="333333"/>
              </w:rPr>
              <w:t> </w:t>
            </w:r>
          </w:p>
        </w:tc>
        <w:tc>
          <w:tcPr>
            <w:tcW w:w="667" w:type="dxa"/>
            <w:tcBorders>
              <w:top w:val="nil"/>
              <w:left w:val="nil"/>
              <w:bottom w:val="nil"/>
              <w:right w:val="nil"/>
            </w:tcBorders>
            <w:shd w:val="clear" w:color="FFFFFF" w:fill="F8FBFC"/>
            <w:noWrap/>
            <w:vAlign w:val="bottom"/>
            <w:hideMark/>
          </w:tcPr>
          <w:p w14:paraId="7E2BDC26" w14:textId="77777777" w:rsidR="00E035EA" w:rsidRPr="00834149" w:rsidRDefault="00E035EA" w:rsidP="005C75BA">
            <w:pPr>
              <w:jc w:val="right"/>
              <w:rPr>
                <w:rFonts w:eastAsia="Times New Roman" w:cs="Arial"/>
                <w:color w:val="000000"/>
              </w:rPr>
            </w:pPr>
            <w:r w:rsidRPr="00834149">
              <w:rPr>
                <w:rFonts w:eastAsia="Times New Roman" w:cs="Arial"/>
                <w:color w:val="000000"/>
              </w:rPr>
              <w:t>9.89</w:t>
            </w:r>
          </w:p>
        </w:tc>
        <w:tc>
          <w:tcPr>
            <w:tcW w:w="767" w:type="dxa"/>
            <w:tcBorders>
              <w:top w:val="nil"/>
              <w:left w:val="nil"/>
              <w:bottom w:val="nil"/>
              <w:right w:val="nil"/>
            </w:tcBorders>
            <w:shd w:val="clear" w:color="FFFFFF" w:fill="F8FBFC"/>
            <w:noWrap/>
            <w:vAlign w:val="bottom"/>
            <w:hideMark/>
          </w:tcPr>
          <w:p w14:paraId="73A9A0DA"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1056" w:type="dxa"/>
            <w:tcBorders>
              <w:top w:val="nil"/>
              <w:left w:val="nil"/>
              <w:bottom w:val="nil"/>
              <w:right w:val="nil"/>
            </w:tcBorders>
            <w:shd w:val="clear" w:color="FFFFFF" w:fill="F8FBFC"/>
            <w:noWrap/>
            <w:vAlign w:val="bottom"/>
            <w:hideMark/>
          </w:tcPr>
          <w:p w14:paraId="4D8CBF8F"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866" w:type="dxa"/>
            <w:tcBorders>
              <w:top w:val="nil"/>
              <w:left w:val="nil"/>
              <w:bottom w:val="nil"/>
              <w:right w:val="nil"/>
            </w:tcBorders>
            <w:shd w:val="clear" w:color="FFFFFF" w:fill="F8FBFC"/>
            <w:noWrap/>
            <w:vAlign w:val="bottom"/>
            <w:hideMark/>
          </w:tcPr>
          <w:p w14:paraId="2B9DAE3D"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1024" w:type="dxa"/>
            <w:tcBorders>
              <w:top w:val="nil"/>
              <w:left w:val="nil"/>
              <w:bottom w:val="nil"/>
              <w:right w:val="nil"/>
            </w:tcBorders>
            <w:shd w:val="clear" w:color="FFFFFF" w:fill="F8FBFC"/>
            <w:noWrap/>
            <w:vAlign w:val="bottom"/>
            <w:hideMark/>
          </w:tcPr>
          <w:p w14:paraId="5B32131B" w14:textId="77777777" w:rsidR="00E035EA" w:rsidRPr="00834149" w:rsidRDefault="00E035EA" w:rsidP="005C75BA">
            <w:pPr>
              <w:jc w:val="right"/>
              <w:rPr>
                <w:rFonts w:eastAsia="Times New Roman" w:cs="Arial"/>
                <w:color w:val="000000"/>
              </w:rPr>
            </w:pPr>
            <w:r w:rsidRPr="00834149">
              <w:rPr>
                <w:rFonts w:eastAsia="Times New Roman" w:cs="Arial"/>
                <w:color w:val="000000"/>
              </w:rPr>
              <w:t>0.00</w:t>
            </w:r>
          </w:p>
        </w:tc>
        <w:tc>
          <w:tcPr>
            <w:tcW w:w="267" w:type="dxa"/>
            <w:tcBorders>
              <w:top w:val="nil"/>
              <w:left w:val="nil"/>
              <w:bottom w:val="nil"/>
              <w:right w:val="nil"/>
            </w:tcBorders>
            <w:shd w:val="clear" w:color="FFFFFF" w:fill="FFFFFF"/>
            <w:noWrap/>
            <w:vAlign w:val="bottom"/>
            <w:hideMark/>
          </w:tcPr>
          <w:p w14:paraId="2B13CE73" w14:textId="77777777" w:rsidR="00E035EA" w:rsidRPr="00834149" w:rsidRDefault="00E035EA" w:rsidP="005C75BA">
            <w:pPr>
              <w:rPr>
                <w:rFonts w:eastAsia="Times New Roman" w:cs="Arial"/>
                <w:color w:val="333333"/>
              </w:rPr>
            </w:pPr>
            <w:r w:rsidRPr="00834149">
              <w:rPr>
                <w:rFonts w:eastAsia="Times New Roman" w:cs="Arial"/>
                <w:color w:val="333333"/>
              </w:rPr>
              <w:t> </w:t>
            </w:r>
          </w:p>
        </w:tc>
      </w:tr>
      <w:tr w:rsidR="00E035EA" w:rsidRPr="00434A65" w14:paraId="0C064F47" w14:textId="77777777" w:rsidTr="005C75BA">
        <w:trPr>
          <w:trHeight w:val="324"/>
        </w:trPr>
        <w:tc>
          <w:tcPr>
            <w:tcW w:w="2880" w:type="dxa"/>
            <w:gridSpan w:val="2"/>
            <w:tcBorders>
              <w:top w:val="single" w:sz="4" w:space="0" w:color="000000"/>
              <w:left w:val="nil"/>
              <w:bottom w:val="single" w:sz="12" w:space="0" w:color="000000"/>
              <w:right w:val="nil"/>
            </w:tcBorders>
            <w:shd w:val="clear" w:color="FFFFFF" w:fill="FFFFFF"/>
            <w:noWrap/>
            <w:vAlign w:val="bottom"/>
            <w:hideMark/>
          </w:tcPr>
          <w:p w14:paraId="0AEAB697" w14:textId="77777777" w:rsidR="00E035EA" w:rsidRPr="00834149" w:rsidRDefault="00E035EA" w:rsidP="005C75BA">
            <w:pPr>
              <w:rPr>
                <w:rFonts w:eastAsia="Times New Roman" w:cs="Arial"/>
                <w:b/>
                <w:bCs/>
                <w:color w:val="000000"/>
              </w:rPr>
            </w:pPr>
            <w:r w:rsidRPr="00834149">
              <w:rPr>
                <w:rFonts w:eastAsia="Times New Roman" w:cs="Arial"/>
                <w:b/>
                <w:bCs/>
                <w:color w:val="000000"/>
              </w:rPr>
              <w:t>Total Portfolio:</w:t>
            </w:r>
          </w:p>
        </w:tc>
        <w:tc>
          <w:tcPr>
            <w:tcW w:w="784" w:type="dxa"/>
            <w:tcBorders>
              <w:top w:val="single" w:sz="4" w:space="0" w:color="000000"/>
              <w:left w:val="nil"/>
              <w:bottom w:val="single" w:sz="12" w:space="0" w:color="000000"/>
              <w:right w:val="nil"/>
            </w:tcBorders>
            <w:shd w:val="clear" w:color="FFFFFF" w:fill="FFFFFF"/>
            <w:noWrap/>
            <w:vAlign w:val="bottom"/>
            <w:hideMark/>
          </w:tcPr>
          <w:p w14:paraId="696B6FB5" w14:textId="77777777" w:rsidR="00E035EA" w:rsidRPr="00834149" w:rsidRDefault="00E035EA" w:rsidP="005C75BA">
            <w:pPr>
              <w:jc w:val="right"/>
              <w:rPr>
                <w:rFonts w:eastAsia="Times New Roman" w:cs="Arial"/>
                <w:b/>
                <w:bCs/>
                <w:color w:val="000000"/>
              </w:rPr>
            </w:pPr>
            <w:r w:rsidRPr="00834149">
              <w:rPr>
                <w:rFonts w:eastAsia="Times New Roman" w:cs="Arial"/>
                <w:b/>
                <w:bCs/>
                <w:color w:val="000000"/>
              </w:rPr>
              <w:t>90.17</w:t>
            </w:r>
          </w:p>
        </w:tc>
        <w:tc>
          <w:tcPr>
            <w:tcW w:w="767" w:type="dxa"/>
            <w:tcBorders>
              <w:top w:val="single" w:sz="4" w:space="0" w:color="000000"/>
              <w:left w:val="nil"/>
              <w:bottom w:val="single" w:sz="12" w:space="0" w:color="000000"/>
              <w:right w:val="nil"/>
            </w:tcBorders>
            <w:shd w:val="clear" w:color="FFFFFF" w:fill="FFFFFF"/>
            <w:noWrap/>
            <w:vAlign w:val="bottom"/>
            <w:hideMark/>
          </w:tcPr>
          <w:p w14:paraId="59A95D13" w14:textId="77777777" w:rsidR="00E035EA" w:rsidRPr="00834149" w:rsidRDefault="00E035EA" w:rsidP="005C75BA">
            <w:pPr>
              <w:jc w:val="right"/>
              <w:rPr>
                <w:rFonts w:eastAsia="Times New Roman" w:cs="Arial"/>
                <w:b/>
                <w:bCs/>
                <w:color w:val="000000"/>
              </w:rPr>
            </w:pPr>
            <w:r w:rsidRPr="00834149">
              <w:rPr>
                <w:rFonts w:eastAsia="Times New Roman" w:cs="Arial"/>
                <w:b/>
                <w:bCs/>
                <w:color w:val="000000"/>
              </w:rPr>
              <w:t>4.74</w:t>
            </w:r>
          </w:p>
        </w:tc>
        <w:tc>
          <w:tcPr>
            <w:tcW w:w="969" w:type="dxa"/>
            <w:tcBorders>
              <w:top w:val="single" w:sz="4" w:space="0" w:color="000000"/>
              <w:left w:val="nil"/>
              <w:bottom w:val="single" w:sz="12" w:space="0" w:color="000000"/>
              <w:right w:val="nil"/>
            </w:tcBorders>
            <w:shd w:val="clear" w:color="FFFFFF" w:fill="FFFFFF"/>
            <w:noWrap/>
            <w:vAlign w:val="bottom"/>
            <w:hideMark/>
          </w:tcPr>
          <w:p w14:paraId="51649870" w14:textId="77777777" w:rsidR="00E035EA" w:rsidRPr="00834149" w:rsidRDefault="00E035EA" w:rsidP="005C75BA">
            <w:pPr>
              <w:jc w:val="right"/>
              <w:rPr>
                <w:rFonts w:eastAsia="Times New Roman" w:cs="Arial"/>
                <w:b/>
                <w:bCs/>
                <w:color w:val="000000"/>
              </w:rPr>
            </w:pPr>
            <w:r w:rsidRPr="00834149">
              <w:rPr>
                <w:rFonts w:eastAsia="Times New Roman" w:cs="Arial"/>
                <w:b/>
                <w:bCs/>
                <w:color w:val="000000"/>
              </w:rPr>
              <w:t>1.71</w:t>
            </w:r>
          </w:p>
        </w:tc>
        <w:tc>
          <w:tcPr>
            <w:tcW w:w="866" w:type="dxa"/>
            <w:tcBorders>
              <w:top w:val="single" w:sz="4" w:space="0" w:color="000000"/>
              <w:left w:val="nil"/>
              <w:bottom w:val="single" w:sz="12" w:space="0" w:color="000000"/>
              <w:right w:val="nil"/>
            </w:tcBorders>
            <w:shd w:val="clear" w:color="FFFFFF" w:fill="FFFFFF"/>
            <w:noWrap/>
            <w:vAlign w:val="bottom"/>
            <w:hideMark/>
          </w:tcPr>
          <w:p w14:paraId="1B38E82B" w14:textId="77777777" w:rsidR="00E035EA" w:rsidRPr="00834149" w:rsidRDefault="00E035EA" w:rsidP="005C75BA">
            <w:pPr>
              <w:jc w:val="right"/>
              <w:rPr>
                <w:rFonts w:eastAsia="Times New Roman" w:cs="Arial"/>
                <w:b/>
                <w:bCs/>
                <w:color w:val="000000"/>
              </w:rPr>
            </w:pPr>
            <w:r w:rsidRPr="00834149">
              <w:rPr>
                <w:rFonts w:eastAsia="Times New Roman" w:cs="Arial"/>
                <w:b/>
                <w:bCs/>
                <w:color w:val="000000"/>
              </w:rPr>
              <w:t>0.00</w:t>
            </w:r>
          </w:p>
        </w:tc>
        <w:tc>
          <w:tcPr>
            <w:tcW w:w="1147" w:type="dxa"/>
            <w:tcBorders>
              <w:top w:val="single" w:sz="4" w:space="0" w:color="000000"/>
              <w:left w:val="nil"/>
              <w:bottom w:val="single" w:sz="12" w:space="0" w:color="000000"/>
              <w:right w:val="nil"/>
            </w:tcBorders>
            <w:shd w:val="clear" w:color="FFFFFF" w:fill="FFFFFF"/>
            <w:noWrap/>
            <w:vAlign w:val="bottom"/>
            <w:hideMark/>
          </w:tcPr>
          <w:p w14:paraId="712F672D" w14:textId="77777777" w:rsidR="00E035EA" w:rsidRPr="00834149" w:rsidRDefault="00E035EA" w:rsidP="005C75BA">
            <w:pPr>
              <w:jc w:val="right"/>
              <w:rPr>
                <w:rFonts w:eastAsia="Times New Roman" w:cs="Arial"/>
                <w:b/>
                <w:bCs/>
                <w:color w:val="000000"/>
              </w:rPr>
            </w:pPr>
            <w:r w:rsidRPr="00834149">
              <w:rPr>
                <w:rFonts w:eastAsia="Times New Roman" w:cs="Arial"/>
                <w:b/>
                <w:bCs/>
                <w:color w:val="000000"/>
              </w:rPr>
              <w:t>0.00</w:t>
            </w:r>
          </w:p>
        </w:tc>
        <w:tc>
          <w:tcPr>
            <w:tcW w:w="267" w:type="dxa"/>
            <w:tcBorders>
              <w:top w:val="single" w:sz="4" w:space="0" w:color="000000"/>
              <w:left w:val="nil"/>
              <w:bottom w:val="single" w:sz="12" w:space="0" w:color="000000"/>
              <w:right w:val="nil"/>
            </w:tcBorders>
            <w:shd w:val="clear" w:color="FFFFFF" w:fill="FFFFFF"/>
            <w:noWrap/>
            <w:vAlign w:val="bottom"/>
            <w:hideMark/>
          </w:tcPr>
          <w:p w14:paraId="429613F9" w14:textId="77777777" w:rsidR="00E035EA" w:rsidRPr="00834149" w:rsidRDefault="00E035EA" w:rsidP="005C75BA">
            <w:pPr>
              <w:rPr>
                <w:rFonts w:eastAsia="Times New Roman" w:cs="Arial"/>
                <w:b/>
                <w:bCs/>
                <w:color w:val="333333"/>
              </w:rPr>
            </w:pPr>
            <w:r w:rsidRPr="00834149">
              <w:rPr>
                <w:rFonts w:eastAsia="Times New Roman" w:cs="Arial"/>
                <w:b/>
                <w:bCs/>
                <w:color w:val="333333"/>
              </w:rPr>
              <w:t> </w:t>
            </w:r>
          </w:p>
        </w:tc>
        <w:tc>
          <w:tcPr>
            <w:tcW w:w="667" w:type="dxa"/>
            <w:tcBorders>
              <w:top w:val="single" w:sz="4" w:space="0" w:color="000000"/>
              <w:left w:val="nil"/>
              <w:bottom w:val="single" w:sz="12" w:space="0" w:color="000000"/>
              <w:right w:val="nil"/>
            </w:tcBorders>
            <w:shd w:val="clear" w:color="FFFFFF" w:fill="FFFFFF"/>
            <w:noWrap/>
            <w:vAlign w:val="bottom"/>
            <w:hideMark/>
          </w:tcPr>
          <w:p w14:paraId="1288FD38" w14:textId="77777777" w:rsidR="00E035EA" w:rsidRPr="00834149" w:rsidRDefault="00E035EA" w:rsidP="005C75BA">
            <w:pPr>
              <w:jc w:val="right"/>
              <w:rPr>
                <w:rFonts w:eastAsia="Times New Roman" w:cs="Arial"/>
                <w:b/>
                <w:bCs/>
                <w:color w:val="000000"/>
              </w:rPr>
            </w:pPr>
            <w:r w:rsidRPr="00834149">
              <w:rPr>
                <w:rFonts w:eastAsia="Times New Roman" w:cs="Arial"/>
                <w:b/>
                <w:bCs/>
                <w:color w:val="000000"/>
              </w:rPr>
              <w:t>90.17</w:t>
            </w:r>
          </w:p>
        </w:tc>
        <w:tc>
          <w:tcPr>
            <w:tcW w:w="767" w:type="dxa"/>
            <w:tcBorders>
              <w:top w:val="single" w:sz="4" w:space="0" w:color="000000"/>
              <w:left w:val="nil"/>
              <w:bottom w:val="single" w:sz="12" w:space="0" w:color="000000"/>
              <w:right w:val="nil"/>
            </w:tcBorders>
            <w:shd w:val="clear" w:color="FFFFFF" w:fill="FFFFFF"/>
            <w:noWrap/>
            <w:vAlign w:val="bottom"/>
            <w:hideMark/>
          </w:tcPr>
          <w:p w14:paraId="2C6704F1" w14:textId="77777777" w:rsidR="00E035EA" w:rsidRPr="00834149" w:rsidRDefault="00E035EA" w:rsidP="005C75BA">
            <w:pPr>
              <w:jc w:val="right"/>
              <w:rPr>
                <w:rFonts w:eastAsia="Times New Roman" w:cs="Arial"/>
                <w:b/>
                <w:bCs/>
                <w:color w:val="000000"/>
              </w:rPr>
            </w:pPr>
            <w:r w:rsidRPr="00834149">
              <w:rPr>
                <w:rFonts w:eastAsia="Times New Roman" w:cs="Arial"/>
                <w:b/>
                <w:bCs/>
                <w:color w:val="000000"/>
              </w:rPr>
              <w:t>4.74</w:t>
            </w:r>
          </w:p>
        </w:tc>
        <w:tc>
          <w:tcPr>
            <w:tcW w:w="1056" w:type="dxa"/>
            <w:tcBorders>
              <w:top w:val="single" w:sz="4" w:space="0" w:color="000000"/>
              <w:left w:val="nil"/>
              <w:bottom w:val="single" w:sz="12" w:space="0" w:color="000000"/>
              <w:right w:val="nil"/>
            </w:tcBorders>
            <w:shd w:val="clear" w:color="FFFFFF" w:fill="FFFFFF"/>
            <w:noWrap/>
            <w:vAlign w:val="bottom"/>
            <w:hideMark/>
          </w:tcPr>
          <w:p w14:paraId="073562DA" w14:textId="77777777" w:rsidR="00E035EA" w:rsidRPr="00834149" w:rsidRDefault="00E035EA" w:rsidP="005C75BA">
            <w:pPr>
              <w:jc w:val="right"/>
              <w:rPr>
                <w:rFonts w:eastAsia="Times New Roman" w:cs="Arial"/>
                <w:b/>
                <w:bCs/>
                <w:color w:val="000000"/>
              </w:rPr>
            </w:pPr>
            <w:r w:rsidRPr="00834149">
              <w:rPr>
                <w:rFonts w:eastAsia="Times New Roman" w:cs="Arial"/>
                <w:b/>
                <w:bCs/>
                <w:color w:val="000000"/>
              </w:rPr>
              <w:t>1.71</w:t>
            </w:r>
          </w:p>
        </w:tc>
        <w:tc>
          <w:tcPr>
            <w:tcW w:w="866" w:type="dxa"/>
            <w:tcBorders>
              <w:top w:val="single" w:sz="4" w:space="0" w:color="000000"/>
              <w:left w:val="nil"/>
              <w:bottom w:val="single" w:sz="12" w:space="0" w:color="000000"/>
              <w:right w:val="nil"/>
            </w:tcBorders>
            <w:shd w:val="clear" w:color="FFFFFF" w:fill="FFFFFF"/>
            <w:noWrap/>
            <w:vAlign w:val="bottom"/>
            <w:hideMark/>
          </w:tcPr>
          <w:p w14:paraId="261DFBBF" w14:textId="77777777" w:rsidR="00E035EA" w:rsidRPr="00834149" w:rsidRDefault="00E035EA" w:rsidP="005C75BA">
            <w:pPr>
              <w:jc w:val="right"/>
              <w:rPr>
                <w:rFonts w:eastAsia="Times New Roman" w:cs="Arial"/>
                <w:b/>
                <w:bCs/>
                <w:color w:val="000000"/>
              </w:rPr>
            </w:pPr>
            <w:r w:rsidRPr="00834149">
              <w:rPr>
                <w:rFonts w:eastAsia="Times New Roman" w:cs="Arial"/>
                <w:b/>
                <w:bCs/>
                <w:color w:val="000000"/>
              </w:rPr>
              <w:t>0.00</w:t>
            </w:r>
          </w:p>
        </w:tc>
        <w:tc>
          <w:tcPr>
            <w:tcW w:w="1024" w:type="dxa"/>
            <w:tcBorders>
              <w:top w:val="single" w:sz="4" w:space="0" w:color="000000"/>
              <w:left w:val="nil"/>
              <w:bottom w:val="single" w:sz="12" w:space="0" w:color="000000"/>
              <w:right w:val="nil"/>
            </w:tcBorders>
            <w:shd w:val="clear" w:color="FFFFFF" w:fill="FFFFFF"/>
            <w:noWrap/>
            <w:vAlign w:val="bottom"/>
            <w:hideMark/>
          </w:tcPr>
          <w:p w14:paraId="674F8ADA" w14:textId="77777777" w:rsidR="00E035EA" w:rsidRPr="00834149" w:rsidRDefault="00E035EA" w:rsidP="005C75BA">
            <w:pPr>
              <w:jc w:val="right"/>
              <w:rPr>
                <w:rFonts w:eastAsia="Times New Roman" w:cs="Arial"/>
                <w:b/>
                <w:bCs/>
                <w:color w:val="000000"/>
              </w:rPr>
            </w:pPr>
            <w:r w:rsidRPr="00834149">
              <w:rPr>
                <w:rFonts w:eastAsia="Times New Roman" w:cs="Arial"/>
                <w:b/>
                <w:bCs/>
                <w:color w:val="000000"/>
              </w:rPr>
              <w:t>0.00</w:t>
            </w:r>
          </w:p>
        </w:tc>
        <w:tc>
          <w:tcPr>
            <w:tcW w:w="267" w:type="dxa"/>
            <w:tcBorders>
              <w:top w:val="nil"/>
              <w:left w:val="nil"/>
              <w:bottom w:val="nil"/>
              <w:right w:val="nil"/>
            </w:tcBorders>
            <w:shd w:val="clear" w:color="FFFFFF" w:fill="FFFFFF"/>
            <w:noWrap/>
            <w:vAlign w:val="bottom"/>
            <w:hideMark/>
          </w:tcPr>
          <w:p w14:paraId="718EBD6F" w14:textId="77777777" w:rsidR="00E035EA" w:rsidRPr="00834149" w:rsidRDefault="00E035EA" w:rsidP="005C75BA">
            <w:pPr>
              <w:rPr>
                <w:rFonts w:eastAsia="Times New Roman" w:cs="Arial"/>
                <w:color w:val="333333"/>
              </w:rPr>
            </w:pPr>
            <w:r w:rsidRPr="00834149">
              <w:rPr>
                <w:rFonts w:eastAsia="Times New Roman" w:cs="Arial"/>
                <w:color w:val="333333"/>
              </w:rPr>
              <w:t> </w:t>
            </w:r>
          </w:p>
        </w:tc>
      </w:tr>
    </w:tbl>
    <w:p w14:paraId="691C0552" w14:textId="77777777" w:rsidR="00E035EA" w:rsidRPr="00434A65" w:rsidRDefault="00E035EA" w:rsidP="00E035EA"/>
    <w:p w14:paraId="01A33676" w14:textId="21246655" w:rsidR="00656996" w:rsidRDefault="00656996">
      <w:pPr>
        <w:rPr>
          <w:rFonts w:ascii="Times New Roman" w:hAnsi="Times New Roman" w:cs="Times New Roman"/>
          <w:sz w:val="24"/>
          <w:szCs w:val="24"/>
        </w:rPr>
      </w:pPr>
      <w:r>
        <w:rPr>
          <w:rFonts w:ascii="Times New Roman" w:hAnsi="Times New Roman" w:cs="Times New Roman"/>
          <w:sz w:val="24"/>
          <w:szCs w:val="24"/>
        </w:rPr>
        <w:br w:type="page"/>
      </w:r>
    </w:p>
    <w:p w14:paraId="42EEEE3C" w14:textId="77777777" w:rsidR="00656996" w:rsidRDefault="00656996" w:rsidP="00E035EA">
      <w:pPr>
        <w:pStyle w:val="ListParagraph"/>
        <w:autoSpaceDE w:val="0"/>
        <w:autoSpaceDN w:val="0"/>
        <w:adjustRightInd w:val="0"/>
        <w:ind w:left="0"/>
        <w:jc w:val="both"/>
        <w:rPr>
          <w:rFonts w:ascii="Times New Roman" w:hAnsi="Times New Roman" w:cs="Times New Roman"/>
          <w:sz w:val="24"/>
          <w:szCs w:val="24"/>
        </w:rPr>
        <w:sectPr w:rsidR="00656996" w:rsidSect="0025614E">
          <w:footerReference w:type="default" r:id="rId15"/>
          <w:footerReference w:type="first" r:id="rId16"/>
          <w:pgSz w:w="15840" w:h="12240" w:orient="landscape" w:code="1"/>
          <w:pgMar w:top="1440" w:right="1440" w:bottom="1440" w:left="1440" w:header="720" w:footer="720" w:gutter="0"/>
          <w:cols w:space="720"/>
          <w:docGrid w:linePitch="360"/>
        </w:sectPr>
      </w:pPr>
    </w:p>
    <w:p w14:paraId="6336514E" w14:textId="64B47884" w:rsidR="00656996" w:rsidRPr="00834149" w:rsidRDefault="00656996" w:rsidP="00834149">
      <w:pPr>
        <w:pStyle w:val="Caption"/>
        <w:jc w:val="center"/>
        <w:rPr>
          <w:rFonts w:cs="Times New Roman"/>
          <w:bCs w:val="0"/>
          <w:caps w:val="0"/>
          <w:sz w:val="22"/>
          <w:szCs w:val="22"/>
        </w:rPr>
      </w:pPr>
      <w:bookmarkStart w:id="55" w:name="_Toc476220636"/>
      <w:bookmarkStart w:id="56" w:name="_Toc477452446"/>
      <w:r w:rsidRPr="00834149">
        <w:rPr>
          <w:rFonts w:cs="Times New Roman"/>
          <w:bCs w:val="0"/>
          <w:caps w:val="0"/>
          <w:sz w:val="22"/>
          <w:szCs w:val="22"/>
        </w:rPr>
        <w:lastRenderedPageBreak/>
        <w:t>Annex</w:t>
      </w:r>
      <w:r w:rsidR="00DF6013" w:rsidRPr="00834149">
        <w:rPr>
          <w:rFonts w:cs="Times New Roman"/>
          <w:bCs w:val="0"/>
          <w:caps w:val="0"/>
          <w:sz w:val="22"/>
          <w:szCs w:val="22"/>
        </w:rPr>
        <w:t xml:space="preserve"> </w:t>
      </w:r>
      <w:r w:rsidR="00DF6013" w:rsidRPr="00834149">
        <w:rPr>
          <w:rFonts w:cs="Times New Roman"/>
          <w:bCs w:val="0"/>
          <w:caps w:val="0"/>
          <w:sz w:val="22"/>
          <w:szCs w:val="22"/>
          <w:lang w:val="fr-FR"/>
        </w:rPr>
        <w:fldChar w:fldCharType="begin"/>
      </w:r>
      <w:r w:rsidR="00DF6013" w:rsidRPr="00834149">
        <w:rPr>
          <w:rFonts w:cs="Times New Roman"/>
          <w:bCs w:val="0"/>
          <w:caps w:val="0"/>
          <w:sz w:val="22"/>
          <w:szCs w:val="22"/>
        </w:rPr>
        <w:instrText xml:space="preserve"> SEQ Annex \* ARABIC </w:instrText>
      </w:r>
      <w:r w:rsidR="00DF6013" w:rsidRPr="00834149">
        <w:rPr>
          <w:rFonts w:cs="Times New Roman"/>
          <w:bCs w:val="0"/>
          <w:caps w:val="0"/>
          <w:sz w:val="22"/>
          <w:szCs w:val="22"/>
          <w:lang w:val="fr-FR"/>
        </w:rPr>
        <w:fldChar w:fldCharType="separate"/>
      </w:r>
      <w:r w:rsidR="000D6ABB">
        <w:rPr>
          <w:rFonts w:cs="Times New Roman"/>
          <w:bCs w:val="0"/>
          <w:caps w:val="0"/>
          <w:noProof/>
          <w:sz w:val="22"/>
          <w:szCs w:val="22"/>
        </w:rPr>
        <w:t>6</w:t>
      </w:r>
      <w:r w:rsidR="00DF6013" w:rsidRPr="00834149">
        <w:rPr>
          <w:rFonts w:cs="Times New Roman"/>
          <w:bCs w:val="0"/>
          <w:caps w:val="0"/>
          <w:sz w:val="22"/>
          <w:szCs w:val="22"/>
          <w:lang w:val="fr-FR"/>
        </w:rPr>
        <w:fldChar w:fldCharType="end"/>
      </w:r>
      <w:r w:rsidRPr="00834149">
        <w:rPr>
          <w:rFonts w:cs="Times New Roman"/>
          <w:bCs w:val="0"/>
          <w:caps w:val="0"/>
          <w:sz w:val="22"/>
          <w:szCs w:val="22"/>
        </w:rPr>
        <w:t>. Partnerships and Donor Coordination</w:t>
      </w:r>
      <w:bookmarkEnd w:id="55"/>
      <w:bookmarkEnd w:id="56"/>
    </w:p>
    <w:p w14:paraId="35DA118D" w14:textId="77777777" w:rsidR="00656996" w:rsidRPr="00834149" w:rsidRDefault="00656996" w:rsidP="00DF6013">
      <w:pPr>
        <w:pStyle w:val="Caption"/>
        <w:rPr>
          <w:rFonts w:cs="Times New Roman"/>
          <w:b w:val="0"/>
          <w:bCs w:val="0"/>
          <w:caps w:val="0"/>
          <w:sz w:val="18"/>
          <w:szCs w:val="22"/>
        </w:rPr>
      </w:pPr>
    </w:p>
    <w:p w14:paraId="09E01D80" w14:textId="533B05E7" w:rsidR="00656996" w:rsidRPr="00834149" w:rsidRDefault="00656996" w:rsidP="00656996">
      <w:pPr>
        <w:pStyle w:val="ListParagraph"/>
        <w:numPr>
          <w:ilvl w:val="0"/>
          <w:numId w:val="3"/>
        </w:numPr>
        <w:ind w:left="0" w:firstLine="0"/>
        <w:jc w:val="both"/>
        <w:rPr>
          <w:rFonts w:eastAsia="Times New Roman" w:cs="Times New Roman"/>
        </w:rPr>
      </w:pPr>
      <w:r w:rsidRPr="00834149">
        <w:rPr>
          <w:rFonts w:cs="Times New Roman"/>
          <w:b/>
        </w:rPr>
        <w:t>The UN takes the lead in coordinating Togo’s technical and financial partners</w:t>
      </w:r>
      <w:r w:rsidRPr="00834149">
        <w:rPr>
          <w:rFonts w:cs="Times New Roman"/>
        </w:rPr>
        <w:t>.</w:t>
      </w:r>
      <w:r w:rsidRPr="00834149">
        <w:rPr>
          <w:rFonts w:cs="Times New Roman"/>
          <w:b/>
        </w:rPr>
        <w:t xml:space="preserve"> </w:t>
      </w:r>
      <w:r w:rsidRPr="00834149">
        <w:rPr>
          <w:rFonts w:cs="Times New Roman"/>
        </w:rPr>
        <w:t>The UN assists in coordinating bimonthly meetings of donors with a rotating host. These members include bilateral partners (France, AFD, the US, Germany, GIZ and KFW, Egypt, Spain, JICA), multilateral institutions (UN agencies, the EU, IMF, AfDB, World Bank), and regional institutions (BOAD/WADB, BIDC). Partners seek to coordinate their actions and jointly monitor progress with national development plans. A joint statement is issued annually by the development partners to the authorities to acknowledge progress in implementing the national development program and to highlight areas needing attention. At the technical level, donors coordinate according to sectors, both with and without the participation of line ministries.</w:t>
      </w:r>
      <w:r w:rsidRPr="00834149">
        <w:rPr>
          <w:rFonts w:cs="Times New Roman"/>
          <w:b/>
        </w:rPr>
        <w:t xml:space="preserve"> </w:t>
      </w:r>
      <w:r w:rsidRPr="00834149">
        <w:rPr>
          <w:rFonts w:cs="Times New Roman"/>
        </w:rPr>
        <w:t>These sector groups often</w:t>
      </w:r>
      <w:r w:rsidRPr="00834149">
        <w:rPr>
          <w:rFonts w:cs="Times New Roman"/>
          <w:b/>
        </w:rPr>
        <w:t xml:space="preserve"> </w:t>
      </w:r>
      <w:r w:rsidRPr="00834149">
        <w:rPr>
          <w:rFonts w:cs="Times New Roman"/>
        </w:rPr>
        <w:t>comprise heads of UN agencies, key bilateral partners, and IFIs. Development partners providing budget support also coordinate regularly at the technical level.</w:t>
      </w:r>
    </w:p>
    <w:p w14:paraId="75D871B7" w14:textId="77777777" w:rsidR="00656996" w:rsidRPr="00834149" w:rsidRDefault="00656996" w:rsidP="00656996">
      <w:pPr>
        <w:pStyle w:val="ListParagraph"/>
        <w:ind w:left="0"/>
        <w:jc w:val="both"/>
        <w:rPr>
          <w:rFonts w:eastAsia="Times New Roman" w:cs="Times New Roman"/>
          <w:sz w:val="18"/>
        </w:rPr>
      </w:pPr>
    </w:p>
    <w:p w14:paraId="0B8F7EDB" w14:textId="77777777" w:rsidR="00656996" w:rsidRPr="00834149" w:rsidRDefault="00656996" w:rsidP="00656996">
      <w:pPr>
        <w:pStyle w:val="ListParagraph"/>
        <w:numPr>
          <w:ilvl w:val="0"/>
          <w:numId w:val="3"/>
        </w:numPr>
        <w:autoSpaceDE w:val="0"/>
        <w:autoSpaceDN w:val="0"/>
        <w:adjustRightInd w:val="0"/>
        <w:ind w:left="0" w:firstLine="0"/>
        <w:jc w:val="both"/>
        <w:rPr>
          <w:rFonts w:cs="Times New Roman"/>
        </w:rPr>
      </w:pPr>
      <w:r w:rsidRPr="00834149">
        <w:rPr>
          <w:rFonts w:cs="Times New Roman"/>
          <w:b/>
        </w:rPr>
        <w:t>The EU’s program in Togo emphasizes governance (security, decentralization, and economic governance), energy access, urban infrastructure, water and sanitation services in rural and urban areas</w:t>
      </w:r>
      <w:r w:rsidRPr="00834149">
        <w:rPr>
          <w:rFonts w:cs="Times New Roman"/>
        </w:rPr>
        <w:t>.</w:t>
      </w:r>
      <w:r w:rsidRPr="00834149">
        <w:rPr>
          <w:rFonts w:cs="Times New Roman"/>
          <w:b/>
        </w:rPr>
        <w:t xml:space="preserve"> </w:t>
      </w:r>
      <w:r w:rsidRPr="00834149">
        <w:rPr>
          <w:rFonts w:cs="Times New Roman"/>
        </w:rPr>
        <w:t>The EU supports strengthening civil society organizations through grants. IDA support for energy, urban infrastructure, governance, and budget support under the CPF are closely coordinated with the EU.</w:t>
      </w:r>
    </w:p>
    <w:p w14:paraId="1B025753" w14:textId="77777777" w:rsidR="00656996" w:rsidRPr="00834149" w:rsidRDefault="00656996" w:rsidP="00656996">
      <w:pPr>
        <w:pStyle w:val="ListParagraph"/>
        <w:autoSpaceDE w:val="0"/>
        <w:autoSpaceDN w:val="0"/>
        <w:adjustRightInd w:val="0"/>
        <w:ind w:left="0"/>
        <w:jc w:val="both"/>
        <w:rPr>
          <w:rFonts w:cs="Times New Roman"/>
          <w:sz w:val="18"/>
        </w:rPr>
      </w:pPr>
    </w:p>
    <w:p w14:paraId="43DCD4BB" w14:textId="485A3151" w:rsidR="00656996" w:rsidRPr="00834149" w:rsidRDefault="00656996" w:rsidP="00656996">
      <w:pPr>
        <w:pStyle w:val="ListParagraph"/>
        <w:numPr>
          <w:ilvl w:val="0"/>
          <w:numId w:val="3"/>
        </w:numPr>
        <w:autoSpaceDE w:val="0"/>
        <w:autoSpaceDN w:val="0"/>
        <w:adjustRightInd w:val="0"/>
        <w:ind w:left="0" w:firstLine="0"/>
        <w:jc w:val="both"/>
        <w:rPr>
          <w:rFonts w:cs="Times New Roman"/>
          <w:color w:val="000000"/>
        </w:rPr>
      </w:pPr>
      <w:r w:rsidRPr="00834149">
        <w:rPr>
          <w:rFonts w:cs="Times New Roman"/>
          <w:b/>
          <w:color w:val="000000"/>
        </w:rPr>
        <w:t xml:space="preserve">France’s AFD program in Togo includes grant activities and </w:t>
      </w:r>
      <w:r w:rsidR="00180FCE">
        <w:rPr>
          <w:rFonts w:cs="Times New Roman"/>
          <w:b/>
          <w:color w:val="000000"/>
        </w:rPr>
        <w:t>significant</w:t>
      </w:r>
      <w:r w:rsidR="00180FCE" w:rsidRPr="006A3B02">
        <w:rPr>
          <w:rFonts w:cs="Times New Roman"/>
          <w:b/>
          <w:color w:val="000000"/>
        </w:rPr>
        <w:t xml:space="preserve"> amounts of </w:t>
      </w:r>
      <w:r w:rsidR="00180FCE">
        <w:rPr>
          <w:rFonts w:cs="Times New Roman"/>
          <w:b/>
          <w:color w:val="000000"/>
        </w:rPr>
        <w:t xml:space="preserve">development </w:t>
      </w:r>
      <w:r w:rsidR="00180FCE" w:rsidRPr="006A3B02">
        <w:rPr>
          <w:rFonts w:cs="Times New Roman"/>
          <w:b/>
          <w:color w:val="000000"/>
        </w:rPr>
        <w:t xml:space="preserve">financing </w:t>
      </w:r>
      <w:r w:rsidRPr="00834149">
        <w:rPr>
          <w:rFonts w:cs="Times New Roman"/>
          <w:b/>
          <w:color w:val="000000"/>
        </w:rPr>
        <w:t>once an IMF program is approved</w:t>
      </w:r>
      <w:r w:rsidRPr="00834149">
        <w:rPr>
          <w:rFonts w:cs="Times New Roman"/>
          <w:color w:val="000000"/>
        </w:rPr>
        <w:t>. Areas of focus include education, training for jobs, and infrastructure (energy, water, others).</w:t>
      </w:r>
      <w:r w:rsidRPr="00834149">
        <w:rPr>
          <w:rFonts w:cs="Times New Roman"/>
        </w:rPr>
        <w:t xml:space="preserve"> IDA support for education, energy, and urban infrastructure is closely coordinated with AFD.</w:t>
      </w:r>
    </w:p>
    <w:p w14:paraId="09D9F203" w14:textId="77777777" w:rsidR="00656996" w:rsidRPr="00834149" w:rsidRDefault="00656996" w:rsidP="00656996">
      <w:pPr>
        <w:pStyle w:val="ParagraphNumbering"/>
        <w:numPr>
          <w:ilvl w:val="0"/>
          <w:numId w:val="0"/>
        </w:numPr>
        <w:tabs>
          <w:tab w:val="left" w:pos="720"/>
        </w:tabs>
        <w:spacing w:after="0" w:line="240" w:lineRule="auto"/>
        <w:jc w:val="both"/>
        <w:rPr>
          <w:rFonts w:asciiTheme="minorHAnsi" w:eastAsia="Calibri" w:hAnsiTheme="minorHAnsi"/>
          <w:color w:val="000000"/>
          <w:sz w:val="18"/>
          <w:szCs w:val="22"/>
        </w:rPr>
      </w:pPr>
    </w:p>
    <w:p w14:paraId="09261C09" w14:textId="5F6A3229" w:rsidR="00656996" w:rsidRPr="00834149" w:rsidRDefault="00656996" w:rsidP="00656996">
      <w:pPr>
        <w:pStyle w:val="ListParagraph"/>
        <w:numPr>
          <w:ilvl w:val="0"/>
          <w:numId w:val="3"/>
        </w:numPr>
        <w:autoSpaceDE w:val="0"/>
        <w:autoSpaceDN w:val="0"/>
        <w:adjustRightInd w:val="0"/>
        <w:ind w:left="0" w:firstLine="0"/>
        <w:jc w:val="both"/>
        <w:rPr>
          <w:rFonts w:cs="Times New Roman"/>
        </w:rPr>
      </w:pPr>
      <w:r w:rsidRPr="00834149">
        <w:rPr>
          <w:rFonts w:cs="Times New Roman"/>
          <w:b/>
          <w:color w:val="000000"/>
        </w:rPr>
        <w:t>The AfDB’s 2016</w:t>
      </w:r>
      <w:r w:rsidR="00D85BAC">
        <w:rPr>
          <w:rFonts w:cs="Times New Roman"/>
          <w:b/>
          <w:color w:val="000000"/>
        </w:rPr>
        <w:t>-</w:t>
      </w:r>
      <w:r w:rsidR="00090FE6">
        <w:rPr>
          <w:rFonts w:cs="Times New Roman"/>
          <w:b/>
          <w:color w:val="000000"/>
        </w:rPr>
        <w:t>20</w:t>
      </w:r>
      <w:r w:rsidRPr="00834149">
        <w:rPr>
          <w:rFonts w:cs="Times New Roman"/>
          <w:b/>
          <w:color w:val="000000"/>
        </w:rPr>
        <w:t>20 Country Partnership Strategy for Togo emphasizes transport infrastructure (Abidjan Lagos Corridor), with co</w:t>
      </w:r>
      <w:r w:rsidR="008025A6" w:rsidRPr="00834149">
        <w:rPr>
          <w:rFonts w:cs="Times New Roman"/>
          <w:b/>
          <w:color w:val="000000"/>
        </w:rPr>
        <w:t>-</w:t>
      </w:r>
      <w:r w:rsidRPr="00834149">
        <w:rPr>
          <w:rFonts w:cs="Times New Roman"/>
          <w:b/>
          <w:color w:val="000000"/>
        </w:rPr>
        <w:t>financing from several partners; agricultural growth poles</w:t>
      </w:r>
      <w:r w:rsidR="000D4E99" w:rsidRPr="00834149">
        <w:rPr>
          <w:rFonts w:cs="Times New Roman"/>
          <w:b/>
          <w:color w:val="000000"/>
        </w:rPr>
        <w:t xml:space="preserve"> (with </w:t>
      </w:r>
      <w:r w:rsidRPr="00834149">
        <w:rPr>
          <w:rFonts w:cs="Times New Roman"/>
          <w:b/>
          <w:color w:val="000000"/>
        </w:rPr>
        <w:t>services for water, electricity, roads, and private sector investments</w:t>
      </w:r>
      <w:r w:rsidR="000D4E99" w:rsidRPr="00834149">
        <w:rPr>
          <w:rFonts w:cs="Times New Roman"/>
          <w:b/>
          <w:color w:val="000000"/>
        </w:rPr>
        <w:t>)</w:t>
      </w:r>
      <w:r w:rsidRPr="00834149">
        <w:rPr>
          <w:rFonts w:cs="Times New Roman"/>
          <w:b/>
          <w:color w:val="000000"/>
        </w:rPr>
        <w:t>; and governance and fiscal reforms, notably support for OTR and tax administration, EITI, and debt management</w:t>
      </w:r>
      <w:r w:rsidRPr="00834149">
        <w:rPr>
          <w:rFonts w:cs="Times New Roman"/>
          <w:color w:val="000000"/>
        </w:rPr>
        <w:t xml:space="preserve">. The agricultural growth poles operation includes support for youth employment and access to finance through the </w:t>
      </w:r>
      <w:r w:rsidR="00180FCE">
        <w:rPr>
          <w:rFonts w:cs="Times New Roman"/>
          <w:color w:val="000000"/>
        </w:rPr>
        <w:t xml:space="preserve">Inclusive </w:t>
      </w:r>
      <w:r w:rsidRPr="00834149">
        <w:rPr>
          <w:rFonts w:cs="Times New Roman"/>
          <w:color w:val="000000"/>
        </w:rPr>
        <w:t xml:space="preserve">Finance </w:t>
      </w:r>
      <w:r w:rsidR="00180FCE">
        <w:rPr>
          <w:rFonts w:cs="Times New Roman"/>
          <w:color w:val="000000"/>
        </w:rPr>
        <w:t>program</w:t>
      </w:r>
      <w:r w:rsidRPr="00834149">
        <w:rPr>
          <w:rFonts w:cs="Times New Roman"/>
          <w:color w:val="000000"/>
        </w:rPr>
        <w:t>.</w:t>
      </w:r>
      <w:r w:rsidRPr="00834149">
        <w:rPr>
          <w:rFonts w:cs="Times New Roman"/>
        </w:rPr>
        <w:t xml:space="preserve"> ID</w:t>
      </w:r>
      <w:bookmarkStart w:id="57" w:name="_GoBack"/>
      <w:bookmarkEnd w:id="57"/>
      <w:r w:rsidRPr="00834149">
        <w:rPr>
          <w:rFonts w:cs="Times New Roman"/>
        </w:rPr>
        <w:t xml:space="preserve">A coordinates closely with AfDB </w:t>
      </w:r>
      <w:r w:rsidR="00180FCE">
        <w:rPr>
          <w:rFonts w:cs="Times New Roman"/>
        </w:rPr>
        <w:t>on</w:t>
      </w:r>
      <w:r w:rsidRPr="00834149">
        <w:rPr>
          <w:rFonts w:cs="Times New Roman"/>
        </w:rPr>
        <w:t xml:space="preserve"> agriculture, youth employment, transport, fiscal issues and budget support. </w:t>
      </w:r>
    </w:p>
    <w:p w14:paraId="160E2890" w14:textId="77777777" w:rsidR="00656996" w:rsidRPr="00834149" w:rsidRDefault="00656996" w:rsidP="00656996">
      <w:pPr>
        <w:pStyle w:val="ListParagraph"/>
        <w:autoSpaceDE w:val="0"/>
        <w:autoSpaceDN w:val="0"/>
        <w:adjustRightInd w:val="0"/>
        <w:ind w:left="0"/>
        <w:jc w:val="both"/>
        <w:rPr>
          <w:rFonts w:cs="Times New Roman"/>
          <w:sz w:val="18"/>
        </w:rPr>
      </w:pPr>
    </w:p>
    <w:p w14:paraId="3836E4FE" w14:textId="0813316E" w:rsidR="00656996" w:rsidRPr="00834149" w:rsidRDefault="00656996" w:rsidP="00656996">
      <w:pPr>
        <w:pStyle w:val="ListParagraph"/>
        <w:numPr>
          <w:ilvl w:val="0"/>
          <w:numId w:val="3"/>
        </w:numPr>
        <w:autoSpaceDE w:val="0"/>
        <w:autoSpaceDN w:val="0"/>
        <w:adjustRightInd w:val="0"/>
        <w:ind w:left="0" w:firstLine="0"/>
        <w:jc w:val="both"/>
        <w:rPr>
          <w:rFonts w:cs="Times New Roman"/>
        </w:rPr>
      </w:pPr>
      <w:r w:rsidRPr="00834149">
        <w:rPr>
          <w:rFonts w:cs="Times New Roman"/>
          <w:b/>
        </w:rPr>
        <w:t>The IMF and World Bank collaborate closely in a number of areas, notably on macroeconomic monitoring and dialogue with the authorities, debt management, public investment management, and fiscal issues</w:t>
      </w:r>
      <w:r w:rsidRPr="00834149">
        <w:rPr>
          <w:rFonts w:cs="Times New Roman"/>
        </w:rPr>
        <w:t xml:space="preserve">. The IMF carries out Article IV consultations annually and is preparing an Extended Credit Facility program to be presented to its Board in </w:t>
      </w:r>
      <w:r w:rsidR="00180FCE">
        <w:rPr>
          <w:rFonts w:cs="Times New Roman"/>
        </w:rPr>
        <w:t>May</w:t>
      </w:r>
      <w:r w:rsidR="00180FCE" w:rsidRPr="00834149">
        <w:rPr>
          <w:rFonts w:cs="Times New Roman"/>
        </w:rPr>
        <w:t xml:space="preserve"> </w:t>
      </w:r>
      <w:r w:rsidRPr="00834149">
        <w:rPr>
          <w:rFonts w:cs="Times New Roman"/>
        </w:rPr>
        <w:t xml:space="preserve">2017. </w:t>
      </w:r>
    </w:p>
    <w:p w14:paraId="2CFBC575" w14:textId="77777777" w:rsidR="00656996" w:rsidRPr="00834149" w:rsidRDefault="00656996" w:rsidP="00656996">
      <w:pPr>
        <w:pStyle w:val="ListParagraph"/>
        <w:autoSpaceDE w:val="0"/>
        <w:autoSpaceDN w:val="0"/>
        <w:adjustRightInd w:val="0"/>
        <w:ind w:left="0"/>
        <w:jc w:val="both"/>
        <w:rPr>
          <w:rFonts w:cs="Times New Roman"/>
          <w:sz w:val="18"/>
        </w:rPr>
      </w:pPr>
    </w:p>
    <w:p w14:paraId="51D2E388" w14:textId="77777777" w:rsidR="00656996" w:rsidRPr="00834149" w:rsidRDefault="00656996" w:rsidP="00656996">
      <w:pPr>
        <w:pStyle w:val="ListParagraph"/>
        <w:numPr>
          <w:ilvl w:val="0"/>
          <w:numId w:val="3"/>
        </w:numPr>
        <w:autoSpaceDE w:val="0"/>
        <w:autoSpaceDN w:val="0"/>
        <w:adjustRightInd w:val="0"/>
        <w:ind w:left="0" w:firstLine="0"/>
        <w:jc w:val="both"/>
        <w:rPr>
          <w:rFonts w:cs="Times New Roman"/>
        </w:rPr>
      </w:pPr>
      <w:r w:rsidRPr="00834149">
        <w:rPr>
          <w:rFonts w:cs="Times New Roman"/>
          <w:b/>
        </w:rPr>
        <w:t>The UN is active through its specialized agencies in all of the social sectors and, through the UNDP, administers the government’s ambitious Urgent Community Development Program (PUDC) launched in 2016</w:t>
      </w:r>
      <w:r w:rsidRPr="00834149">
        <w:rPr>
          <w:rFonts w:cs="Times New Roman"/>
        </w:rPr>
        <w:t>. IDA collaborates closely with UNICEF, WHO, WFP, UNAIDS, UNDP, and UNDSS in education, environment, health, social safety nets, CDD, and on country office security matters.</w:t>
      </w:r>
    </w:p>
    <w:p w14:paraId="226FC3EE" w14:textId="77777777" w:rsidR="00656996" w:rsidRPr="00834149" w:rsidRDefault="00656996" w:rsidP="00656996">
      <w:pPr>
        <w:rPr>
          <w:rFonts w:cs="Times New Roman"/>
          <w:b/>
          <w:sz w:val="18"/>
        </w:rPr>
      </w:pPr>
    </w:p>
    <w:p w14:paraId="0C768554" w14:textId="32D7C354" w:rsidR="00496F6C" w:rsidRPr="006A3B02" w:rsidRDefault="00DB4B67" w:rsidP="00834149">
      <w:pPr>
        <w:pStyle w:val="ListParagraph"/>
        <w:numPr>
          <w:ilvl w:val="0"/>
          <w:numId w:val="3"/>
        </w:numPr>
        <w:autoSpaceDE w:val="0"/>
        <w:autoSpaceDN w:val="0"/>
        <w:adjustRightInd w:val="0"/>
        <w:ind w:left="0" w:firstLine="0"/>
        <w:jc w:val="both"/>
        <w:rPr>
          <w:rFonts w:ascii="Times New Roman" w:hAnsi="Times New Roman" w:cs="Times New Roman"/>
          <w:sz w:val="24"/>
          <w:szCs w:val="24"/>
        </w:rPr>
      </w:pPr>
      <w:r>
        <w:rPr>
          <w:rFonts w:cs="Times New Roman"/>
          <w:b/>
        </w:rPr>
        <w:t>Other important partners include:</w:t>
      </w:r>
      <w:r w:rsidR="00656996" w:rsidRPr="00834149">
        <w:rPr>
          <w:rFonts w:cs="Times New Roman"/>
          <w:b/>
        </w:rPr>
        <w:t xml:space="preserve"> GIZ and KFW</w:t>
      </w:r>
      <w:r w:rsidR="00091D58" w:rsidRPr="00834149">
        <w:rPr>
          <w:rFonts w:cs="Times New Roman"/>
          <w:b/>
        </w:rPr>
        <w:t xml:space="preserve"> support </w:t>
      </w:r>
      <w:r w:rsidR="00656996" w:rsidRPr="00834149">
        <w:rPr>
          <w:rFonts w:cs="Times New Roman"/>
          <w:b/>
        </w:rPr>
        <w:t>environment, youth employment, governance</w:t>
      </w:r>
      <w:r>
        <w:rPr>
          <w:rFonts w:cs="Times New Roman"/>
          <w:b/>
        </w:rPr>
        <w:t>,</w:t>
      </w:r>
      <w:r w:rsidR="00656996" w:rsidRPr="00834149">
        <w:rPr>
          <w:rFonts w:cs="Times New Roman"/>
          <w:b/>
        </w:rPr>
        <w:t xml:space="preserve"> urban programs</w:t>
      </w:r>
      <w:r w:rsidR="006E49AC" w:rsidRPr="00834149">
        <w:rPr>
          <w:rFonts w:cs="Times New Roman"/>
          <w:b/>
        </w:rPr>
        <w:t xml:space="preserve"> and rural energy</w:t>
      </w:r>
      <w:r w:rsidR="00656996" w:rsidRPr="00834149">
        <w:rPr>
          <w:rFonts w:cs="Times New Roman"/>
          <w:b/>
        </w:rPr>
        <w:t>; JICA support</w:t>
      </w:r>
      <w:r>
        <w:rPr>
          <w:rFonts w:cs="Times New Roman"/>
          <w:b/>
        </w:rPr>
        <w:t>ing</w:t>
      </w:r>
      <w:r w:rsidR="00656996" w:rsidRPr="00834149">
        <w:rPr>
          <w:rFonts w:cs="Times New Roman"/>
          <w:b/>
        </w:rPr>
        <w:t xml:space="preserve"> </w:t>
      </w:r>
      <w:r>
        <w:rPr>
          <w:rFonts w:cs="Times New Roman"/>
          <w:b/>
        </w:rPr>
        <w:t xml:space="preserve">various sectors, including </w:t>
      </w:r>
      <w:r w:rsidR="00656996" w:rsidRPr="00834149">
        <w:rPr>
          <w:rFonts w:cs="Times New Roman"/>
          <w:b/>
        </w:rPr>
        <w:t>telecommunications and CDD</w:t>
      </w:r>
      <w:r>
        <w:rPr>
          <w:rFonts w:cs="Times New Roman"/>
          <w:b/>
        </w:rPr>
        <w:t>/basic services</w:t>
      </w:r>
      <w:r w:rsidR="00656996" w:rsidRPr="00834149">
        <w:rPr>
          <w:rFonts w:cs="Times New Roman"/>
          <w:b/>
        </w:rPr>
        <w:t>; and the U</w:t>
      </w:r>
      <w:r>
        <w:rPr>
          <w:rFonts w:cs="Times New Roman"/>
          <w:b/>
        </w:rPr>
        <w:t>.S.</w:t>
      </w:r>
      <w:r w:rsidR="00656996" w:rsidRPr="00834149">
        <w:rPr>
          <w:rFonts w:cs="Times New Roman"/>
          <w:b/>
        </w:rPr>
        <w:t xml:space="preserve">, which is evaluating Togo’s eligibility for an MCC </w:t>
      </w:r>
      <w:r>
        <w:rPr>
          <w:rFonts w:cs="Times New Roman"/>
          <w:b/>
        </w:rPr>
        <w:t xml:space="preserve">threshold </w:t>
      </w:r>
      <w:r w:rsidR="00656996" w:rsidRPr="00834149">
        <w:rPr>
          <w:rFonts w:cs="Times New Roman"/>
          <w:b/>
        </w:rPr>
        <w:t xml:space="preserve">program </w:t>
      </w:r>
      <w:r>
        <w:rPr>
          <w:rFonts w:cs="Times New Roman"/>
          <w:b/>
        </w:rPr>
        <w:t xml:space="preserve">focused on </w:t>
      </w:r>
      <w:r w:rsidR="00656996" w:rsidRPr="00834149">
        <w:rPr>
          <w:rFonts w:cs="Times New Roman"/>
          <w:b/>
        </w:rPr>
        <w:t>agriculture and telecoms</w:t>
      </w:r>
      <w:r w:rsidR="00656996" w:rsidRPr="00834149">
        <w:rPr>
          <w:rFonts w:cs="Times New Roman"/>
        </w:rPr>
        <w:t xml:space="preserve">. Active regional institutions include the </w:t>
      </w:r>
      <w:r w:rsidR="00656996" w:rsidRPr="00834149">
        <w:rPr>
          <w:rFonts w:cs="Times New Roman"/>
          <w:b/>
        </w:rPr>
        <w:t xml:space="preserve">West African Development </w:t>
      </w:r>
      <w:r w:rsidR="00656996" w:rsidRPr="00834149">
        <w:rPr>
          <w:rFonts w:cs="Times New Roman"/>
          <w:b/>
        </w:rPr>
        <w:lastRenderedPageBreak/>
        <w:t>Bank</w:t>
      </w:r>
      <w:r w:rsidR="00656996" w:rsidRPr="00834149">
        <w:rPr>
          <w:rFonts w:cs="Times New Roman"/>
        </w:rPr>
        <w:t xml:space="preserve"> and </w:t>
      </w:r>
      <w:r w:rsidR="00656996" w:rsidRPr="00834149">
        <w:rPr>
          <w:rFonts w:cs="Times New Roman"/>
          <w:b/>
        </w:rPr>
        <w:t>BIDC</w:t>
      </w:r>
      <w:r w:rsidR="00656996" w:rsidRPr="00834149">
        <w:rPr>
          <w:rFonts w:cs="Times New Roman"/>
        </w:rPr>
        <w:t xml:space="preserve">, which finance road infrastructure and private sector development. IDA </w:t>
      </w:r>
      <w:r>
        <w:rPr>
          <w:rFonts w:cs="Times New Roman"/>
        </w:rPr>
        <w:t xml:space="preserve">has approved </w:t>
      </w:r>
      <w:r w:rsidR="00656996" w:rsidRPr="00834149">
        <w:rPr>
          <w:rFonts w:cs="Times New Roman"/>
        </w:rPr>
        <w:t>an IDA credit line for WADB to finance affordable housing in the region, including Togo. The Arab Funds and the Islamic Development Bank have signed important financing agreements with Togo</w:t>
      </w:r>
      <w:r>
        <w:rPr>
          <w:rFonts w:cs="Times New Roman"/>
        </w:rPr>
        <w:t xml:space="preserve"> in 2016</w:t>
      </w:r>
      <w:r w:rsidR="00656996" w:rsidRPr="00834149">
        <w:rPr>
          <w:rFonts w:cs="Times New Roman"/>
        </w:rPr>
        <w:t xml:space="preserve"> to support energy, roads, and education sectors</w:t>
      </w:r>
      <w:r w:rsidR="009F25CA">
        <w:rPr>
          <w:rFonts w:cs="Times New Roman"/>
        </w:rPr>
        <w:t>.</w:t>
      </w:r>
    </w:p>
    <w:sectPr w:rsidR="00496F6C" w:rsidRPr="006A3B02" w:rsidSect="004552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124F6" w14:textId="77777777" w:rsidR="0062549D" w:rsidRDefault="0062549D" w:rsidP="001B001A">
      <w:r>
        <w:separator/>
      </w:r>
    </w:p>
  </w:endnote>
  <w:endnote w:type="continuationSeparator" w:id="0">
    <w:p w14:paraId="4F113994" w14:textId="77777777" w:rsidR="0062549D" w:rsidRDefault="0062549D" w:rsidP="001B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97866"/>
      <w:docPartObj>
        <w:docPartGallery w:val="Page Numbers (Bottom of Page)"/>
        <w:docPartUnique/>
      </w:docPartObj>
    </w:sdtPr>
    <w:sdtEndPr>
      <w:rPr>
        <w:rFonts w:ascii="Times New Roman" w:hAnsi="Times New Roman" w:cs="Times New Roman"/>
        <w:noProof/>
        <w:sz w:val="24"/>
        <w:szCs w:val="24"/>
      </w:rPr>
    </w:sdtEndPr>
    <w:sdtContent>
      <w:p w14:paraId="1B1A288F" w14:textId="4B2816DD" w:rsidR="000D6ABB" w:rsidRPr="00CA60FD" w:rsidRDefault="000D6ABB">
        <w:pPr>
          <w:pStyle w:val="Footer"/>
          <w:jc w:val="center"/>
          <w:rPr>
            <w:rFonts w:ascii="Times New Roman" w:hAnsi="Times New Roman" w:cs="Times New Roman"/>
            <w:sz w:val="24"/>
            <w:szCs w:val="24"/>
          </w:rPr>
        </w:pPr>
        <w:r w:rsidRPr="00CA60FD">
          <w:rPr>
            <w:rFonts w:ascii="Times New Roman" w:hAnsi="Times New Roman" w:cs="Times New Roman"/>
            <w:sz w:val="24"/>
            <w:szCs w:val="24"/>
          </w:rPr>
          <w:fldChar w:fldCharType="begin"/>
        </w:r>
        <w:r w:rsidRPr="00CA60FD">
          <w:rPr>
            <w:rFonts w:ascii="Times New Roman" w:hAnsi="Times New Roman" w:cs="Times New Roman"/>
            <w:sz w:val="24"/>
            <w:szCs w:val="24"/>
          </w:rPr>
          <w:instrText xml:space="preserve"> PAGE   \* MERGEFORMAT </w:instrText>
        </w:r>
        <w:r w:rsidRPr="00CA60FD">
          <w:rPr>
            <w:rFonts w:ascii="Times New Roman" w:hAnsi="Times New Roman" w:cs="Times New Roman"/>
            <w:sz w:val="24"/>
            <w:szCs w:val="24"/>
          </w:rPr>
          <w:fldChar w:fldCharType="separate"/>
        </w:r>
        <w:r w:rsidR="00455260">
          <w:rPr>
            <w:rFonts w:ascii="Times New Roman" w:hAnsi="Times New Roman" w:cs="Times New Roman"/>
            <w:noProof/>
            <w:sz w:val="24"/>
            <w:szCs w:val="24"/>
          </w:rPr>
          <w:t>81</w:t>
        </w:r>
        <w:r w:rsidRPr="00CA60FD">
          <w:rPr>
            <w:rFonts w:ascii="Times New Roman" w:hAnsi="Times New Roman" w:cs="Times New Roman"/>
            <w:noProof/>
            <w:sz w:val="24"/>
            <w:szCs w:val="24"/>
          </w:rPr>
          <w:fldChar w:fldCharType="end"/>
        </w:r>
      </w:p>
    </w:sdtContent>
  </w:sdt>
  <w:p w14:paraId="4188B152" w14:textId="77777777" w:rsidR="000D6ABB" w:rsidRDefault="000D6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C53D" w14:textId="19CEE0B4" w:rsidR="000D6ABB" w:rsidRDefault="000D6ABB">
    <w:pPr>
      <w:pStyle w:val="Footer"/>
      <w:jc w:val="center"/>
    </w:pPr>
  </w:p>
  <w:p w14:paraId="04E869C2" w14:textId="77777777" w:rsidR="000D6ABB" w:rsidRDefault="000D6A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7F337" w14:textId="77777777" w:rsidR="000D6ABB" w:rsidRDefault="000D6A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531766"/>
      <w:docPartObj>
        <w:docPartGallery w:val="Page Numbers (Bottom of Page)"/>
        <w:docPartUnique/>
      </w:docPartObj>
    </w:sdtPr>
    <w:sdtEndPr>
      <w:rPr>
        <w:rFonts w:ascii="Times New Roman" w:hAnsi="Times New Roman" w:cs="Times New Roman"/>
        <w:noProof/>
        <w:sz w:val="24"/>
        <w:szCs w:val="24"/>
      </w:rPr>
    </w:sdtEndPr>
    <w:sdtContent>
      <w:p w14:paraId="619F14EA" w14:textId="5EBC8B63" w:rsidR="000D6ABB" w:rsidRPr="0020372C" w:rsidRDefault="000D6ABB">
        <w:pPr>
          <w:pStyle w:val="Footer"/>
          <w:jc w:val="center"/>
          <w:rPr>
            <w:rFonts w:ascii="Times New Roman" w:hAnsi="Times New Roman" w:cs="Times New Roman"/>
            <w:sz w:val="24"/>
            <w:szCs w:val="24"/>
          </w:rPr>
        </w:pPr>
        <w:r w:rsidRPr="0020372C">
          <w:rPr>
            <w:rFonts w:ascii="Times New Roman" w:hAnsi="Times New Roman" w:cs="Times New Roman"/>
            <w:sz w:val="24"/>
            <w:szCs w:val="24"/>
          </w:rPr>
          <w:fldChar w:fldCharType="begin"/>
        </w:r>
        <w:r w:rsidRPr="0020372C">
          <w:rPr>
            <w:rFonts w:ascii="Times New Roman" w:hAnsi="Times New Roman" w:cs="Times New Roman"/>
            <w:sz w:val="24"/>
            <w:szCs w:val="24"/>
          </w:rPr>
          <w:instrText xml:space="preserve"> PAGE   \* MERGEFORMAT </w:instrText>
        </w:r>
        <w:r w:rsidRPr="0020372C">
          <w:rPr>
            <w:rFonts w:ascii="Times New Roman" w:hAnsi="Times New Roman" w:cs="Times New Roman"/>
            <w:sz w:val="24"/>
            <w:szCs w:val="24"/>
          </w:rPr>
          <w:fldChar w:fldCharType="separate"/>
        </w:r>
        <w:r w:rsidR="00455260">
          <w:rPr>
            <w:rFonts w:ascii="Times New Roman" w:hAnsi="Times New Roman" w:cs="Times New Roman"/>
            <w:noProof/>
            <w:sz w:val="24"/>
            <w:szCs w:val="24"/>
          </w:rPr>
          <w:t>82</w:t>
        </w:r>
        <w:r w:rsidRPr="0020372C">
          <w:rPr>
            <w:rFonts w:ascii="Times New Roman" w:hAnsi="Times New Roman" w:cs="Times New Roman"/>
            <w:noProof/>
            <w:sz w:val="24"/>
            <w:szCs w:val="24"/>
          </w:rPr>
          <w:fldChar w:fldCharType="end"/>
        </w:r>
      </w:p>
    </w:sdtContent>
  </w:sdt>
  <w:p w14:paraId="2EF24600" w14:textId="77777777" w:rsidR="000D6ABB" w:rsidRDefault="000D6A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59297"/>
      <w:docPartObj>
        <w:docPartGallery w:val="Page Numbers (Bottom of Page)"/>
        <w:docPartUnique/>
      </w:docPartObj>
    </w:sdtPr>
    <w:sdtEndPr>
      <w:rPr>
        <w:noProof/>
      </w:rPr>
    </w:sdtEndPr>
    <w:sdtContent>
      <w:p w14:paraId="55173BF4" w14:textId="77777777" w:rsidR="000D6ABB" w:rsidRDefault="000D6A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63E876" w14:textId="77777777" w:rsidR="000D6ABB" w:rsidRDefault="000D6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28976" w14:textId="77777777" w:rsidR="0062549D" w:rsidRDefault="0062549D" w:rsidP="001B001A">
      <w:r>
        <w:separator/>
      </w:r>
    </w:p>
  </w:footnote>
  <w:footnote w:type="continuationSeparator" w:id="0">
    <w:p w14:paraId="3C9043A1" w14:textId="77777777" w:rsidR="0062549D" w:rsidRDefault="0062549D" w:rsidP="001B001A">
      <w:r>
        <w:continuationSeparator/>
      </w:r>
    </w:p>
  </w:footnote>
  <w:footnote w:id="1">
    <w:p w14:paraId="2AA701C8" w14:textId="07CE67B0" w:rsidR="000D6ABB" w:rsidRPr="00834149" w:rsidRDefault="000D6ABB" w:rsidP="00710E22">
      <w:pPr>
        <w:pStyle w:val="FootnoteText"/>
        <w:spacing w:before="0" w:beforeAutospacing="0" w:after="0" w:afterAutospacing="0"/>
        <w:jc w:val="both"/>
        <w:rPr>
          <w:rFonts w:cs="Times New Roman"/>
          <w:sz w:val="18"/>
          <w:szCs w:val="18"/>
        </w:rPr>
      </w:pPr>
      <w:r w:rsidRPr="00CD63D9">
        <w:rPr>
          <w:rStyle w:val="FootnoteReference"/>
          <w:rFonts w:ascii="Times New Roman" w:hAnsi="Times New Roman" w:cs="Times New Roman"/>
          <w:szCs w:val="20"/>
        </w:rPr>
        <w:footnoteRef/>
      </w:r>
      <w:r w:rsidRPr="00CD63D9">
        <w:rPr>
          <w:rFonts w:ascii="Times New Roman" w:hAnsi="Times New Roman" w:cs="Times New Roman"/>
          <w:szCs w:val="20"/>
        </w:rPr>
        <w:t xml:space="preserve"> </w:t>
      </w:r>
      <w:r w:rsidRPr="00834149">
        <w:rPr>
          <w:rFonts w:cs="Times New Roman"/>
          <w:sz w:val="18"/>
          <w:szCs w:val="18"/>
        </w:rPr>
        <w:t>Presidential term limits were removed in the revised constitution of 2002, allowing the president to remain in power for life.</w:t>
      </w:r>
    </w:p>
  </w:footnote>
  <w:footnote w:id="2">
    <w:p w14:paraId="57D822BD" w14:textId="77777777" w:rsidR="000D6ABB" w:rsidRPr="00834149" w:rsidRDefault="000D6ABB" w:rsidP="00CC3B43">
      <w:pPr>
        <w:pStyle w:val="FootnoteText"/>
        <w:spacing w:before="0" w:beforeAutospacing="0" w:after="0" w:afterAutospacing="0"/>
        <w:rPr>
          <w:sz w:val="18"/>
          <w:szCs w:val="18"/>
        </w:rPr>
      </w:pPr>
      <w:r w:rsidRPr="00834149">
        <w:rPr>
          <w:rStyle w:val="FootnoteReference"/>
          <w:rFonts w:cs="Times New Roman"/>
          <w:sz w:val="18"/>
          <w:szCs w:val="18"/>
        </w:rPr>
        <w:footnoteRef/>
      </w:r>
      <w:r w:rsidRPr="00834149">
        <w:rPr>
          <w:rFonts w:cs="Times New Roman"/>
          <w:sz w:val="18"/>
          <w:szCs w:val="18"/>
        </w:rPr>
        <w:t xml:space="preserve"> The CVJR recommendations concern political and institutional reforms and compensations for victims of political violence from 1958 to 2005.</w:t>
      </w:r>
    </w:p>
  </w:footnote>
  <w:footnote w:id="3">
    <w:p w14:paraId="54608838" w14:textId="77777777" w:rsidR="000D6ABB" w:rsidRPr="00834149" w:rsidRDefault="000D6ABB" w:rsidP="00CD63D9">
      <w:pPr>
        <w:pStyle w:val="FootnoteText"/>
        <w:spacing w:before="0" w:beforeAutospacing="0" w:after="0" w:afterAutospacing="0"/>
        <w:jc w:val="both"/>
        <w:rPr>
          <w:rFonts w:cs="Times New Roman"/>
          <w:sz w:val="18"/>
          <w:szCs w:val="18"/>
        </w:rPr>
      </w:pPr>
      <w:r w:rsidRPr="00CD63D9">
        <w:rPr>
          <w:rStyle w:val="FootnoteReference"/>
          <w:rFonts w:ascii="Times New Roman" w:hAnsi="Times New Roman" w:cs="Times New Roman"/>
          <w:szCs w:val="20"/>
        </w:rPr>
        <w:footnoteRef/>
      </w:r>
      <w:r w:rsidRPr="00CD63D9">
        <w:rPr>
          <w:rFonts w:ascii="Times New Roman" w:hAnsi="Times New Roman" w:cs="Times New Roman"/>
          <w:szCs w:val="20"/>
        </w:rPr>
        <w:t xml:space="preserve"> </w:t>
      </w:r>
      <w:r w:rsidRPr="00834149">
        <w:rPr>
          <w:rFonts w:cs="Times New Roman"/>
          <w:noProof/>
          <w:sz w:val="18"/>
          <w:szCs w:val="18"/>
        </w:rPr>
        <w:t>Core Welfare Indicators Questionnaire (CWIQ) survey (QUIBB 2015).</w:t>
      </w:r>
    </w:p>
  </w:footnote>
  <w:footnote w:id="4">
    <w:p w14:paraId="6842292C" w14:textId="77777777" w:rsidR="000D6ABB" w:rsidRPr="00834149" w:rsidRDefault="000D6ABB" w:rsidP="00CD63D9">
      <w:pPr>
        <w:pStyle w:val="FootnoteText"/>
        <w:spacing w:before="0" w:beforeAutospacing="0" w:after="0" w:afterAutospacing="0"/>
        <w:jc w:val="both"/>
        <w:rPr>
          <w:rFonts w:cs="Times New Roman"/>
          <w:sz w:val="18"/>
          <w:szCs w:val="18"/>
        </w:rPr>
      </w:pPr>
      <w:r w:rsidRPr="00CD63D9">
        <w:rPr>
          <w:rStyle w:val="FootnoteReference"/>
          <w:rFonts w:ascii="Times New Roman" w:hAnsi="Times New Roman" w:cs="Times New Roman"/>
          <w:szCs w:val="20"/>
        </w:rPr>
        <w:footnoteRef/>
      </w:r>
      <w:r w:rsidRPr="00CD63D9">
        <w:rPr>
          <w:rFonts w:ascii="Times New Roman" w:hAnsi="Times New Roman" w:cs="Times New Roman"/>
          <w:szCs w:val="20"/>
        </w:rPr>
        <w:t xml:space="preserve"> </w:t>
      </w:r>
      <w:r w:rsidRPr="00834149">
        <w:rPr>
          <w:rFonts w:cs="Times New Roman"/>
          <w:sz w:val="18"/>
          <w:szCs w:val="18"/>
        </w:rPr>
        <w:t>These include Voice and Accountability, Political Stability and the Absence of Violence, Government Effectiveness, Regulatory Quality, Rule of Law, and Control of Corruption. In the 2015 indicators, Togo ranks in the bottom third on all but Political Stability and the Absence of Violence (on which it ranks in the 40</w:t>
      </w:r>
      <w:r w:rsidRPr="00834149">
        <w:rPr>
          <w:rFonts w:cs="Times New Roman"/>
          <w:sz w:val="18"/>
          <w:szCs w:val="18"/>
          <w:vertAlign w:val="superscript"/>
        </w:rPr>
        <w:t>th</w:t>
      </w:r>
      <w:r w:rsidRPr="00834149">
        <w:rPr>
          <w:rFonts w:cs="Times New Roman"/>
          <w:sz w:val="18"/>
          <w:szCs w:val="18"/>
        </w:rPr>
        <w:t xml:space="preserve"> percentile).</w:t>
      </w:r>
    </w:p>
  </w:footnote>
  <w:footnote w:id="5">
    <w:p w14:paraId="69EAFDA5" w14:textId="7554B24C" w:rsidR="000D6ABB" w:rsidRPr="00834149" w:rsidRDefault="000D6ABB" w:rsidP="00982543">
      <w:pPr>
        <w:pStyle w:val="FootnoteText"/>
        <w:spacing w:before="0" w:beforeAutospacing="0" w:after="0" w:afterAutospacing="0"/>
        <w:rPr>
          <w:rFonts w:cs="Times New Roman"/>
          <w:sz w:val="18"/>
          <w:szCs w:val="18"/>
        </w:rPr>
      </w:pPr>
      <w:r w:rsidRPr="00834149">
        <w:rPr>
          <w:rStyle w:val="FootnoteReference"/>
          <w:rFonts w:cs="Times New Roman"/>
          <w:sz w:val="18"/>
          <w:szCs w:val="18"/>
        </w:rPr>
        <w:footnoteRef/>
      </w:r>
      <w:r w:rsidRPr="00834149">
        <w:rPr>
          <w:rFonts w:cs="Times New Roman"/>
          <w:sz w:val="18"/>
          <w:szCs w:val="18"/>
        </w:rPr>
        <w:t xml:space="preserve"> See http://info.worldbank.org/governance/wgi/#doc.</w:t>
      </w:r>
    </w:p>
  </w:footnote>
  <w:footnote w:id="6">
    <w:p w14:paraId="0632334B" w14:textId="4BBA5388" w:rsidR="000D6ABB" w:rsidRPr="00834149" w:rsidRDefault="000D6ABB" w:rsidP="00C97360">
      <w:pPr>
        <w:pStyle w:val="FootnoteText"/>
        <w:spacing w:before="0" w:beforeAutospacing="0" w:after="0" w:afterAutospacing="0"/>
        <w:rPr>
          <w:rFonts w:cs="Times New Roman"/>
          <w:sz w:val="18"/>
          <w:szCs w:val="18"/>
        </w:rPr>
      </w:pPr>
      <w:r>
        <w:rPr>
          <w:rStyle w:val="FootnoteReference"/>
        </w:rPr>
        <w:footnoteRef/>
      </w:r>
      <w:r>
        <w:t xml:space="preserve"> </w:t>
      </w:r>
      <w:r w:rsidRPr="00834149">
        <w:rPr>
          <w:rFonts w:cs="Times New Roman"/>
          <w:sz w:val="18"/>
          <w:szCs w:val="18"/>
        </w:rPr>
        <w:t>IDA is in discussions with the authorities to define the reform program to underpin the proposed DPO series.</w:t>
      </w:r>
    </w:p>
  </w:footnote>
  <w:footnote w:id="7">
    <w:p w14:paraId="5E32E6D5" w14:textId="65B82C20" w:rsidR="000D6ABB" w:rsidRPr="00844141" w:rsidRDefault="000D6ABB" w:rsidP="00F41E9C">
      <w:pPr>
        <w:pStyle w:val="FootnoteText"/>
        <w:spacing w:before="0" w:beforeAutospacing="0" w:after="0" w:afterAutospacing="0"/>
        <w:rPr>
          <w:rFonts w:ascii="Times New Roman" w:hAnsi="Times New Roman" w:cs="Times New Roman"/>
        </w:rPr>
      </w:pPr>
      <w:r>
        <w:rPr>
          <w:rStyle w:val="FootnoteReference"/>
        </w:rPr>
        <w:footnoteRef/>
      </w:r>
      <w:r>
        <w:t xml:space="preserve"> </w:t>
      </w:r>
      <w:r w:rsidRPr="00844141">
        <w:rPr>
          <w:rFonts w:ascii="Times New Roman" w:hAnsi="Times New Roman" w:cs="Times New Roman"/>
        </w:rPr>
        <w:t>The content of the DPO has not yet been agreed.</w:t>
      </w:r>
    </w:p>
  </w:footnote>
  <w:footnote w:id="8">
    <w:p w14:paraId="0192FCF0" w14:textId="77777777" w:rsidR="000D6ABB" w:rsidRPr="00834149" w:rsidRDefault="000D6ABB" w:rsidP="00CD63D9">
      <w:pPr>
        <w:pStyle w:val="FootnoteText"/>
        <w:spacing w:before="0" w:beforeAutospacing="0" w:after="0" w:afterAutospacing="0"/>
        <w:contextualSpacing/>
        <w:jc w:val="both"/>
        <w:rPr>
          <w:rFonts w:cs="Times New Roman"/>
          <w:sz w:val="18"/>
          <w:szCs w:val="18"/>
        </w:rPr>
      </w:pPr>
      <w:r w:rsidRPr="00CD63D9">
        <w:rPr>
          <w:rStyle w:val="FootnoteReference"/>
          <w:rFonts w:ascii="Times New Roman" w:hAnsi="Times New Roman" w:cs="Times New Roman"/>
          <w:szCs w:val="20"/>
        </w:rPr>
        <w:footnoteRef/>
      </w:r>
      <w:r w:rsidRPr="00CD63D9">
        <w:rPr>
          <w:rFonts w:ascii="Times New Roman" w:hAnsi="Times New Roman" w:cs="Times New Roman"/>
          <w:szCs w:val="20"/>
        </w:rPr>
        <w:t xml:space="preserve"> </w:t>
      </w:r>
      <w:r w:rsidRPr="00834149">
        <w:rPr>
          <w:rFonts w:cs="Times New Roman"/>
          <w:sz w:val="18"/>
          <w:szCs w:val="18"/>
        </w:rPr>
        <w:t>With support from AFD (for lower secondary education) and the Global Program for Education (focused on primary education and administered by the World Bank).</w:t>
      </w:r>
    </w:p>
  </w:footnote>
  <w:footnote w:id="9">
    <w:p w14:paraId="11A000E5" w14:textId="77777777" w:rsidR="000D6ABB" w:rsidRPr="00CD63D9" w:rsidRDefault="000D6ABB" w:rsidP="00834149">
      <w:pPr>
        <w:pStyle w:val="FootnoteText"/>
        <w:spacing w:before="0" w:beforeAutospacing="0" w:after="0" w:afterAutospacing="0"/>
        <w:jc w:val="both"/>
        <w:rPr>
          <w:rFonts w:ascii="Times New Roman" w:hAnsi="Times New Roman" w:cs="Times New Roman"/>
          <w:szCs w:val="20"/>
        </w:rPr>
      </w:pPr>
      <w:r w:rsidRPr="00CD63D9">
        <w:rPr>
          <w:rStyle w:val="FootnoteReference"/>
          <w:rFonts w:ascii="Times New Roman" w:hAnsi="Times New Roman" w:cs="Times New Roman"/>
          <w:szCs w:val="20"/>
        </w:rPr>
        <w:footnoteRef/>
      </w:r>
      <w:r w:rsidRPr="00CD63D9">
        <w:rPr>
          <w:rFonts w:ascii="Times New Roman" w:hAnsi="Times New Roman" w:cs="Times New Roman"/>
          <w:szCs w:val="20"/>
        </w:rPr>
        <w:t xml:space="preserve"> As Togo is a fragile state</w:t>
      </w:r>
      <w:r w:rsidRPr="00CD63D9">
        <w:rPr>
          <w:rFonts w:ascii="Times New Roman" w:hAnsi="Times New Roman" w:cs="Times New Roman"/>
          <w:color w:val="auto"/>
          <w:szCs w:val="20"/>
        </w:rPr>
        <w:t>, a Risks and Resilience Assessment and other relevant fragility assessment of the power generation activity would be prepared.</w:t>
      </w:r>
    </w:p>
  </w:footnote>
  <w:footnote w:id="10">
    <w:p w14:paraId="4D4B7C35" w14:textId="77777777" w:rsidR="000D6ABB" w:rsidRPr="00834149" w:rsidRDefault="000D6ABB" w:rsidP="00E427C0">
      <w:pPr>
        <w:pStyle w:val="FootnoteText"/>
        <w:spacing w:before="0" w:beforeAutospacing="0" w:after="0" w:afterAutospacing="0"/>
        <w:jc w:val="both"/>
        <w:rPr>
          <w:rFonts w:cs="Times New Roman"/>
          <w:sz w:val="18"/>
          <w:szCs w:val="18"/>
        </w:rPr>
      </w:pPr>
      <w:r w:rsidRPr="00834149">
        <w:rPr>
          <w:rStyle w:val="FootnoteReference"/>
          <w:rFonts w:cs="Times New Roman"/>
          <w:sz w:val="18"/>
          <w:szCs w:val="18"/>
        </w:rPr>
        <w:footnoteRef/>
      </w:r>
      <w:r w:rsidRPr="00834149">
        <w:rPr>
          <w:rFonts w:cs="Times New Roman"/>
          <w:sz w:val="18"/>
          <w:szCs w:val="18"/>
        </w:rPr>
        <w:t xml:space="preserve"> Published by the International Telecommunication Union, </w:t>
      </w:r>
      <w:r w:rsidRPr="00834149">
        <w:rPr>
          <w:rFonts w:cs="Times New Roman"/>
          <w:i/>
          <w:sz w:val="18"/>
          <w:szCs w:val="18"/>
        </w:rPr>
        <w:t>Measuring The Information Society 2016</w:t>
      </w:r>
      <w:r w:rsidRPr="00834149">
        <w:rPr>
          <w:rFonts w:cs="Times New Roman"/>
          <w:sz w:val="18"/>
          <w:szCs w:val="18"/>
        </w:rPr>
        <w:t>. The IDI benchmarks ICT development across countries, combining eleven indicators on ICT access, use, and skill.</w:t>
      </w:r>
    </w:p>
  </w:footnote>
  <w:footnote w:id="11">
    <w:p w14:paraId="6033978C" w14:textId="77777777" w:rsidR="000D6ABB" w:rsidRPr="00834149" w:rsidRDefault="000D6ABB" w:rsidP="00672F4D">
      <w:pPr>
        <w:pStyle w:val="FootnoteText"/>
        <w:spacing w:before="0" w:beforeAutospacing="0" w:after="0" w:afterAutospacing="0"/>
        <w:jc w:val="both"/>
        <w:rPr>
          <w:rFonts w:cs="Times New Roman"/>
          <w:sz w:val="18"/>
          <w:szCs w:val="18"/>
        </w:rPr>
      </w:pPr>
      <w:r w:rsidRPr="00D75171">
        <w:rPr>
          <w:rStyle w:val="FootnoteReference"/>
          <w:rFonts w:ascii="Times New Roman" w:hAnsi="Times New Roman" w:cs="Times New Roman"/>
          <w:szCs w:val="20"/>
        </w:rPr>
        <w:footnoteRef/>
      </w:r>
      <w:r w:rsidRPr="00D75171">
        <w:rPr>
          <w:rFonts w:ascii="Times New Roman" w:hAnsi="Times New Roman" w:cs="Times New Roman"/>
          <w:szCs w:val="20"/>
        </w:rPr>
        <w:t xml:space="preserve"> </w:t>
      </w:r>
      <w:r w:rsidRPr="00834149">
        <w:rPr>
          <w:rFonts w:cs="Times New Roman"/>
          <w:sz w:val="18"/>
          <w:szCs w:val="18"/>
        </w:rPr>
        <w:t>More data on the distribution of impacts of these issues is needed to rank them with great confidence in terms of poverty impacts.</w:t>
      </w:r>
    </w:p>
  </w:footnote>
  <w:footnote w:id="12">
    <w:p w14:paraId="600C62AA" w14:textId="77777777" w:rsidR="000D6ABB" w:rsidRPr="00834149" w:rsidRDefault="000D6ABB" w:rsidP="00CD63D9">
      <w:pPr>
        <w:pStyle w:val="FootnoteText"/>
        <w:spacing w:before="0" w:beforeAutospacing="0" w:after="0" w:afterAutospacing="0"/>
        <w:jc w:val="both"/>
        <w:rPr>
          <w:rFonts w:cs="Times New Roman"/>
          <w:sz w:val="18"/>
          <w:szCs w:val="18"/>
        </w:rPr>
      </w:pPr>
      <w:r w:rsidRPr="00CD63D9">
        <w:rPr>
          <w:rStyle w:val="FootnoteReference"/>
          <w:rFonts w:ascii="Times New Roman" w:hAnsi="Times New Roman" w:cs="Times New Roman"/>
          <w:szCs w:val="20"/>
        </w:rPr>
        <w:footnoteRef/>
      </w:r>
      <w:r w:rsidRPr="00CD63D9">
        <w:rPr>
          <w:rFonts w:ascii="Times New Roman" w:hAnsi="Times New Roman" w:cs="Times New Roman"/>
          <w:szCs w:val="20"/>
        </w:rPr>
        <w:t xml:space="preserve"> </w:t>
      </w:r>
      <w:r w:rsidRPr="00834149">
        <w:rPr>
          <w:rFonts w:cs="Times New Roman"/>
          <w:sz w:val="18"/>
          <w:szCs w:val="18"/>
        </w:rPr>
        <w:t>There are no available studies quantifying the economic impacts on poor people, but there are local media reports of the disruption of some fishing livelihoods.</w:t>
      </w:r>
    </w:p>
  </w:footnote>
  <w:footnote w:id="13">
    <w:p w14:paraId="5632032D" w14:textId="77777777" w:rsidR="000D6ABB" w:rsidRPr="00056FF8" w:rsidRDefault="000D6ABB" w:rsidP="00CD63D9">
      <w:pPr>
        <w:pStyle w:val="FootnoteText"/>
        <w:spacing w:before="0" w:beforeAutospacing="0" w:after="0" w:afterAutospacing="0"/>
        <w:jc w:val="both"/>
        <w:rPr>
          <w:rFonts w:cs="Times New Roman"/>
          <w:szCs w:val="20"/>
        </w:rPr>
      </w:pPr>
      <w:r w:rsidRPr="00CD63D9">
        <w:rPr>
          <w:rStyle w:val="FootnoteReference"/>
          <w:rFonts w:ascii="Times New Roman" w:hAnsi="Times New Roman" w:cs="Times New Roman"/>
          <w:szCs w:val="20"/>
        </w:rPr>
        <w:footnoteRef/>
      </w:r>
      <w:r w:rsidRPr="00CD63D9">
        <w:rPr>
          <w:rFonts w:ascii="Times New Roman" w:hAnsi="Times New Roman" w:cs="Times New Roman"/>
          <w:szCs w:val="20"/>
        </w:rPr>
        <w:t xml:space="preserve"> </w:t>
      </w:r>
      <w:r w:rsidRPr="00056FF8">
        <w:rPr>
          <w:rFonts w:cs="Times New Roman"/>
          <w:szCs w:val="20"/>
        </w:rPr>
        <w:t xml:space="preserve">Lack of data is a major constraint. </w:t>
      </w:r>
    </w:p>
  </w:footnote>
  <w:footnote w:id="14">
    <w:p w14:paraId="2479B82E" w14:textId="77777777" w:rsidR="000D6ABB" w:rsidRPr="00056FF8" w:rsidRDefault="000D6ABB" w:rsidP="009D67B6">
      <w:pPr>
        <w:pStyle w:val="FootnoteText"/>
        <w:spacing w:before="0" w:beforeAutospacing="0" w:after="0" w:afterAutospacing="0"/>
        <w:jc w:val="both"/>
        <w:rPr>
          <w:rFonts w:cs="Times New Roman"/>
          <w:szCs w:val="20"/>
        </w:rPr>
      </w:pPr>
      <w:r w:rsidRPr="00056FF8">
        <w:rPr>
          <w:rStyle w:val="FootnoteReference"/>
          <w:rFonts w:cs="Times New Roman"/>
          <w:szCs w:val="20"/>
        </w:rPr>
        <w:footnoteRef/>
      </w:r>
      <w:r w:rsidRPr="00056FF8">
        <w:rPr>
          <w:rFonts w:cs="Times New Roman"/>
          <w:szCs w:val="20"/>
        </w:rPr>
        <w:t xml:space="preserve"> Actual IDA allocations during the CPF period will be determined on a yearly basis and will depend on: (i) total IDA resources available; (ii) country performance rating based on the CPIA/PCPI and portfolio performance; (iii) the performance of other IDA borrowers; (iv) eligibility for an exceptional regime, and (v) grant eligibility.</w:t>
      </w:r>
    </w:p>
  </w:footnote>
  <w:footnote w:id="15">
    <w:p w14:paraId="3D62096F" w14:textId="77777777" w:rsidR="000D6ABB" w:rsidRDefault="000D6ABB" w:rsidP="00982543">
      <w:pPr>
        <w:pStyle w:val="FootnoteText"/>
        <w:spacing w:before="0" w:beforeAutospacing="0" w:after="0" w:afterAutospacing="0"/>
        <w:rPr>
          <w:szCs w:val="20"/>
        </w:rPr>
      </w:pPr>
      <w:r>
        <w:rPr>
          <w:rStyle w:val="FootnoteReference"/>
          <w:szCs w:val="20"/>
        </w:rPr>
        <w:footnoteRef/>
      </w:r>
      <w:r>
        <w:rPr>
          <w:szCs w:val="20"/>
        </w:rPr>
        <w:t xml:space="preserve"> </w:t>
      </w:r>
      <w:r>
        <w:rPr>
          <w:rFonts w:cs="Times New Roman"/>
          <w:szCs w:val="20"/>
        </w:rPr>
        <w:t xml:space="preserve">Activities related to the cross-cutting theme of governance are indicated throughout the results framework in </w:t>
      </w:r>
      <w:r>
        <w:rPr>
          <w:rFonts w:cs="Times New Roman"/>
          <w:b/>
          <w:szCs w:val="20"/>
        </w:rPr>
        <w:t>bold</w:t>
      </w:r>
      <w:r>
        <w:rPr>
          <w:rFonts w:cs="Times New Roman"/>
          <w:szCs w:val="20"/>
        </w:rPr>
        <w:t xml:space="preserve"> text.</w:t>
      </w:r>
    </w:p>
  </w:footnote>
  <w:footnote w:id="16">
    <w:p w14:paraId="25325EF1" w14:textId="77777777" w:rsidR="000D6ABB" w:rsidRDefault="000D6ABB" w:rsidP="00982543">
      <w:pPr>
        <w:pStyle w:val="FootnoteText"/>
        <w:spacing w:before="0" w:beforeAutospacing="0" w:after="0" w:afterAutospacing="0"/>
      </w:pPr>
      <w:r>
        <w:rPr>
          <w:rStyle w:val="FootnoteReference"/>
        </w:rPr>
        <w:footnoteRef/>
      </w:r>
      <w:r>
        <w:t xml:space="preserve"> Sources for this report include interviews with WBG staff, as well as implementation status and results reports, implementation completion reports, mid-term reviews, aide memoires, and other self-evaluations prepared by the country team.</w:t>
      </w:r>
    </w:p>
  </w:footnote>
  <w:footnote w:id="17">
    <w:p w14:paraId="18710531" w14:textId="77777777" w:rsidR="000D6ABB" w:rsidRDefault="000D6ABB" w:rsidP="00982543">
      <w:pPr>
        <w:pStyle w:val="FootnoteText"/>
        <w:spacing w:before="0" w:beforeAutospacing="0" w:after="0" w:afterAutospacing="0"/>
      </w:pPr>
      <w:r>
        <w:rPr>
          <w:rStyle w:val="FootnoteReference"/>
        </w:rPr>
        <w:footnoteRef/>
      </w:r>
      <w:r>
        <w:t xml:space="preserve"> The indicative IDA16 allocation to Togo for the three years of IDA16, FY2012-14, was SDR 60 million ($90.1 million). Togo began receiving HIPC debt relief after reaching the Completion Point in December 2010. When debt relief resources are added, the total IDA16 allocation was SDR 79 million ($118 million).</w:t>
      </w:r>
    </w:p>
  </w:footnote>
  <w:footnote w:id="18">
    <w:p w14:paraId="42E0E0C6" w14:textId="77777777" w:rsidR="000D6ABB" w:rsidRDefault="000D6ABB" w:rsidP="00982543">
      <w:pPr>
        <w:pStyle w:val="FootnoteText"/>
        <w:spacing w:before="0" w:beforeAutospacing="0" w:after="0" w:afterAutospacing="0"/>
      </w:pPr>
      <w:r>
        <w:rPr>
          <w:rStyle w:val="FootnoteReference"/>
        </w:rPr>
        <w:footnoteRef/>
      </w:r>
      <w:r>
        <w:t xml:space="preserve"> This approach follows guidance from the World Bank’s Operational Policy and Country Services (OPCS) unit in exceptional cases of CLRs that evaluate country strategies prepared before 2014 and are limited by data challenges and a considerable amount of time elapsed since the formal completion of the country strategy cycle.</w:t>
      </w:r>
    </w:p>
  </w:footnote>
  <w:footnote w:id="19">
    <w:p w14:paraId="481BD9B5" w14:textId="77777777" w:rsidR="000D6ABB" w:rsidRDefault="000D6ABB" w:rsidP="00982543">
      <w:pPr>
        <w:pStyle w:val="FootnoteText"/>
        <w:spacing w:before="0" w:beforeAutospacing="0" w:after="0" w:afterAutospacing="0"/>
      </w:pPr>
      <w:r>
        <w:rPr>
          <w:rStyle w:val="FootnoteReference"/>
        </w:rPr>
        <w:footnoteRef/>
      </w:r>
      <w:r>
        <w:t xml:space="preserve"> Prepared in conjunction with the Public Expenditure and Financial Accountability (PEFA) assessments.</w:t>
      </w:r>
    </w:p>
  </w:footnote>
  <w:footnote w:id="20">
    <w:p w14:paraId="6F7BBD0F" w14:textId="77777777" w:rsidR="000D6ABB" w:rsidRDefault="000D6ABB" w:rsidP="00736B5A">
      <w:pPr>
        <w:jc w:val="both"/>
        <w:rPr>
          <w:sz w:val="20"/>
          <w:szCs w:val="20"/>
        </w:rPr>
      </w:pPr>
      <w:r>
        <w:rPr>
          <w:rStyle w:val="FootnoteReference"/>
          <w:sz w:val="20"/>
          <w:szCs w:val="20"/>
        </w:rPr>
        <w:footnoteRef/>
      </w:r>
      <w:r>
        <w:rPr>
          <w:sz w:val="20"/>
          <w:szCs w:val="20"/>
        </w:rPr>
        <w:t xml:space="preserve"> These results were not sustained, however, as by 2016 the </w:t>
      </w:r>
      <w:r>
        <w:rPr>
          <w:color w:val="000000"/>
          <w:sz w:val="20"/>
          <w:szCs w:val="20"/>
        </w:rPr>
        <w:t>Togo Electric Energy Company (</w:t>
      </w:r>
      <w:r>
        <w:rPr>
          <w:sz w:val="20"/>
          <w:szCs w:val="20"/>
        </w:rPr>
        <w:t xml:space="preserve">CEET) was again experiencing financial difficulties, with large amounts of arrears and cross debt between it, the </w:t>
      </w:r>
      <w:r>
        <w:rPr>
          <w:rStyle w:val="st"/>
          <w:sz w:val="20"/>
          <w:szCs w:val="20"/>
        </w:rPr>
        <w:t>Electricity Community of Benin (</w:t>
      </w:r>
      <w:r>
        <w:rPr>
          <w:sz w:val="20"/>
          <w:szCs w:val="20"/>
        </w:rPr>
        <w:t>CEB), and the government.</w:t>
      </w:r>
    </w:p>
  </w:footnote>
  <w:footnote w:id="21">
    <w:p w14:paraId="7910CD26" w14:textId="77777777" w:rsidR="000D6ABB" w:rsidRDefault="000D6ABB" w:rsidP="00982543">
      <w:pPr>
        <w:pStyle w:val="FootnoteText"/>
        <w:spacing w:before="0" w:beforeAutospacing="0" w:after="0" w:afterAutospacing="0"/>
      </w:pPr>
      <w:r>
        <w:rPr>
          <w:rStyle w:val="FootnoteReference"/>
        </w:rPr>
        <w:footnoteRef/>
      </w:r>
      <w:r>
        <w:t xml:space="preserve"> IFC also acted as the sole lead arranger of the loan package for LCT, valued at around $300 million.</w:t>
      </w:r>
    </w:p>
  </w:footnote>
  <w:footnote w:id="22">
    <w:p w14:paraId="149B2FCE" w14:textId="77777777" w:rsidR="000D6ABB" w:rsidRDefault="000D6ABB" w:rsidP="00982543">
      <w:pPr>
        <w:pStyle w:val="FootnoteText"/>
        <w:spacing w:before="0" w:beforeAutospacing="0" w:after="0" w:afterAutospacing="0"/>
        <w:rPr>
          <w:rFonts w:ascii="Garamond" w:hAnsi="Garamond"/>
          <w:sz w:val="18"/>
          <w:lang w:val="fr-FR"/>
        </w:rPr>
      </w:pPr>
      <w:r>
        <w:rPr>
          <w:rStyle w:val="FootnoteReference"/>
          <w:rFonts w:ascii="Garamond" w:hAnsi="Garamond"/>
          <w:sz w:val="18"/>
        </w:rPr>
        <w:footnoteRef/>
      </w:r>
      <w:r>
        <w:rPr>
          <w:rFonts w:ascii="Garamond" w:hAnsi="Garamond"/>
          <w:sz w:val="18"/>
          <w:lang w:val="fr-FR"/>
        </w:rPr>
        <w:t xml:space="preserve"> Direction Nationale du Contrôle des Marchés Publics.</w:t>
      </w:r>
    </w:p>
  </w:footnote>
  <w:footnote w:id="23">
    <w:p w14:paraId="2085B533" w14:textId="77777777" w:rsidR="000D6ABB" w:rsidRDefault="000D6ABB" w:rsidP="00982543">
      <w:pPr>
        <w:pStyle w:val="FootnoteText"/>
        <w:spacing w:before="0" w:beforeAutospacing="0" w:after="0" w:afterAutospacing="0"/>
        <w:rPr>
          <w:rFonts w:ascii="Garamond" w:hAnsi="Garamond"/>
          <w:sz w:val="18"/>
          <w:lang w:val="fr-FR"/>
        </w:rPr>
      </w:pPr>
      <w:r>
        <w:rPr>
          <w:rStyle w:val="FootnoteReference"/>
          <w:rFonts w:ascii="Garamond" w:hAnsi="Garamond"/>
          <w:sz w:val="18"/>
        </w:rPr>
        <w:footnoteRef/>
      </w:r>
      <w:r>
        <w:rPr>
          <w:rFonts w:ascii="Garamond" w:hAnsi="Garamond"/>
          <w:sz w:val="18"/>
          <w:lang w:val="fr-FR"/>
        </w:rPr>
        <w:t xml:space="preserve"> Commission de Contrôle des Marchés Publics.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7D75"/>
    <w:multiLevelType w:val="hybridMultilevel"/>
    <w:tmpl w:val="7F88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5BDC"/>
    <w:multiLevelType w:val="hybridMultilevel"/>
    <w:tmpl w:val="AEDA9394"/>
    <w:lvl w:ilvl="0" w:tplc="40544ECA">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405B9"/>
    <w:multiLevelType w:val="hybridMultilevel"/>
    <w:tmpl w:val="63201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612D4"/>
    <w:multiLevelType w:val="hybridMultilevel"/>
    <w:tmpl w:val="09741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105CA9"/>
    <w:multiLevelType w:val="hybridMultilevel"/>
    <w:tmpl w:val="A94EB08C"/>
    <w:lvl w:ilvl="0" w:tplc="E75E8616">
      <w:start w:val="1"/>
      <w:numFmt w:val="decimal"/>
      <w:pStyle w:val="ParagraphNumbering"/>
      <w:lvlText w:val="%1.     "/>
      <w:lvlJc w:val="left"/>
      <w:pPr>
        <w:tabs>
          <w:tab w:val="num" w:pos="720"/>
        </w:tabs>
        <w:ind w:left="0" w:firstLine="0"/>
      </w:pPr>
      <w:rPr>
        <w:rFonts w:hint="default"/>
        <w:sz w:val="23"/>
        <w:szCs w:val="23"/>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 w15:restartNumberingAfterBreak="0">
    <w:nsid w:val="15756EE9"/>
    <w:multiLevelType w:val="hybridMultilevel"/>
    <w:tmpl w:val="BC50FA5E"/>
    <w:lvl w:ilvl="0" w:tplc="0ABA05EC">
      <w:start w:val="1"/>
      <w:numFmt w:val="decimal"/>
      <w:lvlText w:val="%1."/>
      <w:lvlJc w:val="left"/>
      <w:pPr>
        <w:tabs>
          <w:tab w:val="num" w:pos="432"/>
        </w:tabs>
        <w:ind w:left="0" w:firstLine="0"/>
      </w:pPr>
      <w:rPr>
        <w:rFonts w:cs="Times New Roman"/>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EDC0F0F"/>
    <w:multiLevelType w:val="hybridMultilevel"/>
    <w:tmpl w:val="BC3603AE"/>
    <w:lvl w:ilvl="0" w:tplc="52AE5B94">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6358F"/>
    <w:multiLevelType w:val="hybridMultilevel"/>
    <w:tmpl w:val="510C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E5FE2"/>
    <w:multiLevelType w:val="multilevel"/>
    <w:tmpl w:val="38021972"/>
    <w:lvl w:ilvl="0">
      <w:start w:val="6"/>
      <w:numFmt w:val="decimal"/>
      <w:pStyle w:val="Para"/>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2F6F6689"/>
    <w:multiLevelType w:val="multilevel"/>
    <w:tmpl w:val="E1E216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A91CC3"/>
    <w:multiLevelType w:val="hybridMultilevel"/>
    <w:tmpl w:val="34F6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A4C96"/>
    <w:multiLevelType w:val="hybridMultilevel"/>
    <w:tmpl w:val="DC040E5C"/>
    <w:lvl w:ilvl="0" w:tplc="40544ECA">
      <w:start w:val="1"/>
      <w:numFmt w:val="bullet"/>
      <w:lvlText w:val=""/>
      <w:lvlJc w:val="left"/>
      <w:pPr>
        <w:tabs>
          <w:tab w:val="num" w:pos="360"/>
        </w:tabs>
        <w:ind w:left="36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439E6"/>
    <w:multiLevelType w:val="multilevel"/>
    <w:tmpl w:val="BD48F048"/>
    <w:lvl w:ilvl="0">
      <w:start w:val="1"/>
      <w:numFmt w:val="none"/>
      <w:pStyle w:val="Heading1a"/>
      <w:suff w:val="nothing"/>
      <w:lvlText w:val="%1"/>
      <w:lvlJc w:val="left"/>
      <w:pPr>
        <w:ind w:left="0" w:firstLine="0"/>
      </w:pPr>
      <w:rPr>
        <w:rFonts w:cs="Times New Roman"/>
      </w:rPr>
    </w:lvl>
    <w:lvl w:ilvl="1">
      <w:start w:val="1"/>
      <w:numFmt w:val="decimal"/>
      <w:pStyle w:val="MainParanoChapter"/>
      <w:lvlText w:val="%2."/>
      <w:lvlJc w:val="left"/>
      <w:pPr>
        <w:tabs>
          <w:tab w:val="num" w:pos="720"/>
        </w:tabs>
        <w:ind w:left="720" w:hanging="720"/>
      </w:pPr>
      <w:rPr>
        <w:rFonts w:cs="Times New Roman"/>
      </w:rPr>
    </w:lvl>
    <w:lvl w:ilvl="2">
      <w:start w:val="1"/>
      <w:numFmt w:val="lowerLetter"/>
      <w:pStyle w:val="Sub-Para1underX"/>
      <w:lvlText w:val="(%3)"/>
      <w:lvlJc w:val="left"/>
      <w:pPr>
        <w:tabs>
          <w:tab w:val="num" w:pos="1080"/>
        </w:tabs>
        <w:ind w:left="720" w:hanging="360"/>
      </w:pPr>
      <w:rPr>
        <w:rFonts w:cs="Times New Roman"/>
      </w:rPr>
    </w:lvl>
    <w:lvl w:ilvl="3">
      <w:start w:val="1"/>
      <w:numFmt w:val="lowerRoman"/>
      <w:pStyle w:val="Sub-Para2underX"/>
      <w:lvlText w:val="(%4)"/>
      <w:lvlJc w:val="left"/>
      <w:pPr>
        <w:tabs>
          <w:tab w:val="num" w:pos="1800"/>
        </w:tabs>
        <w:ind w:left="1080" w:hanging="360"/>
      </w:pPr>
      <w:rPr>
        <w:rFonts w:cs="Times New Roman"/>
      </w:rPr>
    </w:lvl>
    <w:lvl w:ilvl="4">
      <w:start w:val="1"/>
      <w:numFmt w:val="lowerLetter"/>
      <w:pStyle w:val="Sub-Para3underX"/>
      <w:lvlText w:val="%5."/>
      <w:lvlJc w:val="left"/>
      <w:pPr>
        <w:tabs>
          <w:tab w:val="num" w:pos="1440"/>
        </w:tabs>
        <w:ind w:left="1440" w:hanging="360"/>
      </w:pPr>
      <w:rPr>
        <w:rFonts w:cs="Times New Roman"/>
      </w:rPr>
    </w:lvl>
    <w:lvl w:ilvl="5">
      <w:start w:val="1"/>
      <w:numFmt w:val="lowerRoman"/>
      <w:pStyle w:val="Sub-Para4underX"/>
      <w:lvlText w:val="%6."/>
      <w:lvlJc w:val="left"/>
      <w:pPr>
        <w:tabs>
          <w:tab w:val="num" w:pos="2160"/>
        </w:tabs>
        <w:ind w:left="180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9687FBE"/>
    <w:multiLevelType w:val="multilevel"/>
    <w:tmpl w:val="D93439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D23B9F"/>
    <w:multiLevelType w:val="hybridMultilevel"/>
    <w:tmpl w:val="17DA8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Lucida Grande"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Lucida Grande"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27342"/>
    <w:multiLevelType w:val="hybridMultilevel"/>
    <w:tmpl w:val="88A0DA98"/>
    <w:lvl w:ilvl="0" w:tplc="BE6EFAB2">
      <w:start w:val="1"/>
      <w:numFmt w:val="decimal"/>
      <w:pStyle w:val="Normalnumberedparagraph"/>
      <w:lvlText w:val="%1."/>
      <w:lvlJc w:val="left"/>
      <w:pPr>
        <w:ind w:left="720" w:hanging="360"/>
      </w:pPr>
      <w:rPr>
        <w:rFonts w:cs="Times New Roman"/>
        <w:i w:val="0"/>
      </w:rPr>
    </w:lvl>
    <w:lvl w:ilvl="1" w:tplc="152206EC">
      <w:start w:val="1"/>
      <w:numFmt w:val="lowerLetter"/>
      <w:lvlText w:val="%2."/>
      <w:lvlJc w:val="left"/>
      <w:pPr>
        <w:ind w:left="1440" w:hanging="360"/>
      </w:pPr>
      <w:rPr>
        <w:rFonts w:cs="Times New Roman"/>
      </w:rPr>
    </w:lvl>
    <w:lvl w:ilvl="2" w:tplc="09683FE6">
      <w:start w:val="1"/>
      <w:numFmt w:val="lowerRoman"/>
      <w:lvlText w:val="%3."/>
      <w:lvlJc w:val="right"/>
      <w:pPr>
        <w:ind w:left="2160" w:hanging="180"/>
      </w:pPr>
      <w:rPr>
        <w:rFonts w:cs="Times New Roman"/>
      </w:rPr>
    </w:lvl>
    <w:lvl w:ilvl="3" w:tplc="D0DE7480">
      <w:start w:val="1"/>
      <w:numFmt w:val="decimal"/>
      <w:lvlText w:val="%4."/>
      <w:lvlJc w:val="left"/>
      <w:pPr>
        <w:ind w:left="2880" w:hanging="360"/>
      </w:pPr>
      <w:rPr>
        <w:rFonts w:cs="Times New Roman"/>
      </w:rPr>
    </w:lvl>
    <w:lvl w:ilvl="4" w:tplc="E1146944">
      <w:start w:val="1"/>
      <w:numFmt w:val="lowerLetter"/>
      <w:lvlText w:val="%5."/>
      <w:lvlJc w:val="left"/>
      <w:pPr>
        <w:ind w:left="3600" w:hanging="360"/>
      </w:pPr>
      <w:rPr>
        <w:rFonts w:cs="Times New Roman"/>
      </w:rPr>
    </w:lvl>
    <w:lvl w:ilvl="5" w:tplc="BEE86368">
      <w:start w:val="1"/>
      <w:numFmt w:val="lowerRoman"/>
      <w:lvlText w:val="%6."/>
      <w:lvlJc w:val="right"/>
      <w:pPr>
        <w:ind w:left="4320" w:hanging="180"/>
      </w:pPr>
      <w:rPr>
        <w:rFonts w:cs="Times New Roman"/>
      </w:rPr>
    </w:lvl>
    <w:lvl w:ilvl="6" w:tplc="07EA1A8C">
      <w:start w:val="1"/>
      <w:numFmt w:val="decimal"/>
      <w:lvlText w:val="%7."/>
      <w:lvlJc w:val="left"/>
      <w:pPr>
        <w:ind w:left="5040" w:hanging="360"/>
      </w:pPr>
      <w:rPr>
        <w:rFonts w:cs="Times New Roman"/>
      </w:rPr>
    </w:lvl>
    <w:lvl w:ilvl="7" w:tplc="F67823CE">
      <w:start w:val="1"/>
      <w:numFmt w:val="lowerLetter"/>
      <w:lvlText w:val="%8."/>
      <w:lvlJc w:val="left"/>
      <w:pPr>
        <w:ind w:left="5760" w:hanging="360"/>
      </w:pPr>
      <w:rPr>
        <w:rFonts w:cs="Times New Roman"/>
      </w:rPr>
    </w:lvl>
    <w:lvl w:ilvl="8" w:tplc="0E760082">
      <w:start w:val="1"/>
      <w:numFmt w:val="lowerRoman"/>
      <w:lvlText w:val="%9."/>
      <w:lvlJc w:val="right"/>
      <w:pPr>
        <w:ind w:left="6480" w:hanging="180"/>
      </w:pPr>
      <w:rPr>
        <w:rFonts w:cs="Times New Roman"/>
      </w:rPr>
    </w:lvl>
  </w:abstractNum>
  <w:abstractNum w:abstractNumId="16" w15:restartNumberingAfterBreak="0">
    <w:nsid w:val="4BD2701F"/>
    <w:multiLevelType w:val="multilevel"/>
    <w:tmpl w:val="4680F5B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0364CB"/>
    <w:multiLevelType w:val="hybridMultilevel"/>
    <w:tmpl w:val="9EC46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2A33DE"/>
    <w:multiLevelType w:val="hybridMultilevel"/>
    <w:tmpl w:val="6F465B56"/>
    <w:lvl w:ilvl="0" w:tplc="48289D4E">
      <w:start w:val="1"/>
      <w:numFmt w:val="upperLetter"/>
      <w:pStyle w:val="CLRSectionHeading"/>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83F226C"/>
    <w:multiLevelType w:val="multilevel"/>
    <w:tmpl w:val="8B90A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A53099"/>
    <w:multiLevelType w:val="hybridMultilevel"/>
    <w:tmpl w:val="1D80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8112E"/>
    <w:multiLevelType w:val="multilevel"/>
    <w:tmpl w:val="6AC8E82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012B05"/>
    <w:multiLevelType w:val="hybridMultilevel"/>
    <w:tmpl w:val="F27C2CB6"/>
    <w:lvl w:ilvl="0" w:tplc="CE2634A4">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4E4A11"/>
    <w:multiLevelType w:val="hybridMultilevel"/>
    <w:tmpl w:val="438CABDC"/>
    <w:lvl w:ilvl="0" w:tplc="BC1C1744">
      <w:start w:val="1"/>
      <w:numFmt w:val="decimal"/>
      <w:pStyle w:val="WBDocMainPara"/>
      <w:lvlText w:val="%1."/>
      <w:lvlJc w:val="left"/>
      <w:pPr>
        <w:ind w:left="21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7AA56B0D"/>
    <w:multiLevelType w:val="hybridMultilevel"/>
    <w:tmpl w:val="08B8B41E"/>
    <w:lvl w:ilvl="0" w:tplc="7DFA7C80">
      <w:start w:val="1"/>
      <w:numFmt w:val="decimal"/>
      <w:pStyle w:val="CPSText"/>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FD1C90"/>
    <w:multiLevelType w:val="multilevel"/>
    <w:tmpl w:val="55E6DFE4"/>
    <w:styleLink w:val="StyleNumbered"/>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upperLetter"/>
      <w:lvlText w:val="%2."/>
      <w:lvlJc w:val="left"/>
      <w:pPr>
        <w:tabs>
          <w:tab w:val="num" w:pos="1080"/>
        </w:tabs>
        <w:ind w:left="1080" w:hanging="360"/>
      </w:pPr>
      <w:rPr>
        <w:rFonts w:cs="Times New Roman"/>
        <w:color w:val="00000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7F122684"/>
    <w:multiLevelType w:val="hybridMultilevel"/>
    <w:tmpl w:val="273EF6A8"/>
    <w:lvl w:ilvl="0" w:tplc="19D45F68">
      <w:start w:val="1"/>
      <w:numFmt w:val="bullet"/>
      <w:pStyle w:val="Sour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4"/>
  </w:num>
  <w:num w:numId="7">
    <w:abstractNumId w:val="21"/>
  </w:num>
  <w:num w:numId="8">
    <w:abstractNumId w:val="24"/>
  </w:num>
  <w:num w:numId="9">
    <w:abstractNumId w:val="20"/>
  </w:num>
  <w:num w:numId="10">
    <w:abstractNumId w:val="16"/>
  </w:num>
  <w:num w:numId="1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7"/>
  </w:num>
  <w:num w:numId="15">
    <w:abstractNumId w:val="17"/>
  </w:num>
  <w:num w:numId="16">
    <w:abstractNumId w:val="3"/>
  </w:num>
  <w:num w:numId="17">
    <w:abstractNumId w:val="5"/>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1"/>
  </w:num>
  <w:num w:numId="32">
    <w:abstractNumId w:val="11"/>
  </w:num>
  <w:num w:numId="33">
    <w:abstractNumId w:val="1"/>
  </w:num>
  <w:num w:numId="34">
    <w:abstractNumId w:val="1"/>
  </w:num>
  <w:num w:numId="35">
    <w:abstractNumId w:val="25"/>
  </w:num>
  <w:num w:numId="36">
    <w:abstractNumId w:val="2"/>
  </w:num>
  <w:num w:numId="3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1A"/>
    <w:rsid w:val="000002D4"/>
    <w:rsid w:val="000005E0"/>
    <w:rsid w:val="000008C5"/>
    <w:rsid w:val="00000A87"/>
    <w:rsid w:val="000017AC"/>
    <w:rsid w:val="00002C58"/>
    <w:rsid w:val="00003866"/>
    <w:rsid w:val="00003C09"/>
    <w:rsid w:val="000052C6"/>
    <w:rsid w:val="00005914"/>
    <w:rsid w:val="00006C49"/>
    <w:rsid w:val="00006F27"/>
    <w:rsid w:val="000071A4"/>
    <w:rsid w:val="00010B12"/>
    <w:rsid w:val="00010F04"/>
    <w:rsid w:val="0001146D"/>
    <w:rsid w:val="000115AB"/>
    <w:rsid w:val="000117A5"/>
    <w:rsid w:val="00011F0C"/>
    <w:rsid w:val="00011F23"/>
    <w:rsid w:val="00011FDC"/>
    <w:rsid w:val="00012429"/>
    <w:rsid w:val="00015BB1"/>
    <w:rsid w:val="00015F23"/>
    <w:rsid w:val="0002099C"/>
    <w:rsid w:val="000210E8"/>
    <w:rsid w:val="000224C4"/>
    <w:rsid w:val="00022743"/>
    <w:rsid w:val="00022A2E"/>
    <w:rsid w:val="0002305A"/>
    <w:rsid w:val="00023AAA"/>
    <w:rsid w:val="0002489F"/>
    <w:rsid w:val="000266DB"/>
    <w:rsid w:val="0002732F"/>
    <w:rsid w:val="000304A0"/>
    <w:rsid w:val="00030D86"/>
    <w:rsid w:val="00030DB7"/>
    <w:rsid w:val="00030E6A"/>
    <w:rsid w:val="00032209"/>
    <w:rsid w:val="000326F4"/>
    <w:rsid w:val="00033737"/>
    <w:rsid w:val="00033F4B"/>
    <w:rsid w:val="000342F5"/>
    <w:rsid w:val="000372FB"/>
    <w:rsid w:val="00040980"/>
    <w:rsid w:val="000411B1"/>
    <w:rsid w:val="00041424"/>
    <w:rsid w:val="0004200A"/>
    <w:rsid w:val="000433EB"/>
    <w:rsid w:val="00043980"/>
    <w:rsid w:val="0004444B"/>
    <w:rsid w:val="0004486F"/>
    <w:rsid w:val="0004602C"/>
    <w:rsid w:val="00046E8E"/>
    <w:rsid w:val="00047649"/>
    <w:rsid w:val="000509B8"/>
    <w:rsid w:val="00050AAC"/>
    <w:rsid w:val="00052CC7"/>
    <w:rsid w:val="00052DBB"/>
    <w:rsid w:val="0005333A"/>
    <w:rsid w:val="00053CB1"/>
    <w:rsid w:val="00053D40"/>
    <w:rsid w:val="0005495B"/>
    <w:rsid w:val="00056A46"/>
    <w:rsid w:val="00056FF8"/>
    <w:rsid w:val="00057786"/>
    <w:rsid w:val="0006184F"/>
    <w:rsid w:val="000624F6"/>
    <w:rsid w:val="00064636"/>
    <w:rsid w:val="0006567D"/>
    <w:rsid w:val="000665A4"/>
    <w:rsid w:val="000666BB"/>
    <w:rsid w:val="000673C7"/>
    <w:rsid w:val="0007096D"/>
    <w:rsid w:val="000711BA"/>
    <w:rsid w:val="00072696"/>
    <w:rsid w:val="000727C9"/>
    <w:rsid w:val="000737D8"/>
    <w:rsid w:val="000740A4"/>
    <w:rsid w:val="000749B6"/>
    <w:rsid w:val="000753D5"/>
    <w:rsid w:val="000765CA"/>
    <w:rsid w:val="00076682"/>
    <w:rsid w:val="000775D3"/>
    <w:rsid w:val="000776B3"/>
    <w:rsid w:val="000807D9"/>
    <w:rsid w:val="0008122A"/>
    <w:rsid w:val="000831C7"/>
    <w:rsid w:val="00083347"/>
    <w:rsid w:val="000859B0"/>
    <w:rsid w:val="00085D88"/>
    <w:rsid w:val="00087213"/>
    <w:rsid w:val="00090FE6"/>
    <w:rsid w:val="00091570"/>
    <w:rsid w:val="000915CF"/>
    <w:rsid w:val="00091D58"/>
    <w:rsid w:val="00092AC0"/>
    <w:rsid w:val="0009415E"/>
    <w:rsid w:val="00095789"/>
    <w:rsid w:val="0009588E"/>
    <w:rsid w:val="000970E2"/>
    <w:rsid w:val="000A22A7"/>
    <w:rsid w:val="000A2A01"/>
    <w:rsid w:val="000A3570"/>
    <w:rsid w:val="000A46F5"/>
    <w:rsid w:val="000A5771"/>
    <w:rsid w:val="000A66DE"/>
    <w:rsid w:val="000A774B"/>
    <w:rsid w:val="000B0DAB"/>
    <w:rsid w:val="000B177B"/>
    <w:rsid w:val="000B1EFC"/>
    <w:rsid w:val="000B2EEA"/>
    <w:rsid w:val="000B3685"/>
    <w:rsid w:val="000B3D42"/>
    <w:rsid w:val="000B55D2"/>
    <w:rsid w:val="000B568D"/>
    <w:rsid w:val="000B6C28"/>
    <w:rsid w:val="000B7136"/>
    <w:rsid w:val="000C0E08"/>
    <w:rsid w:val="000C13B9"/>
    <w:rsid w:val="000C13D0"/>
    <w:rsid w:val="000C25E6"/>
    <w:rsid w:val="000C3AB5"/>
    <w:rsid w:val="000C4C97"/>
    <w:rsid w:val="000C4CD7"/>
    <w:rsid w:val="000C50BD"/>
    <w:rsid w:val="000C58F9"/>
    <w:rsid w:val="000C6A7E"/>
    <w:rsid w:val="000C6CF9"/>
    <w:rsid w:val="000C73DD"/>
    <w:rsid w:val="000C7520"/>
    <w:rsid w:val="000D01EF"/>
    <w:rsid w:val="000D0D0E"/>
    <w:rsid w:val="000D11E9"/>
    <w:rsid w:val="000D2FE0"/>
    <w:rsid w:val="000D474F"/>
    <w:rsid w:val="000D4B8B"/>
    <w:rsid w:val="000D4E99"/>
    <w:rsid w:val="000D5BB0"/>
    <w:rsid w:val="000D6ABB"/>
    <w:rsid w:val="000D75F9"/>
    <w:rsid w:val="000D7F69"/>
    <w:rsid w:val="000E0728"/>
    <w:rsid w:val="000E0A8C"/>
    <w:rsid w:val="000E19A7"/>
    <w:rsid w:val="000E1B75"/>
    <w:rsid w:val="000E2340"/>
    <w:rsid w:val="000E5FC5"/>
    <w:rsid w:val="000E73BB"/>
    <w:rsid w:val="000F2166"/>
    <w:rsid w:val="000F47CA"/>
    <w:rsid w:val="000F4E6C"/>
    <w:rsid w:val="000F5595"/>
    <w:rsid w:val="000F55FA"/>
    <w:rsid w:val="0010004F"/>
    <w:rsid w:val="00102512"/>
    <w:rsid w:val="00103470"/>
    <w:rsid w:val="0010370B"/>
    <w:rsid w:val="001041D3"/>
    <w:rsid w:val="00104637"/>
    <w:rsid w:val="00104A8E"/>
    <w:rsid w:val="00104C96"/>
    <w:rsid w:val="00104E82"/>
    <w:rsid w:val="00107F6F"/>
    <w:rsid w:val="00111163"/>
    <w:rsid w:val="00111340"/>
    <w:rsid w:val="00112A17"/>
    <w:rsid w:val="00112C29"/>
    <w:rsid w:val="00114100"/>
    <w:rsid w:val="001148C1"/>
    <w:rsid w:val="001169BE"/>
    <w:rsid w:val="00116EB1"/>
    <w:rsid w:val="00117347"/>
    <w:rsid w:val="001173B6"/>
    <w:rsid w:val="00120804"/>
    <w:rsid w:val="00120FFB"/>
    <w:rsid w:val="00122A09"/>
    <w:rsid w:val="00122A3E"/>
    <w:rsid w:val="00123A75"/>
    <w:rsid w:val="00124222"/>
    <w:rsid w:val="00125969"/>
    <w:rsid w:val="001259B7"/>
    <w:rsid w:val="001264DE"/>
    <w:rsid w:val="00130057"/>
    <w:rsid w:val="001305F5"/>
    <w:rsid w:val="001309FC"/>
    <w:rsid w:val="00131001"/>
    <w:rsid w:val="00131347"/>
    <w:rsid w:val="00131597"/>
    <w:rsid w:val="00141696"/>
    <w:rsid w:val="00142488"/>
    <w:rsid w:val="00142A29"/>
    <w:rsid w:val="00143779"/>
    <w:rsid w:val="001447B1"/>
    <w:rsid w:val="00144D04"/>
    <w:rsid w:val="001461C8"/>
    <w:rsid w:val="001500E7"/>
    <w:rsid w:val="00151ED3"/>
    <w:rsid w:val="001527E4"/>
    <w:rsid w:val="001531CC"/>
    <w:rsid w:val="001531DD"/>
    <w:rsid w:val="00153E39"/>
    <w:rsid w:val="00154877"/>
    <w:rsid w:val="00154AD9"/>
    <w:rsid w:val="00155440"/>
    <w:rsid w:val="00155C48"/>
    <w:rsid w:val="00155E1C"/>
    <w:rsid w:val="00156008"/>
    <w:rsid w:val="00157CE3"/>
    <w:rsid w:val="00161CCC"/>
    <w:rsid w:val="00162C18"/>
    <w:rsid w:val="00163665"/>
    <w:rsid w:val="00164784"/>
    <w:rsid w:val="001653A0"/>
    <w:rsid w:val="001669C8"/>
    <w:rsid w:val="001702CF"/>
    <w:rsid w:val="001706D6"/>
    <w:rsid w:val="00171C1F"/>
    <w:rsid w:val="00171EBE"/>
    <w:rsid w:val="001731C1"/>
    <w:rsid w:val="001737B9"/>
    <w:rsid w:val="00174465"/>
    <w:rsid w:val="001751FF"/>
    <w:rsid w:val="001755B6"/>
    <w:rsid w:val="00175AEE"/>
    <w:rsid w:val="001763B7"/>
    <w:rsid w:val="001767C2"/>
    <w:rsid w:val="00176BA9"/>
    <w:rsid w:val="00177F0B"/>
    <w:rsid w:val="00180243"/>
    <w:rsid w:val="00180742"/>
    <w:rsid w:val="00180FCE"/>
    <w:rsid w:val="001810E3"/>
    <w:rsid w:val="00182827"/>
    <w:rsid w:val="001828A9"/>
    <w:rsid w:val="00183520"/>
    <w:rsid w:val="001835F5"/>
    <w:rsid w:val="0018385C"/>
    <w:rsid w:val="00184A0B"/>
    <w:rsid w:val="00184A70"/>
    <w:rsid w:val="00184F89"/>
    <w:rsid w:val="00184FC0"/>
    <w:rsid w:val="001864A8"/>
    <w:rsid w:val="00187814"/>
    <w:rsid w:val="00187870"/>
    <w:rsid w:val="00191CD2"/>
    <w:rsid w:val="00192423"/>
    <w:rsid w:val="001929C0"/>
    <w:rsid w:val="00192C7E"/>
    <w:rsid w:val="00194AFD"/>
    <w:rsid w:val="00194C6D"/>
    <w:rsid w:val="001953D4"/>
    <w:rsid w:val="001973B2"/>
    <w:rsid w:val="00197EE2"/>
    <w:rsid w:val="001A032C"/>
    <w:rsid w:val="001A054D"/>
    <w:rsid w:val="001A2913"/>
    <w:rsid w:val="001A3025"/>
    <w:rsid w:val="001A3357"/>
    <w:rsid w:val="001A3785"/>
    <w:rsid w:val="001A43C5"/>
    <w:rsid w:val="001A4F25"/>
    <w:rsid w:val="001A57D4"/>
    <w:rsid w:val="001A5810"/>
    <w:rsid w:val="001A77B6"/>
    <w:rsid w:val="001A7A85"/>
    <w:rsid w:val="001B001A"/>
    <w:rsid w:val="001B096B"/>
    <w:rsid w:val="001B14FB"/>
    <w:rsid w:val="001B1857"/>
    <w:rsid w:val="001B18B1"/>
    <w:rsid w:val="001B1D3E"/>
    <w:rsid w:val="001B2B88"/>
    <w:rsid w:val="001B33F0"/>
    <w:rsid w:val="001B44DC"/>
    <w:rsid w:val="001B5BF2"/>
    <w:rsid w:val="001B727A"/>
    <w:rsid w:val="001C03C6"/>
    <w:rsid w:val="001C121A"/>
    <w:rsid w:val="001C2D8B"/>
    <w:rsid w:val="001C2FF3"/>
    <w:rsid w:val="001C30C3"/>
    <w:rsid w:val="001C3153"/>
    <w:rsid w:val="001C5785"/>
    <w:rsid w:val="001C6060"/>
    <w:rsid w:val="001C6AFC"/>
    <w:rsid w:val="001C796A"/>
    <w:rsid w:val="001D3171"/>
    <w:rsid w:val="001D3D35"/>
    <w:rsid w:val="001D3E67"/>
    <w:rsid w:val="001D4E35"/>
    <w:rsid w:val="001D5842"/>
    <w:rsid w:val="001D6182"/>
    <w:rsid w:val="001D6E9C"/>
    <w:rsid w:val="001D70DF"/>
    <w:rsid w:val="001D7145"/>
    <w:rsid w:val="001D7169"/>
    <w:rsid w:val="001E01FF"/>
    <w:rsid w:val="001E0372"/>
    <w:rsid w:val="001E0C2B"/>
    <w:rsid w:val="001E0DC2"/>
    <w:rsid w:val="001E14B9"/>
    <w:rsid w:val="001E26EB"/>
    <w:rsid w:val="001E3A3C"/>
    <w:rsid w:val="001E4455"/>
    <w:rsid w:val="001E4957"/>
    <w:rsid w:val="001E5F26"/>
    <w:rsid w:val="001E6E48"/>
    <w:rsid w:val="001E7351"/>
    <w:rsid w:val="001F20C0"/>
    <w:rsid w:val="001F2487"/>
    <w:rsid w:val="001F4050"/>
    <w:rsid w:val="001F4C84"/>
    <w:rsid w:val="001F4DC4"/>
    <w:rsid w:val="001F504C"/>
    <w:rsid w:val="001F6451"/>
    <w:rsid w:val="001F69D6"/>
    <w:rsid w:val="001F727B"/>
    <w:rsid w:val="001F7FDE"/>
    <w:rsid w:val="002002A9"/>
    <w:rsid w:val="00200952"/>
    <w:rsid w:val="0020200C"/>
    <w:rsid w:val="002029D3"/>
    <w:rsid w:val="0020372C"/>
    <w:rsid w:val="0020408E"/>
    <w:rsid w:val="00205D87"/>
    <w:rsid w:val="00206428"/>
    <w:rsid w:val="00206631"/>
    <w:rsid w:val="00211024"/>
    <w:rsid w:val="0021201A"/>
    <w:rsid w:val="00212CDA"/>
    <w:rsid w:val="002130CB"/>
    <w:rsid w:val="002138C6"/>
    <w:rsid w:val="00213B13"/>
    <w:rsid w:val="00213C2E"/>
    <w:rsid w:val="00213C8C"/>
    <w:rsid w:val="00213D97"/>
    <w:rsid w:val="00214F8F"/>
    <w:rsid w:val="002161FA"/>
    <w:rsid w:val="002167DB"/>
    <w:rsid w:val="00216F45"/>
    <w:rsid w:val="0021716D"/>
    <w:rsid w:val="002175B6"/>
    <w:rsid w:val="002175F3"/>
    <w:rsid w:val="00220C97"/>
    <w:rsid w:val="00222461"/>
    <w:rsid w:val="00222FF7"/>
    <w:rsid w:val="00224D8E"/>
    <w:rsid w:val="0022575E"/>
    <w:rsid w:val="00227388"/>
    <w:rsid w:val="002302A4"/>
    <w:rsid w:val="002315C9"/>
    <w:rsid w:val="0023230B"/>
    <w:rsid w:val="002329C7"/>
    <w:rsid w:val="002335B4"/>
    <w:rsid w:val="00233962"/>
    <w:rsid w:val="002357F9"/>
    <w:rsid w:val="002358E1"/>
    <w:rsid w:val="00236963"/>
    <w:rsid w:val="00241DA2"/>
    <w:rsid w:val="00243242"/>
    <w:rsid w:val="00244A8F"/>
    <w:rsid w:val="00244B4F"/>
    <w:rsid w:val="00245E8E"/>
    <w:rsid w:val="00246F09"/>
    <w:rsid w:val="002500FD"/>
    <w:rsid w:val="00250A98"/>
    <w:rsid w:val="00251A56"/>
    <w:rsid w:val="0025353B"/>
    <w:rsid w:val="00254A72"/>
    <w:rsid w:val="00254FC2"/>
    <w:rsid w:val="00255A64"/>
    <w:rsid w:val="00255E63"/>
    <w:rsid w:val="0025614E"/>
    <w:rsid w:val="0025639E"/>
    <w:rsid w:val="002569DD"/>
    <w:rsid w:val="00256A1F"/>
    <w:rsid w:val="002575DD"/>
    <w:rsid w:val="002604AB"/>
    <w:rsid w:val="002627F2"/>
    <w:rsid w:val="00262C11"/>
    <w:rsid w:val="00263709"/>
    <w:rsid w:val="00264167"/>
    <w:rsid w:val="00264E5F"/>
    <w:rsid w:val="00265113"/>
    <w:rsid w:val="00266CA2"/>
    <w:rsid w:val="002722D1"/>
    <w:rsid w:val="002722D7"/>
    <w:rsid w:val="0027285C"/>
    <w:rsid w:val="002729F1"/>
    <w:rsid w:val="00272CFC"/>
    <w:rsid w:val="00272F9B"/>
    <w:rsid w:val="00274010"/>
    <w:rsid w:val="00274016"/>
    <w:rsid w:val="00276466"/>
    <w:rsid w:val="00280F7D"/>
    <w:rsid w:val="0028204F"/>
    <w:rsid w:val="0028287D"/>
    <w:rsid w:val="00283F3F"/>
    <w:rsid w:val="00284AD9"/>
    <w:rsid w:val="00284B13"/>
    <w:rsid w:val="00285DE0"/>
    <w:rsid w:val="00286E29"/>
    <w:rsid w:val="00290258"/>
    <w:rsid w:val="0029029A"/>
    <w:rsid w:val="00290381"/>
    <w:rsid w:val="002942F5"/>
    <w:rsid w:val="00296F75"/>
    <w:rsid w:val="002A115A"/>
    <w:rsid w:val="002A1557"/>
    <w:rsid w:val="002A2EF0"/>
    <w:rsid w:val="002A370A"/>
    <w:rsid w:val="002A4F05"/>
    <w:rsid w:val="002A52CE"/>
    <w:rsid w:val="002A5B07"/>
    <w:rsid w:val="002A6A06"/>
    <w:rsid w:val="002A6D3D"/>
    <w:rsid w:val="002A7657"/>
    <w:rsid w:val="002A7680"/>
    <w:rsid w:val="002B0886"/>
    <w:rsid w:val="002B0DF3"/>
    <w:rsid w:val="002B2405"/>
    <w:rsid w:val="002B48B5"/>
    <w:rsid w:val="002B4B7D"/>
    <w:rsid w:val="002B6C81"/>
    <w:rsid w:val="002B72BE"/>
    <w:rsid w:val="002B7901"/>
    <w:rsid w:val="002B7A1D"/>
    <w:rsid w:val="002C03E3"/>
    <w:rsid w:val="002C11D6"/>
    <w:rsid w:val="002C1787"/>
    <w:rsid w:val="002C267A"/>
    <w:rsid w:val="002C28ED"/>
    <w:rsid w:val="002C4186"/>
    <w:rsid w:val="002C4EC5"/>
    <w:rsid w:val="002C5848"/>
    <w:rsid w:val="002C5FA6"/>
    <w:rsid w:val="002C611C"/>
    <w:rsid w:val="002C6B35"/>
    <w:rsid w:val="002D1F7F"/>
    <w:rsid w:val="002D2507"/>
    <w:rsid w:val="002D3615"/>
    <w:rsid w:val="002D46BB"/>
    <w:rsid w:val="002D622C"/>
    <w:rsid w:val="002D6AE8"/>
    <w:rsid w:val="002D7323"/>
    <w:rsid w:val="002E0F01"/>
    <w:rsid w:val="002E1CE8"/>
    <w:rsid w:val="002E1F34"/>
    <w:rsid w:val="002E41C6"/>
    <w:rsid w:val="002E4E14"/>
    <w:rsid w:val="002E5BA7"/>
    <w:rsid w:val="002E5D46"/>
    <w:rsid w:val="002E62B8"/>
    <w:rsid w:val="002E76A8"/>
    <w:rsid w:val="002E7E1C"/>
    <w:rsid w:val="002F00F2"/>
    <w:rsid w:val="002F01E7"/>
    <w:rsid w:val="002F0309"/>
    <w:rsid w:val="002F08FD"/>
    <w:rsid w:val="002F09BD"/>
    <w:rsid w:val="002F1C40"/>
    <w:rsid w:val="002F2F69"/>
    <w:rsid w:val="002F384A"/>
    <w:rsid w:val="002F3A4E"/>
    <w:rsid w:val="002F3DBF"/>
    <w:rsid w:val="002F42A0"/>
    <w:rsid w:val="002F522F"/>
    <w:rsid w:val="003007C2"/>
    <w:rsid w:val="003008BD"/>
    <w:rsid w:val="003016C0"/>
    <w:rsid w:val="0030189D"/>
    <w:rsid w:val="00302D89"/>
    <w:rsid w:val="0030411E"/>
    <w:rsid w:val="00304483"/>
    <w:rsid w:val="0030474A"/>
    <w:rsid w:val="0030484B"/>
    <w:rsid w:val="00310827"/>
    <w:rsid w:val="00310D98"/>
    <w:rsid w:val="00315CE8"/>
    <w:rsid w:val="00317EA7"/>
    <w:rsid w:val="00320687"/>
    <w:rsid w:val="00320C48"/>
    <w:rsid w:val="003217AF"/>
    <w:rsid w:val="00323F10"/>
    <w:rsid w:val="00325A7C"/>
    <w:rsid w:val="0032769E"/>
    <w:rsid w:val="00330FCB"/>
    <w:rsid w:val="00332700"/>
    <w:rsid w:val="00333103"/>
    <w:rsid w:val="003335D1"/>
    <w:rsid w:val="003363EF"/>
    <w:rsid w:val="003375F3"/>
    <w:rsid w:val="003422C4"/>
    <w:rsid w:val="00344442"/>
    <w:rsid w:val="00346F12"/>
    <w:rsid w:val="0034783B"/>
    <w:rsid w:val="00347DE0"/>
    <w:rsid w:val="00351DC4"/>
    <w:rsid w:val="00351EF9"/>
    <w:rsid w:val="0035200A"/>
    <w:rsid w:val="00356ED6"/>
    <w:rsid w:val="00360315"/>
    <w:rsid w:val="003611FB"/>
    <w:rsid w:val="003622B6"/>
    <w:rsid w:val="00363F01"/>
    <w:rsid w:val="00367C2E"/>
    <w:rsid w:val="00367E95"/>
    <w:rsid w:val="00370B51"/>
    <w:rsid w:val="00371EED"/>
    <w:rsid w:val="0037331A"/>
    <w:rsid w:val="00375A57"/>
    <w:rsid w:val="00376421"/>
    <w:rsid w:val="0038122A"/>
    <w:rsid w:val="0038280E"/>
    <w:rsid w:val="003828F2"/>
    <w:rsid w:val="00382BC3"/>
    <w:rsid w:val="00383987"/>
    <w:rsid w:val="003866A1"/>
    <w:rsid w:val="00386BFE"/>
    <w:rsid w:val="0038762F"/>
    <w:rsid w:val="00387BBB"/>
    <w:rsid w:val="00387D87"/>
    <w:rsid w:val="00390E59"/>
    <w:rsid w:val="00391D7E"/>
    <w:rsid w:val="00391F4F"/>
    <w:rsid w:val="00394A27"/>
    <w:rsid w:val="0039529A"/>
    <w:rsid w:val="003968A9"/>
    <w:rsid w:val="003968AB"/>
    <w:rsid w:val="00397017"/>
    <w:rsid w:val="003A1064"/>
    <w:rsid w:val="003A1651"/>
    <w:rsid w:val="003A2827"/>
    <w:rsid w:val="003A2E48"/>
    <w:rsid w:val="003A3D86"/>
    <w:rsid w:val="003A4423"/>
    <w:rsid w:val="003A44F5"/>
    <w:rsid w:val="003A47C7"/>
    <w:rsid w:val="003A4FAC"/>
    <w:rsid w:val="003A50C8"/>
    <w:rsid w:val="003A5390"/>
    <w:rsid w:val="003A64A4"/>
    <w:rsid w:val="003A6CA1"/>
    <w:rsid w:val="003A7C98"/>
    <w:rsid w:val="003B16E0"/>
    <w:rsid w:val="003B42D3"/>
    <w:rsid w:val="003B42D6"/>
    <w:rsid w:val="003B4CBD"/>
    <w:rsid w:val="003B52F4"/>
    <w:rsid w:val="003B6025"/>
    <w:rsid w:val="003B60FA"/>
    <w:rsid w:val="003B6538"/>
    <w:rsid w:val="003B6540"/>
    <w:rsid w:val="003B778C"/>
    <w:rsid w:val="003C0042"/>
    <w:rsid w:val="003C06E3"/>
    <w:rsid w:val="003C467A"/>
    <w:rsid w:val="003C4838"/>
    <w:rsid w:val="003C5D14"/>
    <w:rsid w:val="003C5FF8"/>
    <w:rsid w:val="003C6C6A"/>
    <w:rsid w:val="003C72B9"/>
    <w:rsid w:val="003C7C15"/>
    <w:rsid w:val="003C7D92"/>
    <w:rsid w:val="003D0259"/>
    <w:rsid w:val="003D060F"/>
    <w:rsid w:val="003D17D4"/>
    <w:rsid w:val="003D1909"/>
    <w:rsid w:val="003D216B"/>
    <w:rsid w:val="003D3177"/>
    <w:rsid w:val="003D3FC2"/>
    <w:rsid w:val="003D413C"/>
    <w:rsid w:val="003D4447"/>
    <w:rsid w:val="003D45A4"/>
    <w:rsid w:val="003D485A"/>
    <w:rsid w:val="003D5495"/>
    <w:rsid w:val="003D67F6"/>
    <w:rsid w:val="003D758F"/>
    <w:rsid w:val="003E1E82"/>
    <w:rsid w:val="003E2C0F"/>
    <w:rsid w:val="003E33CF"/>
    <w:rsid w:val="003E4ECF"/>
    <w:rsid w:val="003E55FB"/>
    <w:rsid w:val="003E6CE2"/>
    <w:rsid w:val="003E7FA2"/>
    <w:rsid w:val="003F04D0"/>
    <w:rsid w:val="003F052C"/>
    <w:rsid w:val="003F0C1A"/>
    <w:rsid w:val="003F0E48"/>
    <w:rsid w:val="003F10ED"/>
    <w:rsid w:val="003F1147"/>
    <w:rsid w:val="003F1255"/>
    <w:rsid w:val="003F1FE9"/>
    <w:rsid w:val="003F21F2"/>
    <w:rsid w:val="003F399A"/>
    <w:rsid w:val="003F44A4"/>
    <w:rsid w:val="003F7140"/>
    <w:rsid w:val="003F7342"/>
    <w:rsid w:val="003F7E9E"/>
    <w:rsid w:val="00402EC3"/>
    <w:rsid w:val="00404536"/>
    <w:rsid w:val="004063E7"/>
    <w:rsid w:val="004065C8"/>
    <w:rsid w:val="00407B55"/>
    <w:rsid w:val="0041062E"/>
    <w:rsid w:val="00410679"/>
    <w:rsid w:val="004111AF"/>
    <w:rsid w:val="004119E6"/>
    <w:rsid w:val="0041214B"/>
    <w:rsid w:val="004135AB"/>
    <w:rsid w:val="00413D37"/>
    <w:rsid w:val="00413D50"/>
    <w:rsid w:val="00414A0E"/>
    <w:rsid w:val="004153CB"/>
    <w:rsid w:val="004154C5"/>
    <w:rsid w:val="004157C3"/>
    <w:rsid w:val="00415959"/>
    <w:rsid w:val="004161C4"/>
    <w:rsid w:val="0042063C"/>
    <w:rsid w:val="00421960"/>
    <w:rsid w:val="00422327"/>
    <w:rsid w:val="0042298F"/>
    <w:rsid w:val="00424537"/>
    <w:rsid w:val="00425B23"/>
    <w:rsid w:val="00427028"/>
    <w:rsid w:val="0042764B"/>
    <w:rsid w:val="0042797E"/>
    <w:rsid w:val="004301C7"/>
    <w:rsid w:val="0043021B"/>
    <w:rsid w:val="00431303"/>
    <w:rsid w:val="00432477"/>
    <w:rsid w:val="00434A65"/>
    <w:rsid w:val="00434B51"/>
    <w:rsid w:val="00435E50"/>
    <w:rsid w:val="00437D44"/>
    <w:rsid w:val="00441788"/>
    <w:rsid w:val="00441DB1"/>
    <w:rsid w:val="0044259D"/>
    <w:rsid w:val="00442880"/>
    <w:rsid w:val="00442937"/>
    <w:rsid w:val="004436DF"/>
    <w:rsid w:val="00443C3B"/>
    <w:rsid w:val="0044427D"/>
    <w:rsid w:val="00447BDC"/>
    <w:rsid w:val="00452B68"/>
    <w:rsid w:val="0045329E"/>
    <w:rsid w:val="00453FBA"/>
    <w:rsid w:val="004548BA"/>
    <w:rsid w:val="00454F40"/>
    <w:rsid w:val="00455260"/>
    <w:rsid w:val="00460D82"/>
    <w:rsid w:val="00460F75"/>
    <w:rsid w:val="00461ACF"/>
    <w:rsid w:val="00462769"/>
    <w:rsid w:val="00462985"/>
    <w:rsid w:val="004645E9"/>
    <w:rsid w:val="0046535B"/>
    <w:rsid w:val="004658F6"/>
    <w:rsid w:val="00467712"/>
    <w:rsid w:val="0047049F"/>
    <w:rsid w:val="0047099B"/>
    <w:rsid w:val="00471F1B"/>
    <w:rsid w:val="00472A6A"/>
    <w:rsid w:val="00472AC9"/>
    <w:rsid w:val="004737D2"/>
    <w:rsid w:val="00473A5A"/>
    <w:rsid w:val="00474144"/>
    <w:rsid w:val="00474392"/>
    <w:rsid w:val="004748BA"/>
    <w:rsid w:val="00476C17"/>
    <w:rsid w:val="004779DB"/>
    <w:rsid w:val="00477E8E"/>
    <w:rsid w:val="00480D52"/>
    <w:rsid w:val="00480E2D"/>
    <w:rsid w:val="0048424D"/>
    <w:rsid w:val="004855DF"/>
    <w:rsid w:val="004902D6"/>
    <w:rsid w:val="00490764"/>
    <w:rsid w:val="00491476"/>
    <w:rsid w:val="004939F8"/>
    <w:rsid w:val="00493B3C"/>
    <w:rsid w:val="00494EE5"/>
    <w:rsid w:val="00495B43"/>
    <w:rsid w:val="00496E1B"/>
    <w:rsid w:val="00496F6C"/>
    <w:rsid w:val="00497EF7"/>
    <w:rsid w:val="004A059D"/>
    <w:rsid w:val="004A157C"/>
    <w:rsid w:val="004A22A7"/>
    <w:rsid w:val="004A38E9"/>
    <w:rsid w:val="004A3E60"/>
    <w:rsid w:val="004A480B"/>
    <w:rsid w:val="004A4E17"/>
    <w:rsid w:val="004A50E0"/>
    <w:rsid w:val="004A5170"/>
    <w:rsid w:val="004A5F16"/>
    <w:rsid w:val="004A66FE"/>
    <w:rsid w:val="004A77D6"/>
    <w:rsid w:val="004A7833"/>
    <w:rsid w:val="004A7B40"/>
    <w:rsid w:val="004B15BF"/>
    <w:rsid w:val="004B2276"/>
    <w:rsid w:val="004B2D97"/>
    <w:rsid w:val="004B2DE7"/>
    <w:rsid w:val="004B387B"/>
    <w:rsid w:val="004B3F34"/>
    <w:rsid w:val="004B4B02"/>
    <w:rsid w:val="004B50C7"/>
    <w:rsid w:val="004B5B01"/>
    <w:rsid w:val="004B74F6"/>
    <w:rsid w:val="004C1718"/>
    <w:rsid w:val="004C1A73"/>
    <w:rsid w:val="004C2269"/>
    <w:rsid w:val="004C2D73"/>
    <w:rsid w:val="004C2F1E"/>
    <w:rsid w:val="004C4392"/>
    <w:rsid w:val="004C4DBF"/>
    <w:rsid w:val="004C515C"/>
    <w:rsid w:val="004C6770"/>
    <w:rsid w:val="004C6A26"/>
    <w:rsid w:val="004D0DD9"/>
    <w:rsid w:val="004D1477"/>
    <w:rsid w:val="004D2354"/>
    <w:rsid w:val="004D4C74"/>
    <w:rsid w:val="004D568C"/>
    <w:rsid w:val="004D614B"/>
    <w:rsid w:val="004D6452"/>
    <w:rsid w:val="004D7BF6"/>
    <w:rsid w:val="004D7D57"/>
    <w:rsid w:val="004E0119"/>
    <w:rsid w:val="004E09AE"/>
    <w:rsid w:val="004E2F4C"/>
    <w:rsid w:val="004E2FB9"/>
    <w:rsid w:val="004E38DD"/>
    <w:rsid w:val="004E488A"/>
    <w:rsid w:val="004E5C4E"/>
    <w:rsid w:val="004E6E2B"/>
    <w:rsid w:val="004E6FB5"/>
    <w:rsid w:val="004E785F"/>
    <w:rsid w:val="004E79C8"/>
    <w:rsid w:val="004E7F41"/>
    <w:rsid w:val="004F0519"/>
    <w:rsid w:val="004F240C"/>
    <w:rsid w:val="004F2B93"/>
    <w:rsid w:val="004F4FE1"/>
    <w:rsid w:val="004F69D4"/>
    <w:rsid w:val="004F6DC5"/>
    <w:rsid w:val="004F71E0"/>
    <w:rsid w:val="0050089F"/>
    <w:rsid w:val="00501A44"/>
    <w:rsid w:val="00503259"/>
    <w:rsid w:val="00503B03"/>
    <w:rsid w:val="00503EEB"/>
    <w:rsid w:val="00504664"/>
    <w:rsid w:val="0050497D"/>
    <w:rsid w:val="005049FD"/>
    <w:rsid w:val="00504DE8"/>
    <w:rsid w:val="00506EB9"/>
    <w:rsid w:val="00512D73"/>
    <w:rsid w:val="00512EF8"/>
    <w:rsid w:val="00513243"/>
    <w:rsid w:val="00513F96"/>
    <w:rsid w:val="00514B5D"/>
    <w:rsid w:val="005153DA"/>
    <w:rsid w:val="00516275"/>
    <w:rsid w:val="005174C1"/>
    <w:rsid w:val="00521472"/>
    <w:rsid w:val="00522BE0"/>
    <w:rsid w:val="005234AA"/>
    <w:rsid w:val="00523691"/>
    <w:rsid w:val="0052408E"/>
    <w:rsid w:val="00524B54"/>
    <w:rsid w:val="00524FE7"/>
    <w:rsid w:val="0052691C"/>
    <w:rsid w:val="00526DF7"/>
    <w:rsid w:val="005327AB"/>
    <w:rsid w:val="0053334E"/>
    <w:rsid w:val="005345FA"/>
    <w:rsid w:val="00534689"/>
    <w:rsid w:val="00534844"/>
    <w:rsid w:val="00535891"/>
    <w:rsid w:val="005373A7"/>
    <w:rsid w:val="00537EA7"/>
    <w:rsid w:val="00540202"/>
    <w:rsid w:val="0054097D"/>
    <w:rsid w:val="00541C07"/>
    <w:rsid w:val="00541E62"/>
    <w:rsid w:val="00542981"/>
    <w:rsid w:val="005430BF"/>
    <w:rsid w:val="0054384D"/>
    <w:rsid w:val="00544C76"/>
    <w:rsid w:val="00545140"/>
    <w:rsid w:val="00545798"/>
    <w:rsid w:val="005462F2"/>
    <w:rsid w:val="00546527"/>
    <w:rsid w:val="005467E8"/>
    <w:rsid w:val="0054757F"/>
    <w:rsid w:val="00547C98"/>
    <w:rsid w:val="00551752"/>
    <w:rsid w:val="005546F2"/>
    <w:rsid w:val="00554824"/>
    <w:rsid w:val="005551A3"/>
    <w:rsid w:val="0055580D"/>
    <w:rsid w:val="005559C3"/>
    <w:rsid w:val="00555AD5"/>
    <w:rsid w:val="005602A8"/>
    <w:rsid w:val="00560403"/>
    <w:rsid w:val="00563932"/>
    <w:rsid w:val="0056466B"/>
    <w:rsid w:val="00565136"/>
    <w:rsid w:val="0056595B"/>
    <w:rsid w:val="0056638D"/>
    <w:rsid w:val="00567649"/>
    <w:rsid w:val="00570DD5"/>
    <w:rsid w:val="005715C8"/>
    <w:rsid w:val="00572C2E"/>
    <w:rsid w:val="00572FAB"/>
    <w:rsid w:val="00573A76"/>
    <w:rsid w:val="00575188"/>
    <w:rsid w:val="00575271"/>
    <w:rsid w:val="00575D83"/>
    <w:rsid w:val="00577C29"/>
    <w:rsid w:val="005803C4"/>
    <w:rsid w:val="005832DC"/>
    <w:rsid w:val="00584235"/>
    <w:rsid w:val="00585C31"/>
    <w:rsid w:val="00586A53"/>
    <w:rsid w:val="00586BEF"/>
    <w:rsid w:val="00586F40"/>
    <w:rsid w:val="00587B9E"/>
    <w:rsid w:val="00590160"/>
    <w:rsid w:val="0059131C"/>
    <w:rsid w:val="00591870"/>
    <w:rsid w:val="00592284"/>
    <w:rsid w:val="00592DE0"/>
    <w:rsid w:val="00595199"/>
    <w:rsid w:val="00596270"/>
    <w:rsid w:val="005962A0"/>
    <w:rsid w:val="00596D49"/>
    <w:rsid w:val="00597471"/>
    <w:rsid w:val="005A078A"/>
    <w:rsid w:val="005A1AC5"/>
    <w:rsid w:val="005A22FB"/>
    <w:rsid w:val="005A2AA6"/>
    <w:rsid w:val="005A305A"/>
    <w:rsid w:val="005A3ADC"/>
    <w:rsid w:val="005A4234"/>
    <w:rsid w:val="005A4CFD"/>
    <w:rsid w:val="005A5452"/>
    <w:rsid w:val="005A644E"/>
    <w:rsid w:val="005A66FE"/>
    <w:rsid w:val="005A6908"/>
    <w:rsid w:val="005B0D91"/>
    <w:rsid w:val="005B1868"/>
    <w:rsid w:val="005B27FD"/>
    <w:rsid w:val="005B3686"/>
    <w:rsid w:val="005B3713"/>
    <w:rsid w:val="005B3DAD"/>
    <w:rsid w:val="005B4247"/>
    <w:rsid w:val="005B47C5"/>
    <w:rsid w:val="005B4AF9"/>
    <w:rsid w:val="005B4EF7"/>
    <w:rsid w:val="005B4FF1"/>
    <w:rsid w:val="005B6305"/>
    <w:rsid w:val="005B650B"/>
    <w:rsid w:val="005C3721"/>
    <w:rsid w:val="005C4243"/>
    <w:rsid w:val="005C522D"/>
    <w:rsid w:val="005C66CD"/>
    <w:rsid w:val="005C6D37"/>
    <w:rsid w:val="005C75BA"/>
    <w:rsid w:val="005D2601"/>
    <w:rsid w:val="005D3FD8"/>
    <w:rsid w:val="005D41C5"/>
    <w:rsid w:val="005D4333"/>
    <w:rsid w:val="005D5889"/>
    <w:rsid w:val="005D58AC"/>
    <w:rsid w:val="005D63EB"/>
    <w:rsid w:val="005D661B"/>
    <w:rsid w:val="005D6811"/>
    <w:rsid w:val="005D7120"/>
    <w:rsid w:val="005D79E4"/>
    <w:rsid w:val="005E0760"/>
    <w:rsid w:val="005E0B79"/>
    <w:rsid w:val="005E18E0"/>
    <w:rsid w:val="005E2990"/>
    <w:rsid w:val="005E35B0"/>
    <w:rsid w:val="005E3CDC"/>
    <w:rsid w:val="005E4BE4"/>
    <w:rsid w:val="005E55A2"/>
    <w:rsid w:val="005E5AC2"/>
    <w:rsid w:val="005F0ADC"/>
    <w:rsid w:val="005F315B"/>
    <w:rsid w:val="005F6230"/>
    <w:rsid w:val="005F6654"/>
    <w:rsid w:val="005F70F4"/>
    <w:rsid w:val="005F7928"/>
    <w:rsid w:val="006004CB"/>
    <w:rsid w:val="00601BB9"/>
    <w:rsid w:val="00601DDD"/>
    <w:rsid w:val="006024E6"/>
    <w:rsid w:val="006032FA"/>
    <w:rsid w:val="00603C9C"/>
    <w:rsid w:val="00606B10"/>
    <w:rsid w:val="0060728B"/>
    <w:rsid w:val="00613B9F"/>
    <w:rsid w:val="006148D4"/>
    <w:rsid w:val="006157C3"/>
    <w:rsid w:val="00616D50"/>
    <w:rsid w:val="006206E3"/>
    <w:rsid w:val="00621A93"/>
    <w:rsid w:val="00621F25"/>
    <w:rsid w:val="006221F9"/>
    <w:rsid w:val="006225B2"/>
    <w:rsid w:val="00623ED8"/>
    <w:rsid w:val="00623F41"/>
    <w:rsid w:val="00625289"/>
    <w:rsid w:val="0062549D"/>
    <w:rsid w:val="00625749"/>
    <w:rsid w:val="00627772"/>
    <w:rsid w:val="006302C4"/>
    <w:rsid w:val="006307F8"/>
    <w:rsid w:val="00630948"/>
    <w:rsid w:val="00630F7A"/>
    <w:rsid w:val="006312D1"/>
    <w:rsid w:val="006315DD"/>
    <w:rsid w:val="0063230F"/>
    <w:rsid w:val="0063440A"/>
    <w:rsid w:val="006359FE"/>
    <w:rsid w:val="00635C85"/>
    <w:rsid w:val="006362CA"/>
    <w:rsid w:val="0063667B"/>
    <w:rsid w:val="0063713B"/>
    <w:rsid w:val="00640B18"/>
    <w:rsid w:val="00641113"/>
    <w:rsid w:val="00644613"/>
    <w:rsid w:val="00644C8F"/>
    <w:rsid w:val="00646279"/>
    <w:rsid w:val="006463A8"/>
    <w:rsid w:val="00646429"/>
    <w:rsid w:val="00647E10"/>
    <w:rsid w:val="00647E8D"/>
    <w:rsid w:val="00650BD7"/>
    <w:rsid w:val="00651FAC"/>
    <w:rsid w:val="00652C61"/>
    <w:rsid w:val="0065464F"/>
    <w:rsid w:val="00654ECF"/>
    <w:rsid w:val="006553CA"/>
    <w:rsid w:val="00655A41"/>
    <w:rsid w:val="006560E4"/>
    <w:rsid w:val="00656996"/>
    <w:rsid w:val="006572C1"/>
    <w:rsid w:val="006629BA"/>
    <w:rsid w:val="00662D28"/>
    <w:rsid w:val="006634B4"/>
    <w:rsid w:val="00663DBC"/>
    <w:rsid w:val="00665982"/>
    <w:rsid w:val="00665D35"/>
    <w:rsid w:val="0066637D"/>
    <w:rsid w:val="006667DB"/>
    <w:rsid w:val="0066688B"/>
    <w:rsid w:val="00666A97"/>
    <w:rsid w:val="00667919"/>
    <w:rsid w:val="00670EF3"/>
    <w:rsid w:val="0067166D"/>
    <w:rsid w:val="00672F4D"/>
    <w:rsid w:val="006804BE"/>
    <w:rsid w:val="006805AE"/>
    <w:rsid w:val="00681D5A"/>
    <w:rsid w:val="00681E58"/>
    <w:rsid w:val="00684EE3"/>
    <w:rsid w:val="006850A5"/>
    <w:rsid w:val="0068635C"/>
    <w:rsid w:val="006877DE"/>
    <w:rsid w:val="006879B3"/>
    <w:rsid w:val="00691E4F"/>
    <w:rsid w:val="00692947"/>
    <w:rsid w:val="00693018"/>
    <w:rsid w:val="00694448"/>
    <w:rsid w:val="00694F75"/>
    <w:rsid w:val="0069558F"/>
    <w:rsid w:val="00695AA5"/>
    <w:rsid w:val="00695BB5"/>
    <w:rsid w:val="00695E38"/>
    <w:rsid w:val="00695F24"/>
    <w:rsid w:val="006A01D9"/>
    <w:rsid w:val="006A1190"/>
    <w:rsid w:val="006A1315"/>
    <w:rsid w:val="006A19DB"/>
    <w:rsid w:val="006A25B9"/>
    <w:rsid w:val="006A3B02"/>
    <w:rsid w:val="006A3FCC"/>
    <w:rsid w:val="006A5641"/>
    <w:rsid w:val="006A5685"/>
    <w:rsid w:val="006A6B5F"/>
    <w:rsid w:val="006A77CE"/>
    <w:rsid w:val="006A7CC8"/>
    <w:rsid w:val="006B03B4"/>
    <w:rsid w:val="006B0487"/>
    <w:rsid w:val="006B073F"/>
    <w:rsid w:val="006B077B"/>
    <w:rsid w:val="006B07FD"/>
    <w:rsid w:val="006B256D"/>
    <w:rsid w:val="006B43C7"/>
    <w:rsid w:val="006B488D"/>
    <w:rsid w:val="006B4AE0"/>
    <w:rsid w:val="006B51F4"/>
    <w:rsid w:val="006B6A93"/>
    <w:rsid w:val="006B6D0A"/>
    <w:rsid w:val="006B7756"/>
    <w:rsid w:val="006C14A6"/>
    <w:rsid w:val="006C1EB2"/>
    <w:rsid w:val="006C2A59"/>
    <w:rsid w:val="006C3F32"/>
    <w:rsid w:val="006C475B"/>
    <w:rsid w:val="006C51FD"/>
    <w:rsid w:val="006C5D51"/>
    <w:rsid w:val="006C5F4C"/>
    <w:rsid w:val="006C626E"/>
    <w:rsid w:val="006C64CC"/>
    <w:rsid w:val="006C7B15"/>
    <w:rsid w:val="006D043A"/>
    <w:rsid w:val="006D0F45"/>
    <w:rsid w:val="006D0F9D"/>
    <w:rsid w:val="006D1625"/>
    <w:rsid w:val="006D17D2"/>
    <w:rsid w:val="006D1B2F"/>
    <w:rsid w:val="006D2064"/>
    <w:rsid w:val="006D281C"/>
    <w:rsid w:val="006D2AB1"/>
    <w:rsid w:val="006D677E"/>
    <w:rsid w:val="006D6F9A"/>
    <w:rsid w:val="006D7E60"/>
    <w:rsid w:val="006E0B0F"/>
    <w:rsid w:val="006E1101"/>
    <w:rsid w:val="006E31CB"/>
    <w:rsid w:val="006E3BC3"/>
    <w:rsid w:val="006E3FC8"/>
    <w:rsid w:val="006E49AC"/>
    <w:rsid w:val="006E6997"/>
    <w:rsid w:val="006F1B0E"/>
    <w:rsid w:val="006F1C6B"/>
    <w:rsid w:val="006F1F77"/>
    <w:rsid w:val="006F24EA"/>
    <w:rsid w:val="006F3CC9"/>
    <w:rsid w:val="006F41BD"/>
    <w:rsid w:val="006F4A52"/>
    <w:rsid w:val="006F4F2C"/>
    <w:rsid w:val="006F5DF7"/>
    <w:rsid w:val="006F6190"/>
    <w:rsid w:val="006F6F32"/>
    <w:rsid w:val="006F7137"/>
    <w:rsid w:val="00700519"/>
    <w:rsid w:val="007010C8"/>
    <w:rsid w:val="00701946"/>
    <w:rsid w:val="0070224A"/>
    <w:rsid w:val="007026B8"/>
    <w:rsid w:val="00702BEB"/>
    <w:rsid w:val="007031CD"/>
    <w:rsid w:val="007036A0"/>
    <w:rsid w:val="00703CD8"/>
    <w:rsid w:val="00704141"/>
    <w:rsid w:val="00710794"/>
    <w:rsid w:val="00710E22"/>
    <w:rsid w:val="00711189"/>
    <w:rsid w:val="0071132A"/>
    <w:rsid w:val="007114D1"/>
    <w:rsid w:val="00712D3E"/>
    <w:rsid w:val="00714B5B"/>
    <w:rsid w:val="00715B5F"/>
    <w:rsid w:val="00716F69"/>
    <w:rsid w:val="00716FEE"/>
    <w:rsid w:val="00717DBB"/>
    <w:rsid w:val="007201D2"/>
    <w:rsid w:val="007209DD"/>
    <w:rsid w:val="00721C7D"/>
    <w:rsid w:val="00722F26"/>
    <w:rsid w:val="00724643"/>
    <w:rsid w:val="007248B5"/>
    <w:rsid w:val="00725459"/>
    <w:rsid w:val="007260F7"/>
    <w:rsid w:val="0073231E"/>
    <w:rsid w:val="007327A2"/>
    <w:rsid w:val="00732D85"/>
    <w:rsid w:val="00733303"/>
    <w:rsid w:val="00733674"/>
    <w:rsid w:val="0073444E"/>
    <w:rsid w:val="007359B9"/>
    <w:rsid w:val="00735AD5"/>
    <w:rsid w:val="00735ED7"/>
    <w:rsid w:val="00736B5A"/>
    <w:rsid w:val="00741E8A"/>
    <w:rsid w:val="00742623"/>
    <w:rsid w:val="00743514"/>
    <w:rsid w:val="00744208"/>
    <w:rsid w:val="00744D50"/>
    <w:rsid w:val="0074555B"/>
    <w:rsid w:val="00746014"/>
    <w:rsid w:val="00747090"/>
    <w:rsid w:val="00747619"/>
    <w:rsid w:val="00751531"/>
    <w:rsid w:val="00751A9C"/>
    <w:rsid w:val="00751B4A"/>
    <w:rsid w:val="00751FE2"/>
    <w:rsid w:val="0075260D"/>
    <w:rsid w:val="007528AD"/>
    <w:rsid w:val="00753C16"/>
    <w:rsid w:val="007577A5"/>
    <w:rsid w:val="00763805"/>
    <w:rsid w:val="00763B19"/>
    <w:rsid w:val="00763DD4"/>
    <w:rsid w:val="0076537E"/>
    <w:rsid w:val="007658B7"/>
    <w:rsid w:val="00765E27"/>
    <w:rsid w:val="0076601A"/>
    <w:rsid w:val="00767614"/>
    <w:rsid w:val="007676D5"/>
    <w:rsid w:val="00771471"/>
    <w:rsid w:val="007724CE"/>
    <w:rsid w:val="00772B81"/>
    <w:rsid w:val="00772D04"/>
    <w:rsid w:val="0077425D"/>
    <w:rsid w:val="007755A0"/>
    <w:rsid w:val="00775C8C"/>
    <w:rsid w:val="00780396"/>
    <w:rsid w:val="00780625"/>
    <w:rsid w:val="0078079C"/>
    <w:rsid w:val="00780919"/>
    <w:rsid w:val="00780A69"/>
    <w:rsid w:val="007826A3"/>
    <w:rsid w:val="007830F4"/>
    <w:rsid w:val="00783D34"/>
    <w:rsid w:val="00784221"/>
    <w:rsid w:val="0078430C"/>
    <w:rsid w:val="00784385"/>
    <w:rsid w:val="00784561"/>
    <w:rsid w:val="00785139"/>
    <w:rsid w:val="0078596B"/>
    <w:rsid w:val="0078625B"/>
    <w:rsid w:val="00786E78"/>
    <w:rsid w:val="007904B8"/>
    <w:rsid w:val="00790687"/>
    <w:rsid w:val="00790B22"/>
    <w:rsid w:val="007910A0"/>
    <w:rsid w:val="0079150C"/>
    <w:rsid w:val="0079209A"/>
    <w:rsid w:val="00792497"/>
    <w:rsid w:val="00793064"/>
    <w:rsid w:val="007931D5"/>
    <w:rsid w:val="00796FE3"/>
    <w:rsid w:val="007A2093"/>
    <w:rsid w:val="007A252A"/>
    <w:rsid w:val="007A50CF"/>
    <w:rsid w:val="007A6923"/>
    <w:rsid w:val="007A6EB8"/>
    <w:rsid w:val="007A786A"/>
    <w:rsid w:val="007A78FE"/>
    <w:rsid w:val="007B057A"/>
    <w:rsid w:val="007B255C"/>
    <w:rsid w:val="007B25BE"/>
    <w:rsid w:val="007B3E55"/>
    <w:rsid w:val="007B57CA"/>
    <w:rsid w:val="007C0EBF"/>
    <w:rsid w:val="007C10A2"/>
    <w:rsid w:val="007C29B8"/>
    <w:rsid w:val="007C2C1F"/>
    <w:rsid w:val="007C3D9F"/>
    <w:rsid w:val="007C4BB3"/>
    <w:rsid w:val="007C4E33"/>
    <w:rsid w:val="007C4FBE"/>
    <w:rsid w:val="007C6163"/>
    <w:rsid w:val="007C6C42"/>
    <w:rsid w:val="007C6C8E"/>
    <w:rsid w:val="007C75C7"/>
    <w:rsid w:val="007D0EA6"/>
    <w:rsid w:val="007D12D1"/>
    <w:rsid w:val="007D24C9"/>
    <w:rsid w:val="007D2F37"/>
    <w:rsid w:val="007D38BB"/>
    <w:rsid w:val="007D425E"/>
    <w:rsid w:val="007D4648"/>
    <w:rsid w:val="007D4C0C"/>
    <w:rsid w:val="007D4F3B"/>
    <w:rsid w:val="007D52C7"/>
    <w:rsid w:val="007D53EE"/>
    <w:rsid w:val="007D693C"/>
    <w:rsid w:val="007D6FC9"/>
    <w:rsid w:val="007D74C7"/>
    <w:rsid w:val="007E1BAC"/>
    <w:rsid w:val="007E33AA"/>
    <w:rsid w:val="007E374C"/>
    <w:rsid w:val="007E692B"/>
    <w:rsid w:val="007E6D09"/>
    <w:rsid w:val="007F0530"/>
    <w:rsid w:val="007F1776"/>
    <w:rsid w:val="007F2265"/>
    <w:rsid w:val="007F24B5"/>
    <w:rsid w:val="007F2EDF"/>
    <w:rsid w:val="007F3186"/>
    <w:rsid w:val="007F400E"/>
    <w:rsid w:val="007F4E8E"/>
    <w:rsid w:val="007F572A"/>
    <w:rsid w:val="007F73DE"/>
    <w:rsid w:val="008019BD"/>
    <w:rsid w:val="008025A6"/>
    <w:rsid w:val="0080454E"/>
    <w:rsid w:val="00804553"/>
    <w:rsid w:val="00804A76"/>
    <w:rsid w:val="00805FBD"/>
    <w:rsid w:val="00806076"/>
    <w:rsid w:val="00806609"/>
    <w:rsid w:val="008068BC"/>
    <w:rsid w:val="00806B8C"/>
    <w:rsid w:val="00807A16"/>
    <w:rsid w:val="00816CB2"/>
    <w:rsid w:val="00816E21"/>
    <w:rsid w:val="00816EDD"/>
    <w:rsid w:val="00817506"/>
    <w:rsid w:val="008177CC"/>
    <w:rsid w:val="0082002E"/>
    <w:rsid w:val="00821385"/>
    <w:rsid w:val="00821A44"/>
    <w:rsid w:val="008221D1"/>
    <w:rsid w:val="00824042"/>
    <w:rsid w:val="008245E8"/>
    <w:rsid w:val="00824A7A"/>
    <w:rsid w:val="00824A92"/>
    <w:rsid w:val="0082558D"/>
    <w:rsid w:val="008259DA"/>
    <w:rsid w:val="00825A5F"/>
    <w:rsid w:val="00826B08"/>
    <w:rsid w:val="00826D46"/>
    <w:rsid w:val="008301D0"/>
    <w:rsid w:val="00833288"/>
    <w:rsid w:val="00833443"/>
    <w:rsid w:val="00833D92"/>
    <w:rsid w:val="00834149"/>
    <w:rsid w:val="008412D5"/>
    <w:rsid w:val="008420D3"/>
    <w:rsid w:val="00842259"/>
    <w:rsid w:val="00843F12"/>
    <w:rsid w:val="00844141"/>
    <w:rsid w:val="008507CE"/>
    <w:rsid w:val="008514A8"/>
    <w:rsid w:val="00852CFB"/>
    <w:rsid w:val="00852EA8"/>
    <w:rsid w:val="00852F00"/>
    <w:rsid w:val="00853942"/>
    <w:rsid w:val="00853BA5"/>
    <w:rsid w:val="008542F1"/>
    <w:rsid w:val="00854431"/>
    <w:rsid w:val="00854D97"/>
    <w:rsid w:val="008606A0"/>
    <w:rsid w:val="00861EC9"/>
    <w:rsid w:val="00862158"/>
    <w:rsid w:val="00862844"/>
    <w:rsid w:val="0086414A"/>
    <w:rsid w:val="00865A12"/>
    <w:rsid w:val="00866105"/>
    <w:rsid w:val="008678BD"/>
    <w:rsid w:val="00867BBB"/>
    <w:rsid w:val="00870356"/>
    <w:rsid w:val="00871431"/>
    <w:rsid w:val="00873196"/>
    <w:rsid w:val="00873BCE"/>
    <w:rsid w:val="008756C2"/>
    <w:rsid w:val="00876196"/>
    <w:rsid w:val="00880253"/>
    <w:rsid w:val="008803EF"/>
    <w:rsid w:val="00881D66"/>
    <w:rsid w:val="0088266A"/>
    <w:rsid w:val="00882709"/>
    <w:rsid w:val="00883FB5"/>
    <w:rsid w:val="008855E5"/>
    <w:rsid w:val="00885985"/>
    <w:rsid w:val="00885C53"/>
    <w:rsid w:val="0088695A"/>
    <w:rsid w:val="0088720D"/>
    <w:rsid w:val="0089118A"/>
    <w:rsid w:val="008922D6"/>
    <w:rsid w:val="008940D4"/>
    <w:rsid w:val="008951F9"/>
    <w:rsid w:val="00895423"/>
    <w:rsid w:val="00895C2B"/>
    <w:rsid w:val="008967C0"/>
    <w:rsid w:val="00897CEF"/>
    <w:rsid w:val="008A01A2"/>
    <w:rsid w:val="008A01B0"/>
    <w:rsid w:val="008A01F0"/>
    <w:rsid w:val="008A2E47"/>
    <w:rsid w:val="008A372F"/>
    <w:rsid w:val="008A3A96"/>
    <w:rsid w:val="008A5B81"/>
    <w:rsid w:val="008B118C"/>
    <w:rsid w:val="008B2F37"/>
    <w:rsid w:val="008B3CC0"/>
    <w:rsid w:val="008B4196"/>
    <w:rsid w:val="008B42A3"/>
    <w:rsid w:val="008B4B5A"/>
    <w:rsid w:val="008B6C18"/>
    <w:rsid w:val="008B78E9"/>
    <w:rsid w:val="008B7FE8"/>
    <w:rsid w:val="008C0D0B"/>
    <w:rsid w:val="008C2FF4"/>
    <w:rsid w:val="008C32FE"/>
    <w:rsid w:val="008C3F65"/>
    <w:rsid w:val="008C59E5"/>
    <w:rsid w:val="008C66C0"/>
    <w:rsid w:val="008C688E"/>
    <w:rsid w:val="008C6E14"/>
    <w:rsid w:val="008C6E39"/>
    <w:rsid w:val="008D09D2"/>
    <w:rsid w:val="008D22CD"/>
    <w:rsid w:val="008D231F"/>
    <w:rsid w:val="008D23BE"/>
    <w:rsid w:val="008D319E"/>
    <w:rsid w:val="008D4007"/>
    <w:rsid w:val="008D4FAD"/>
    <w:rsid w:val="008D5859"/>
    <w:rsid w:val="008D5C1C"/>
    <w:rsid w:val="008D5C90"/>
    <w:rsid w:val="008D5D62"/>
    <w:rsid w:val="008D6EFA"/>
    <w:rsid w:val="008D727F"/>
    <w:rsid w:val="008D7340"/>
    <w:rsid w:val="008D7473"/>
    <w:rsid w:val="008D75DB"/>
    <w:rsid w:val="008D7A2C"/>
    <w:rsid w:val="008D7E43"/>
    <w:rsid w:val="008E26C7"/>
    <w:rsid w:val="008E287F"/>
    <w:rsid w:val="008E2B1A"/>
    <w:rsid w:val="008E3549"/>
    <w:rsid w:val="008E3558"/>
    <w:rsid w:val="008E3DF6"/>
    <w:rsid w:val="008E5455"/>
    <w:rsid w:val="008E5C62"/>
    <w:rsid w:val="008E5CBC"/>
    <w:rsid w:val="008E5E6A"/>
    <w:rsid w:val="008E5F7B"/>
    <w:rsid w:val="008E6690"/>
    <w:rsid w:val="008E71BE"/>
    <w:rsid w:val="008F0A9D"/>
    <w:rsid w:val="008F11ED"/>
    <w:rsid w:val="008F1636"/>
    <w:rsid w:val="008F1916"/>
    <w:rsid w:val="008F2FA0"/>
    <w:rsid w:val="008F3883"/>
    <w:rsid w:val="008F3DB8"/>
    <w:rsid w:val="008F3F2A"/>
    <w:rsid w:val="008F428C"/>
    <w:rsid w:val="008F4646"/>
    <w:rsid w:val="008F468A"/>
    <w:rsid w:val="008F69CE"/>
    <w:rsid w:val="008F72EB"/>
    <w:rsid w:val="008F7D5D"/>
    <w:rsid w:val="009008DB"/>
    <w:rsid w:val="00901225"/>
    <w:rsid w:val="009017C0"/>
    <w:rsid w:val="009018AF"/>
    <w:rsid w:val="00902505"/>
    <w:rsid w:val="00903297"/>
    <w:rsid w:val="00903BC3"/>
    <w:rsid w:val="00906C8A"/>
    <w:rsid w:val="00906CCE"/>
    <w:rsid w:val="00906E59"/>
    <w:rsid w:val="009070DF"/>
    <w:rsid w:val="00907AC3"/>
    <w:rsid w:val="00911792"/>
    <w:rsid w:val="00912944"/>
    <w:rsid w:val="00912CC5"/>
    <w:rsid w:val="00913037"/>
    <w:rsid w:val="009148F3"/>
    <w:rsid w:val="0091685A"/>
    <w:rsid w:val="0091745A"/>
    <w:rsid w:val="00917AC1"/>
    <w:rsid w:val="00921963"/>
    <w:rsid w:val="00922C66"/>
    <w:rsid w:val="009231E9"/>
    <w:rsid w:val="009248AA"/>
    <w:rsid w:val="00924C94"/>
    <w:rsid w:val="00926925"/>
    <w:rsid w:val="00930FFF"/>
    <w:rsid w:val="0093104F"/>
    <w:rsid w:val="00931151"/>
    <w:rsid w:val="0093116C"/>
    <w:rsid w:val="00931EC9"/>
    <w:rsid w:val="0093270B"/>
    <w:rsid w:val="009330F1"/>
    <w:rsid w:val="0093316A"/>
    <w:rsid w:val="00934C3E"/>
    <w:rsid w:val="00935EA3"/>
    <w:rsid w:val="009404E5"/>
    <w:rsid w:val="0094148A"/>
    <w:rsid w:val="009419E7"/>
    <w:rsid w:val="00942FCB"/>
    <w:rsid w:val="00945640"/>
    <w:rsid w:val="0094567D"/>
    <w:rsid w:val="009456A3"/>
    <w:rsid w:val="00947515"/>
    <w:rsid w:val="00947658"/>
    <w:rsid w:val="00950036"/>
    <w:rsid w:val="00950A47"/>
    <w:rsid w:val="00950DB7"/>
    <w:rsid w:val="00950F3C"/>
    <w:rsid w:val="00952CE4"/>
    <w:rsid w:val="00954FEC"/>
    <w:rsid w:val="00955409"/>
    <w:rsid w:val="0095752C"/>
    <w:rsid w:val="009577C2"/>
    <w:rsid w:val="00957D6B"/>
    <w:rsid w:val="009601A5"/>
    <w:rsid w:val="0096160B"/>
    <w:rsid w:val="0096176C"/>
    <w:rsid w:val="009636A5"/>
    <w:rsid w:val="00967610"/>
    <w:rsid w:val="00967784"/>
    <w:rsid w:val="00970E71"/>
    <w:rsid w:val="009712ED"/>
    <w:rsid w:val="00972B27"/>
    <w:rsid w:val="00974AF0"/>
    <w:rsid w:val="009757B2"/>
    <w:rsid w:val="009758FC"/>
    <w:rsid w:val="00975950"/>
    <w:rsid w:val="009775BC"/>
    <w:rsid w:val="009776E7"/>
    <w:rsid w:val="00980565"/>
    <w:rsid w:val="00980B5E"/>
    <w:rsid w:val="0098178C"/>
    <w:rsid w:val="00982316"/>
    <w:rsid w:val="00982543"/>
    <w:rsid w:val="00982CFE"/>
    <w:rsid w:val="0098332B"/>
    <w:rsid w:val="00983612"/>
    <w:rsid w:val="00983BDD"/>
    <w:rsid w:val="00983EBE"/>
    <w:rsid w:val="00985A46"/>
    <w:rsid w:val="00985B29"/>
    <w:rsid w:val="00985BBB"/>
    <w:rsid w:val="0098618B"/>
    <w:rsid w:val="009872A2"/>
    <w:rsid w:val="00991473"/>
    <w:rsid w:val="00992BE9"/>
    <w:rsid w:val="00994142"/>
    <w:rsid w:val="009955B5"/>
    <w:rsid w:val="009956BC"/>
    <w:rsid w:val="009A0A16"/>
    <w:rsid w:val="009A1C66"/>
    <w:rsid w:val="009A2E42"/>
    <w:rsid w:val="009A5497"/>
    <w:rsid w:val="009A59B4"/>
    <w:rsid w:val="009A6305"/>
    <w:rsid w:val="009A6437"/>
    <w:rsid w:val="009A7476"/>
    <w:rsid w:val="009A796F"/>
    <w:rsid w:val="009B0BE9"/>
    <w:rsid w:val="009B0F1C"/>
    <w:rsid w:val="009B113A"/>
    <w:rsid w:val="009B1F84"/>
    <w:rsid w:val="009B240E"/>
    <w:rsid w:val="009B275B"/>
    <w:rsid w:val="009B2830"/>
    <w:rsid w:val="009B43C4"/>
    <w:rsid w:val="009B4613"/>
    <w:rsid w:val="009B62FA"/>
    <w:rsid w:val="009B6345"/>
    <w:rsid w:val="009B690C"/>
    <w:rsid w:val="009B71C1"/>
    <w:rsid w:val="009B7B75"/>
    <w:rsid w:val="009C18AB"/>
    <w:rsid w:val="009C707E"/>
    <w:rsid w:val="009D0277"/>
    <w:rsid w:val="009D14CF"/>
    <w:rsid w:val="009D20C4"/>
    <w:rsid w:val="009D30DD"/>
    <w:rsid w:val="009D4BF5"/>
    <w:rsid w:val="009D54BE"/>
    <w:rsid w:val="009D67B6"/>
    <w:rsid w:val="009D6839"/>
    <w:rsid w:val="009E1B75"/>
    <w:rsid w:val="009E23CA"/>
    <w:rsid w:val="009E38BE"/>
    <w:rsid w:val="009E3FE1"/>
    <w:rsid w:val="009E5192"/>
    <w:rsid w:val="009E5649"/>
    <w:rsid w:val="009E5836"/>
    <w:rsid w:val="009E7AE3"/>
    <w:rsid w:val="009F02F0"/>
    <w:rsid w:val="009F05F6"/>
    <w:rsid w:val="009F175E"/>
    <w:rsid w:val="009F25CA"/>
    <w:rsid w:val="009F3777"/>
    <w:rsid w:val="009F4A9E"/>
    <w:rsid w:val="009F52DD"/>
    <w:rsid w:val="009F671C"/>
    <w:rsid w:val="00A02B07"/>
    <w:rsid w:val="00A03205"/>
    <w:rsid w:val="00A04CCA"/>
    <w:rsid w:val="00A0566C"/>
    <w:rsid w:val="00A05759"/>
    <w:rsid w:val="00A05F39"/>
    <w:rsid w:val="00A06F98"/>
    <w:rsid w:val="00A1033A"/>
    <w:rsid w:val="00A11A89"/>
    <w:rsid w:val="00A11F41"/>
    <w:rsid w:val="00A13473"/>
    <w:rsid w:val="00A134D1"/>
    <w:rsid w:val="00A134DE"/>
    <w:rsid w:val="00A147B6"/>
    <w:rsid w:val="00A14923"/>
    <w:rsid w:val="00A14BFA"/>
    <w:rsid w:val="00A14FA0"/>
    <w:rsid w:val="00A1739B"/>
    <w:rsid w:val="00A174E9"/>
    <w:rsid w:val="00A17F38"/>
    <w:rsid w:val="00A210DD"/>
    <w:rsid w:val="00A2153B"/>
    <w:rsid w:val="00A21DE8"/>
    <w:rsid w:val="00A21F05"/>
    <w:rsid w:val="00A2259B"/>
    <w:rsid w:val="00A23D1E"/>
    <w:rsid w:val="00A2489F"/>
    <w:rsid w:val="00A24FBB"/>
    <w:rsid w:val="00A261DC"/>
    <w:rsid w:val="00A2788E"/>
    <w:rsid w:val="00A30387"/>
    <w:rsid w:val="00A30B07"/>
    <w:rsid w:val="00A30BA1"/>
    <w:rsid w:val="00A31496"/>
    <w:rsid w:val="00A319C2"/>
    <w:rsid w:val="00A32CA3"/>
    <w:rsid w:val="00A33CA8"/>
    <w:rsid w:val="00A33CFD"/>
    <w:rsid w:val="00A35C69"/>
    <w:rsid w:val="00A36154"/>
    <w:rsid w:val="00A36548"/>
    <w:rsid w:val="00A368BE"/>
    <w:rsid w:val="00A36B78"/>
    <w:rsid w:val="00A37375"/>
    <w:rsid w:val="00A37536"/>
    <w:rsid w:val="00A37E3F"/>
    <w:rsid w:val="00A4010C"/>
    <w:rsid w:val="00A406D1"/>
    <w:rsid w:val="00A40C48"/>
    <w:rsid w:val="00A434BD"/>
    <w:rsid w:val="00A43F40"/>
    <w:rsid w:val="00A455B3"/>
    <w:rsid w:val="00A4613F"/>
    <w:rsid w:val="00A46265"/>
    <w:rsid w:val="00A46DE6"/>
    <w:rsid w:val="00A47A9A"/>
    <w:rsid w:val="00A50430"/>
    <w:rsid w:val="00A50A0A"/>
    <w:rsid w:val="00A51D04"/>
    <w:rsid w:val="00A51FE9"/>
    <w:rsid w:val="00A547A5"/>
    <w:rsid w:val="00A55286"/>
    <w:rsid w:val="00A55DCE"/>
    <w:rsid w:val="00A568FF"/>
    <w:rsid w:val="00A5753A"/>
    <w:rsid w:val="00A57A5E"/>
    <w:rsid w:val="00A60CC2"/>
    <w:rsid w:val="00A60DDF"/>
    <w:rsid w:val="00A619F1"/>
    <w:rsid w:val="00A630C0"/>
    <w:rsid w:val="00A65800"/>
    <w:rsid w:val="00A65AD4"/>
    <w:rsid w:val="00A665AF"/>
    <w:rsid w:val="00A66890"/>
    <w:rsid w:val="00A671F0"/>
    <w:rsid w:val="00A679FD"/>
    <w:rsid w:val="00A70D3C"/>
    <w:rsid w:val="00A72B65"/>
    <w:rsid w:val="00A7341F"/>
    <w:rsid w:val="00A73E92"/>
    <w:rsid w:val="00A7407C"/>
    <w:rsid w:val="00A74413"/>
    <w:rsid w:val="00A748AB"/>
    <w:rsid w:val="00A750A8"/>
    <w:rsid w:val="00A755CA"/>
    <w:rsid w:val="00A75EDD"/>
    <w:rsid w:val="00A76578"/>
    <w:rsid w:val="00A76BE5"/>
    <w:rsid w:val="00A77778"/>
    <w:rsid w:val="00A8254D"/>
    <w:rsid w:val="00A825FB"/>
    <w:rsid w:val="00A82C40"/>
    <w:rsid w:val="00A83D50"/>
    <w:rsid w:val="00A85E7D"/>
    <w:rsid w:val="00A87C7D"/>
    <w:rsid w:val="00A87DDA"/>
    <w:rsid w:val="00A92A9A"/>
    <w:rsid w:val="00A958E3"/>
    <w:rsid w:val="00A97383"/>
    <w:rsid w:val="00AA1BC8"/>
    <w:rsid w:val="00AA1C83"/>
    <w:rsid w:val="00AA2CDD"/>
    <w:rsid w:val="00AA4CDE"/>
    <w:rsid w:val="00AA4E21"/>
    <w:rsid w:val="00AA56A9"/>
    <w:rsid w:val="00AA6756"/>
    <w:rsid w:val="00AA7571"/>
    <w:rsid w:val="00AB08BD"/>
    <w:rsid w:val="00AB16FA"/>
    <w:rsid w:val="00AB1EE3"/>
    <w:rsid w:val="00AB21EA"/>
    <w:rsid w:val="00AB2B48"/>
    <w:rsid w:val="00AB34D6"/>
    <w:rsid w:val="00AB4BE6"/>
    <w:rsid w:val="00AB4C66"/>
    <w:rsid w:val="00AB6126"/>
    <w:rsid w:val="00AB78CE"/>
    <w:rsid w:val="00AB7A59"/>
    <w:rsid w:val="00AC2351"/>
    <w:rsid w:val="00AC25C7"/>
    <w:rsid w:val="00AC2E68"/>
    <w:rsid w:val="00AC495E"/>
    <w:rsid w:val="00AC53CC"/>
    <w:rsid w:val="00AC5BE0"/>
    <w:rsid w:val="00AC5E07"/>
    <w:rsid w:val="00AC6AE0"/>
    <w:rsid w:val="00AC6CDD"/>
    <w:rsid w:val="00AC6F04"/>
    <w:rsid w:val="00AD027C"/>
    <w:rsid w:val="00AD0AB3"/>
    <w:rsid w:val="00AD2221"/>
    <w:rsid w:val="00AD3113"/>
    <w:rsid w:val="00AD3660"/>
    <w:rsid w:val="00AD510E"/>
    <w:rsid w:val="00AD689A"/>
    <w:rsid w:val="00AD738F"/>
    <w:rsid w:val="00AE0E31"/>
    <w:rsid w:val="00AE12B6"/>
    <w:rsid w:val="00AE1976"/>
    <w:rsid w:val="00AE2D57"/>
    <w:rsid w:val="00AE5B4D"/>
    <w:rsid w:val="00AE7107"/>
    <w:rsid w:val="00AF6675"/>
    <w:rsid w:val="00AF6680"/>
    <w:rsid w:val="00AF6979"/>
    <w:rsid w:val="00AF6F74"/>
    <w:rsid w:val="00AF7C26"/>
    <w:rsid w:val="00B008A7"/>
    <w:rsid w:val="00B01349"/>
    <w:rsid w:val="00B01995"/>
    <w:rsid w:val="00B051DA"/>
    <w:rsid w:val="00B056E9"/>
    <w:rsid w:val="00B067E6"/>
    <w:rsid w:val="00B078B8"/>
    <w:rsid w:val="00B10DD9"/>
    <w:rsid w:val="00B11B84"/>
    <w:rsid w:val="00B11D6D"/>
    <w:rsid w:val="00B14B7F"/>
    <w:rsid w:val="00B16275"/>
    <w:rsid w:val="00B16804"/>
    <w:rsid w:val="00B16968"/>
    <w:rsid w:val="00B16D76"/>
    <w:rsid w:val="00B16E4E"/>
    <w:rsid w:val="00B175FD"/>
    <w:rsid w:val="00B22F05"/>
    <w:rsid w:val="00B23940"/>
    <w:rsid w:val="00B23A1C"/>
    <w:rsid w:val="00B23DCE"/>
    <w:rsid w:val="00B2519F"/>
    <w:rsid w:val="00B26687"/>
    <w:rsid w:val="00B27F21"/>
    <w:rsid w:val="00B3054D"/>
    <w:rsid w:val="00B31A92"/>
    <w:rsid w:val="00B31FFD"/>
    <w:rsid w:val="00B33700"/>
    <w:rsid w:val="00B34B00"/>
    <w:rsid w:val="00B34BBA"/>
    <w:rsid w:val="00B34F10"/>
    <w:rsid w:val="00B3559F"/>
    <w:rsid w:val="00B35640"/>
    <w:rsid w:val="00B3575F"/>
    <w:rsid w:val="00B36D07"/>
    <w:rsid w:val="00B37759"/>
    <w:rsid w:val="00B37A3E"/>
    <w:rsid w:val="00B40887"/>
    <w:rsid w:val="00B41136"/>
    <w:rsid w:val="00B41937"/>
    <w:rsid w:val="00B41B91"/>
    <w:rsid w:val="00B43F2B"/>
    <w:rsid w:val="00B443D5"/>
    <w:rsid w:val="00B445AE"/>
    <w:rsid w:val="00B44BE2"/>
    <w:rsid w:val="00B4573E"/>
    <w:rsid w:val="00B4645D"/>
    <w:rsid w:val="00B50A9A"/>
    <w:rsid w:val="00B51704"/>
    <w:rsid w:val="00B51FD4"/>
    <w:rsid w:val="00B5318D"/>
    <w:rsid w:val="00B53AC5"/>
    <w:rsid w:val="00B54C23"/>
    <w:rsid w:val="00B5543D"/>
    <w:rsid w:val="00B558B3"/>
    <w:rsid w:val="00B55D28"/>
    <w:rsid w:val="00B57ADA"/>
    <w:rsid w:val="00B6041F"/>
    <w:rsid w:val="00B61B5B"/>
    <w:rsid w:val="00B62C26"/>
    <w:rsid w:val="00B65B52"/>
    <w:rsid w:val="00B67802"/>
    <w:rsid w:val="00B67C89"/>
    <w:rsid w:val="00B67E33"/>
    <w:rsid w:val="00B70256"/>
    <w:rsid w:val="00B715DF"/>
    <w:rsid w:val="00B7365A"/>
    <w:rsid w:val="00B7374F"/>
    <w:rsid w:val="00B73B6E"/>
    <w:rsid w:val="00B745EC"/>
    <w:rsid w:val="00B766A5"/>
    <w:rsid w:val="00B76971"/>
    <w:rsid w:val="00B77A69"/>
    <w:rsid w:val="00B80258"/>
    <w:rsid w:val="00B80600"/>
    <w:rsid w:val="00B80842"/>
    <w:rsid w:val="00B8149F"/>
    <w:rsid w:val="00B816AB"/>
    <w:rsid w:val="00B8291A"/>
    <w:rsid w:val="00B83ED4"/>
    <w:rsid w:val="00B844A4"/>
    <w:rsid w:val="00B85FB6"/>
    <w:rsid w:val="00B86054"/>
    <w:rsid w:val="00B86289"/>
    <w:rsid w:val="00B87E75"/>
    <w:rsid w:val="00B87E88"/>
    <w:rsid w:val="00B91A9B"/>
    <w:rsid w:val="00B91DAB"/>
    <w:rsid w:val="00B92568"/>
    <w:rsid w:val="00B9474B"/>
    <w:rsid w:val="00B9583C"/>
    <w:rsid w:val="00B97483"/>
    <w:rsid w:val="00B97749"/>
    <w:rsid w:val="00B97A66"/>
    <w:rsid w:val="00B97A95"/>
    <w:rsid w:val="00B97E81"/>
    <w:rsid w:val="00BA0376"/>
    <w:rsid w:val="00BA04E3"/>
    <w:rsid w:val="00BA09FC"/>
    <w:rsid w:val="00BA0AB3"/>
    <w:rsid w:val="00BA2E5D"/>
    <w:rsid w:val="00BA32E0"/>
    <w:rsid w:val="00BA3ABF"/>
    <w:rsid w:val="00BA5003"/>
    <w:rsid w:val="00BA67EE"/>
    <w:rsid w:val="00BA6B6C"/>
    <w:rsid w:val="00BA7161"/>
    <w:rsid w:val="00BA7F13"/>
    <w:rsid w:val="00BB1185"/>
    <w:rsid w:val="00BB2FCC"/>
    <w:rsid w:val="00BB3BF2"/>
    <w:rsid w:val="00BB47C6"/>
    <w:rsid w:val="00BB4FCC"/>
    <w:rsid w:val="00BB4FDE"/>
    <w:rsid w:val="00BB641E"/>
    <w:rsid w:val="00BB6DAA"/>
    <w:rsid w:val="00BB70E5"/>
    <w:rsid w:val="00BB7B1C"/>
    <w:rsid w:val="00BC0AE5"/>
    <w:rsid w:val="00BC1B88"/>
    <w:rsid w:val="00BC1D13"/>
    <w:rsid w:val="00BC2329"/>
    <w:rsid w:val="00BC2516"/>
    <w:rsid w:val="00BC33F1"/>
    <w:rsid w:val="00BC4499"/>
    <w:rsid w:val="00BC47C1"/>
    <w:rsid w:val="00BC5E9F"/>
    <w:rsid w:val="00BC6C64"/>
    <w:rsid w:val="00BC6D31"/>
    <w:rsid w:val="00BC7CCE"/>
    <w:rsid w:val="00BD08D6"/>
    <w:rsid w:val="00BD2334"/>
    <w:rsid w:val="00BD3C04"/>
    <w:rsid w:val="00BD4AD0"/>
    <w:rsid w:val="00BD5125"/>
    <w:rsid w:val="00BD5F39"/>
    <w:rsid w:val="00BD6AE7"/>
    <w:rsid w:val="00BD7CAA"/>
    <w:rsid w:val="00BE43D1"/>
    <w:rsid w:val="00BE5169"/>
    <w:rsid w:val="00BE7D20"/>
    <w:rsid w:val="00BF004C"/>
    <w:rsid w:val="00BF0940"/>
    <w:rsid w:val="00BF0F34"/>
    <w:rsid w:val="00BF1D03"/>
    <w:rsid w:val="00BF1DED"/>
    <w:rsid w:val="00BF1E65"/>
    <w:rsid w:val="00BF2FB6"/>
    <w:rsid w:val="00BF3986"/>
    <w:rsid w:val="00BF3FAD"/>
    <w:rsid w:val="00BF4BBC"/>
    <w:rsid w:val="00BF4F00"/>
    <w:rsid w:val="00BF67C3"/>
    <w:rsid w:val="00BF6822"/>
    <w:rsid w:val="00BF6D03"/>
    <w:rsid w:val="00C000A7"/>
    <w:rsid w:val="00C01059"/>
    <w:rsid w:val="00C01A59"/>
    <w:rsid w:val="00C03891"/>
    <w:rsid w:val="00C038E3"/>
    <w:rsid w:val="00C03F32"/>
    <w:rsid w:val="00C04C4C"/>
    <w:rsid w:val="00C05357"/>
    <w:rsid w:val="00C05EA4"/>
    <w:rsid w:val="00C06CEF"/>
    <w:rsid w:val="00C10720"/>
    <w:rsid w:val="00C10B75"/>
    <w:rsid w:val="00C1177D"/>
    <w:rsid w:val="00C121E2"/>
    <w:rsid w:val="00C123A7"/>
    <w:rsid w:val="00C12BDE"/>
    <w:rsid w:val="00C13EE7"/>
    <w:rsid w:val="00C15112"/>
    <w:rsid w:val="00C16197"/>
    <w:rsid w:val="00C1729A"/>
    <w:rsid w:val="00C219FE"/>
    <w:rsid w:val="00C21D0D"/>
    <w:rsid w:val="00C22828"/>
    <w:rsid w:val="00C23136"/>
    <w:rsid w:val="00C265EA"/>
    <w:rsid w:val="00C26870"/>
    <w:rsid w:val="00C27547"/>
    <w:rsid w:val="00C27D6B"/>
    <w:rsid w:val="00C32308"/>
    <w:rsid w:val="00C33152"/>
    <w:rsid w:val="00C3390F"/>
    <w:rsid w:val="00C34C0C"/>
    <w:rsid w:val="00C350FA"/>
    <w:rsid w:val="00C35119"/>
    <w:rsid w:val="00C35D18"/>
    <w:rsid w:val="00C35E71"/>
    <w:rsid w:val="00C37201"/>
    <w:rsid w:val="00C373F3"/>
    <w:rsid w:val="00C37827"/>
    <w:rsid w:val="00C4134D"/>
    <w:rsid w:val="00C42B16"/>
    <w:rsid w:val="00C43C0C"/>
    <w:rsid w:val="00C43E97"/>
    <w:rsid w:val="00C43F8F"/>
    <w:rsid w:val="00C44EC1"/>
    <w:rsid w:val="00C4763E"/>
    <w:rsid w:val="00C47674"/>
    <w:rsid w:val="00C5062C"/>
    <w:rsid w:val="00C50685"/>
    <w:rsid w:val="00C516BE"/>
    <w:rsid w:val="00C51F56"/>
    <w:rsid w:val="00C52009"/>
    <w:rsid w:val="00C534EF"/>
    <w:rsid w:val="00C54992"/>
    <w:rsid w:val="00C56591"/>
    <w:rsid w:val="00C56778"/>
    <w:rsid w:val="00C61B0C"/>
    <w:rsid w:val="00C622A7"/>
    <w:rsid w:val="00C627F1"/>
    <w:rsid w:val="00C62CC3"/>
    <w:rsid w:val="00C630BE"/>
    <w:rsid w:val="00C63752"/>
    <w:rsid w:val="00C645F4"/>
    <w:rsid w:val="00C65795"/>
    <w:rsid w:val="00C65DCD"/>
    <w:rsid w:val="00C66A62"/>
    <w:rsid w:val="00C67DBA"/>
    <w:rsid w:val="00C702F9"/>
    <w:rsid w:val="00C70432"/>
    <w:rsid w:val="00C7075F"/>
    <w:rsid w:val="00C70AE5"/>
    <w:rsid w:val="00C70D96"/>
    <w:rsid w:val="00C70E13"/>
    <w:rsid w:val="00C71A34"/>
    <w:rsid w:val="00C72A68"/>
    <w:rsid w:val="00C74DDC"/>
    <w:rsid w:val="00C7578E"/>
    <w:rsid w:val="00C75D49"/>
    <w:rsid w:val="00C7733B"/>
    <w:rsid w:val="00C77743"/>
    <w:rsid w:val="00C80415"/>
    <w:rsid w:val="00C817B7"/>
    <w:rsid w:val="00C81F81"/>
    <w:rsid w:val="00C8274E"/>
    <w:rsid w:val="00C84D96"/>
    <w:rsid w:val="00C8614F"/>
    <w:rsid w:val="00C871B5"/>
    <w:rsid w:val="00C87FF6"/>
    <w:rsid w:val="00C913D3"/>
    <w:rsid w:val="00C91F82"/>
    <w:rsid w:val="00C92121"/>
    <w:rsid w:val="00C949FB"/>
    <w:rsid w:val="00C95976"/>
    <w:rsid w:val="00C97360"/>
    <w:rsid w:val="00CA1B7B"/>
    <w:rsid w:val="00CA28AB"/>
    <w:rsid w:val="00CA3425"/>
    <w:rsid w:val="00CA36DC"/>
    <w:rsid w:val="00CA405F"/>
    <w:rsid w:val="00CA4513"/>
    <w:rsid w:val="00CA4FAC"/>
    <w:rsid w:val="00CA5890"/>
    <w:rsid w:val="00CA5D5D"/>
    <w:rsid w:val="00CA60FD"/>
    <w:rsid w:val="00CA62AD"/>
    <w:rsid w:val="00CA647C"/>
    <w:rsid w:val="00CA6EF4"/>
    <w:rsid w:val="00CA7DB0"/>
    <w:rsid w:val="00CB0FCC"/>
    <w:rsid w:val="00CB2B1D"/>
    <w:rsid w:val="00CB5571"/>
    <w:rsid w:val="00CB55F8"/>
    <w:rsid w:val="00CC0C8D"/>
    <w:rsid w:val="00CC132D"/>
    <w:rsid w:val="00CC14EC"/>
    <w:rsid w:val="00CC16F6"/>
    <w:rsid w:val="00CC3403"/>
    <w:rsid w:val="00CC3B43"/>
    <w:rsid w:val="00CC3BCC"/>
    <w:rsid w:val="00CC433B"/>
    <w:rsid w:val="00CC5010"/>
    <w:rsid w:val="00CC53C6"/>
    <w:rsid w:val="00CC57B3"/>
    <w:rsid w:val="00CC5BCD"/>
    <w:rsid w:val="00CD10EC"/>
    <w:rsid w:val="00CD1C2A"/>
    <w:rsid w:val="00CD257F"/>
    <w:rsid w:val="00CD2620"/>
    <w:rsid w:val="00CD2FC5"/>
    <w:rsid w:val="00CD38B9"/>
    <w:rsid w:val="00CD63D9"/>
    <w:rsid w:val="00CD6EB5"/>
    <w:rsid w:val="00CD733C"/>
    <w:rsid w:val="00CE1AE9"/>
    <w:rsid w:val="00CE7BD2"/>
    <w:rsid w:val="00CE7F2D"/>
    <w:rsid w:val="00CF0CF0"/>
    <w:rsid w:val="00CF26E0"/>
    <w:rsid w:val="00CF316D"/>
    <w:rsid w:val="00CF4D56"/>
    <w:rsid w:val="00CF5F5F"/>
    <w:rsid w:val="00CF65FA"/>
    <w:rsid w:val="00D00465"/>
    <w:rsid w:val="00D01754"/>
    <w:rsid w:val="00D01E96"/>
    <w:rsid w:val="00D03C31"/>
    <w:rsid w:val="00D04A12"/>
    <w:rsid w:val="00D07C06"/>
    <w:rsid w:val="00D118A9"/>
    <w:rsid w:val="00D11EC5"/>
    <w:rsid w:val="00D12703"/>
    <w:rsid w:val="00D15394"/>
    <w:rsid w:val="00D155E9"/>
    <w:rsid w:val="00D159D8"/>
    <w:rsid w:val="00D15F7E"/>
    <w:rsid w:val="00D16083"/>
    <w:rsid w:val="00D17774"/>
    <w:rsid w:val="00D17F18"/>
    <w:rsid w:val="00D221D3"/>
    <w:rsid w:val="00D237CA"/>
    <w:rsid w:val="00D24542"/>
    <w:rsid w:val="00D24958"/>
    <w:rsid w:val="00D253AA"/>
    <w:rsid w:val="00D2760F"/>
    <w:rsid w:val="00D30C6E"/>
    <w:rsid w:val="00D31D84"/>
    <w:rsid w:val="00D33575"/>
    <w:rsid w:val="00D33C8E"/>
    <w:rsid w:val="00D342EC"/>
    <w:rsid w:val="00D355FE"/>
    <w:rsid w:val="00D375F7"/>
    <w:rsid w:val="00D40C4D"/>
    <w:rsid w:val="00D4139F"/>
    <w:rsid w:val="00D41D2D"/>
    <w:rsid w:val="00D42EC2"/>
    <w:rsid w:val="00D44427"/>
    <w:rsid w:val="00D44575"/>
    <w:rsid w:val="00D4469D"/>
    <w:rsid w:val="00D446AF"/>
    <w:rsid w:val="00D446FA"/>
    <w:rsid w:val="00D45CEB"/>
    <w:rsid w:val="00D4628F"/>
    <w:rsid w:val="00D4667B"/>
    <w:rsid w:val="00D47B4D"/>
    <w:rsid w:val="00D51DAC"/>
    <w:rsid w:val="00D51E90"/>
    <w:rsid w:val="00D53149"/>
    <w:rsid w:val="00D54B57"/>
    <w:rsid w:val="00D54D9E"/>
    <w:rsid w:val="00D54E35"/>
    <w:rsid w:val="00D5505D"/>
    <w:rsid w:val="00D55268"/>
    <w:rsid w:val="00D55B16"/>
    <w:rsid w:val="00D56A6C"/>
    <w:rsid w:val="00D56CE6"/>
    <w:rsid w:val="00D56FA3"/>
    <w:rsid w:val="00D5737E"/>
    <w:rsid w:val="00D575B5"/>
    <w:rsid w:val="00D6184B"/>
    <w:rsid w:val="00D641B7"/>
    <w:rsid w:val="00D642B5"/>
    <w:rsid w:val="00D64CCC"/>
    <w:rsid w:val="00D657E2"/>
    <w:rsid w:val="00D668C1"/>
    <w:rsid w:val="00D66F76"/>
    <w:rsid w:val="00D711BD"/>
    <w:rsid w:val="00D719BB"/>
    <w:rsid w:val="00D722D8"/>
    <w:rsid w:val="00D7256C"/>
    <w:rsid w:val="00D7259B"/>
    <w:rsid w:val="00D72721"/>
    <w:rsid w:val="00D72A8C"/>
    <w:rsid w:val="00D732A5"/>
    <w:rsid w:val="00D7370A"/>
    <w:rsid w:val="00D73D64"/>
    <w:rsid w:val="00D744AE"/>
    <w:rsid w:val="00D747FF"/>
    <w:rsid w:val="00D74F3F"/>
    <w:rsid w:val="00D766B0"/>
    <w:rsid w:val="00D76B19"/>
    <w:rsid w:val="00D76BA6"/>
    <w:rsid w:val="00D77F22"/>
    <w:rsid w:val="00D81840"/>
    <w:rsid w:val="00D81A26"/>
    <w:rsid w:val="00D83C49"/>
    <w:rsid w:val="00D84D1B"/>
    <w:rsid w:val="00D85201"/>
    <w:rsid w:val="00D85532"/>
    <w:rsid w:val="00D85B49"/>
    <w:rsid w:val="00D85BAC"/>
    <w:rsid w:val="00D872AE"/>
    <w:rsid w:val="00D87828"/>
    <w:rsid w:val="00D878CF"/>
    <w:rsid w:val="00D87B1A"/>
    <w:rsid w:val="00D87D8D"/>
    <w:rsid w:val="00D87D8F"/>
    <w:rsid w:val="00D905F6"/>
    <w:rsid w:val="00D9186D"/>
    <w:rsid w:val="00D92843"/>
    <w:rsid w:val="00D93184"/>
    <w:rsid w:val="00D94607"/>
    <w:rsid w:val="00D9586E"/>
    <w:rsid w:val="00D95B38"/>
    <w:rsid w:val="00D96CD5"/>
    <w:rsid w:val="00D972DB"/>
    <w:rsid w:val="00DA0009"/>
    <w:rsid w:val="00DA0726"/>
    <w:rsid w:val="00DA08BE"/>
    <w:rsid w:val="00DA0DD1"/>
    <w:rsid w:val="00DA26F5"/>
    <w:rsid w:val="00DA3CCE"/>
    <w:rsid w:val="00DA4BA0"/>
    <w:rsid w:val="00DA5EAF"/>
    <w:rsid w:val="00DA6E99"/>
    <w:rsid w:val="00DA6F98"/>
    <w:rsid w:val="00DA6FE0"/>
    <w:rsid w:val="00DB2F0E"/>
    <w:rsid w:val="00DB39F9"/>
    <w:rsid w:val="00DB4621"/>
    <w:rsid w:val="00DB4B67"/>
    <w:rsid w:val="00DB61B0"/>
    <w:rsid w:val="00DB63EF"/>
    <w:rsid w:val="00DB6DA5"/>
    <w:rsid w:val="00DB7B50"/>
    <w:rsid w:val="00DC1232"/>
    <w:rsid w:val="00DC2F27"/>
    <w:rsid w:val="00DC3769"/>
    <w:rsid w:val="00DC4AD7"/>
    <w:rsid w:val="00DC4DEF"/>
    <w:rsid w:val="00DD08C3"/>
    <w:rsid w:val="00DD1079"/>
    <w:rsid w:val="00DD11DF"/>
    <w:rsid w:val="00DD2FE9"/>
    <w:rsid w:val="00DD3FC4"/>
    <w:rsid w:val="00DE10EF"/>
    <w:rsid w:val="00DE12E8"/>
    <w:rsid w:val="00DE5803"/>
    <w:rsid w:val="00DE59DD"/>
    <w:rsid w:val="00DE5CDD"/>
    <w:rsid w:val="00DE60EF"/>
    <w:rsid w:val="00DE730D"/>
    <w:rsid w:val="00DE75E9"/>
    <w:rsid w:val="00DE7698"/>
    <w:rsid w:val="00DF085E"/>
    <w:rsid w:val="00DF1021"/>
    <w:rsid w:val="00DF13CE"/>
    <w:rsid w:val="00DF1E93"/>
    <w:rsid w:val="00DF1EB9"/>
    <w:rsid w:val="00DF3538"/>
    <w:rsid w:val="00DF36B1"/>
    <w:rsid w:val="00DF46DC"/>
    <w:rsid w:val="00DF59CE"/>
    <w:rsid w:val="00DF6013"/>
    <w:rsid w:val="00DF6A9C"/>
    <w:rsid w:val="00DF70CB"/>
    <w:rsid w:val="00DF7586"/>
    <w:rsid w:val="00DF7ABD"/>
    <w:rsid w:val="00E00FA8"/>
    <w:rsid w:val="00E0299C"/>
    <w:rsid w:val="00E02AB5"/>
    <w:rsid w:val="00E035EA"/>
    <w:rsid w:val="00E04042"/>
    <w:rsid w:val="00E053C3"/>
    <w:rsid w:val="00E06418"/>
    <w:rsid w:val="00E06B44"/>
    <w:rsid w:val="00E0777B"/>
    <w:rsid w:val="00E10082"/>
    <w:rsid w:val="00E10729"/>
    <w:rsid w:val="00E124B7"/>
    <w:rsid w:val="00E12526"/>
    <w:rsid w:val="00E1272C"/>
    <w:rsid w:val="00E12E8D"/>
    <w:rsid w:val="00E139F0"/>
    <w:rsid w:val="00E13AC2"/>
    <w:rsid w:val="00E13EDF"/>
    <w:rsid w:val="00E14A61"/>
    <w:rsid w:val="00E14AF5"/>
    <w:rsid w:val="00E14CF3"/>
    <w:rsid w:val="00E151C9"/>
    <w:rsid w:val="00E209B2"/>
    <w:rsid w:val="00E239DA"/>
    <w:rsid w:val="00E2438D"/>
    <w:rsid w:val="00E255DB"/>
    <w:rsid w:val="00E261F3"/>
    <w:rsid w:val="00E273C4"/>
    <w:rsid w:val="00E30707"/>
    <w:rsid w:val="00E30C9E"/>
    <w:rsid w:val="00E31AD4"/>
    <w:rsid w:val="00E3372A"/>
    <w:rsid w:val="00E3382C"/>
    <w:rsid w:val="00E3415B"/>
    <w:rsid w:val="00E3562F"/>
    <w:rsid w:val="00E35951"/>
    <w:rsid w:val="00E3596C"/>
    <w:rsid w:val="00E35BF5"/>
    <w:rsid w:val="00E3621B"/>
    <w:rsid w:val="00E36E95"/>
    <w:rsid w:val="00E37FD9"/>
    <w:rsid w:val="00E427C0"/>
    <w:rsid w:val="00E428FE"/>
    <w:rsid w:val="00E42D00"/>
    <w:rsid w:val="00E44091"/>
    <w:rsid w:val="00E44351"/>
    <w:rsid w:val="00E4554E"/>
    <w:rsid w:val="00E459AE"/>
    <w:rsid w:val="00E46004"/>
    <w:rsid w:val="00E47252"/>
    <w:rsid w:val="00E47423"/>
    <w:rsid w:val="00E474C4"/>
    <w:rsid w:val="00E479C4"/>
    <w:rsid w:val="00E47A74"/>
    <w:rsid w:val="00E502BA"/>
    <w:rsid w:val="00E50322"/>
    <w:rsid w:val="00E5110B"/>
    <w:rsid w:val="00E5231E"/>
    <w:rsid w:val="00E52778"/>
    <w:rsid w:val="00E5538C"/>
    <w:rsid w:val="00E602BE"/>
    <w:rsid w:val="00E60811"/>
    <w:rsid w:val="00E642EA"/>
    <w:rsid w:val="00E65040"/>
    <w:rsid w:val="00E65E0B"/>
    <w:rsid w:val="00E701F5"/>
    <w:rsid w:val="00E72036"/>
    <w:rsid w:val="00E72196"/>
    <w:rsid w:val="00E72AC9"/>
    <w:rsid w:val="00E72F96"/>
    <w:rsid w:val="00E73543"/>
    <w:rsid w:val="00E760A1"/>
    <w:rsid w:val="00E765EC"/>
    <w:rsid w:val="00E76857"/>
    <w:rsid w:val="00E7705C"/>
    <w:rsid w:val="00E77510"/>
    <w:rsid w:val="00E77667"/>
    <w:rsid w:val="00E8078E"/>
    <w:rsid w:val="00E80B25"/>
    <w:rsid w:val="00E82AD1"/>
    <w:rsid w:val="00E832DE"/>
    <w:rsid w:val="00E83B00"/>
    <w:rsid w:val="00E83E01"/>
    <w:rsid w:val="00E85DD9"/>
    <w:rsid w:val="00E85DF4"/>
    <w:rsid w:val="00E86100"/>
    <w:rsid w:val="00E86AD6"/>
    <w:rsid w:val="00E86B88"/>
    <w:rsid w:val="00E8736E"/>
    <w:rsid w:val="00E918AA"/>
    <w:rsid w:val="00E93FB3"/>
    <w:rsid w:val="00E94994"/>
    <w:rsid w:val="00E94D37"/>
    <w:rsid w:val="00E95288"/>
    <w:rsid w:val="00E95C55"/>
    <w:rsid w:val="00E96563"/>
    <w:rsid w:val="00E97B08"/>
    <w:rsid w:val="00EA01FE"/>
    <w:rsid w:val="00EA1527"/>
    <w:rsid w:val="00EA30F1"/>
    <w:rsid w:val="00EA3790"/>
    <w:rsid w:val="00EA53A6"/>
    <w:rsid w:val="00EA54CD"/>
    <w:rsid w:val="00EA6452"/>
    <w:rsid w:val="00EA6EC5"/>
    <w:rsid w:val="00EB0294"/>
    <w:rsid w:val="00EB0A80"/>
    <w:rsid w:val="00EB1916"/>
    <w:rsid w:val="00EB1C08"/>
    <w:rsid w:val="00EB2DD8"/>
    <w:rsid w:val="00EB3028"/>
    <w:rsid w:val="00EB3100"/>
    <w:rsid w:val="00EB3119"/>
    <w:rsid w:val="00EB55F8"/>
    <w:rsid w:val="00EB5CBD"/>
    <w:rsid w:val="00EB7223"/>
    <w:rsid w:val="00EC0578"/>
    <w:rsid w:val="00EC1BEA"/>
    <w:rsid w:val="00EC24E6"/>
    <w:rsid w:val="00EC45AF"/>
    <w:rsid w:val="00EC4BC3"/>
    <w:rsid w:val="00EC538C"/>
    <w:rsid w:val="00EC58C3"/>
    <w:rsid w:val="00EC607C"/>
    <w:rsid w:val="00EC7178"/>
    <w:rsid w:val="00EC71C8"/>
    <w:rsid w:val="00EC74D5"/>
    <w:rsid w:val="00ED05E8"/>
    <w:rsid w:val="00ED0B3B"/>
    <w:rsid w:val="00ED0FDC"/>
    <w:rsid w:val="00ED10DA"/>
    <w:rsid w:val="00ED1A48"/>
    <w:rsid w:val="00ED1F8D"/>
    <w:rsid w:val="00ED21FA"/>
    <w:rsid w:val="00ED344E"/>
    <w:rsid w:val="00ED367F"/>
    <w:rsid w:val="00ED56B0"/>
    <w:rsid w:val="00ED5701"/>
    <w:rsid w:val="00ED7F2F"/>
    <w:rsid w:val="00EE0529"/>
    <w:rsid w:val="00EE2478"/>
    <w:rsid w:val="00EE306E"/>
    <w:rsid w:val="00EE4993"/>
    <w:rsid w:val="00EE4DA4"/>
    <w:rsid w:val="00EE5D19"/>
    <w:rsid w:val="00EE76AC"/>
    <w:rsid w:val="00EE7839"/>
    <w:rsid w:val="00EE78FE"/>
    <w:rsid w:val="00EF0A5A"/>
    <w:rsid w:val="00EF24B8"/>
    <w:rsid w:val="00EF27F8"/>
    <w:rsid w:val="00EF41BD"/>
    <w:rsid w:val="00EF4674"/>
    <w:rsid w:val="00EF4D1E"/>
    <w:rsid w:val="00EF5B4C"/>
    <w:rsid w:val="00EF5DD9"/>
    <w:rsid w:val="00EF5E13"/>
    <w:rsid w:val="00EF603A"/>
    <w:rsid w:val="00EF7768"/>
    <w:rsid w:val="00EF7A9E"/>
    <w:rsid w:val="00F00AD9"/>
    <w:rsid w:val="00F02045"/>
    <w:rsid w:val="00F04593"/>
    <w:rsid w:val="00F05778"/>
    <w:rsid w:val="00F10151"/>
    <w:rsid w:val="00F1110D"/>
    <w:rsid w:val="00F112E2"/>
    <w:rsid w:val="00F13A45"/>
    <w:rsid w:val="00F159A5"/>
    <w:rsid w:val="00F16981"/>
    <w:rsid w:val="00F1746F"/>
    <w:rsid w:val="00F201E9"/>
    <w:rsid w:val="00F20DBE"/>
    <w:rsid w:val="00F21186"/>
    <w:rsid w:val="00F220C3"/>
    <w:rsid w:val="00F22275"/>
    <w:rsid w:val="00F22954"/>
    <w:rsid w:val="00F23010"/>
    <w:rsid w:val="00F2364E"/>
    <w:rsid w:val="00F23756"/>
    <w:rsid w:val="00F24113"/>
    <w:rsid w:val="00F259B1"/>
    <w:rsid w:val="00F25C51"/>
    <w:rsid w:val="00F262A4"/>
    <w:rsid w:val="00F2648F"/>
    <w:rsid w:val="00F26B2C"/>
    <w:rsid w:val="00F270CE"/>
    <w:rsid w:val="00F27291"/>
    <w:rsid w:val="00F27515"/>
    <w:rsid w:val="00F27B9E"/>
    <w:rsid w:val="00F31478"/>
    <w:rsid w:val="00F31738"/>
    <w:rsid w:val="00F31BAB"/>
    <w:rsid w:val="00F320AF"/>
    <w:rsid w:val="00F32252"/>
    <w:rsid w:val="00F3257C"/>
    <w:rsid w:val="00F33DF6"/>
    <w:rsid w:val="00F34E2C"/>
    <w:rsid w:val="00F3529F"/>
    <w:rsid w:val="00F3647E"/>
    <w:rsid w:val="00F36D85"/>
    <w:rsid w:val="00F37777"/>
    <w:rsid w:val="00F37F60"/>
    <w:rsid w:val="00F402C4"/>
    <w:rsid w:val="00F41E9C"/>
    <w:rsid w:val="00F436F6"/>
    <w:rsid w:val="00F44226"/>
    <w:rsid w:val="00F457EF"/>
    <w:rsid w:val="00F45E3F"/>
    <w:rsid w:val="00F4649E"/>
    <w:rsid w:val="00F46999"/>
    <w:rsid w:val="00F47420"/>
    <w:rsid w:val="00F47D1A"/>
    <w:rsid w:val="00F504DB"/>
    <w:rsid w:val="00F5070A"/>
    <w:rsid w:val="00F51A1E"/>
    <w:rsid w:val="00F51B49"/>
    <w:rsid w:val="00F525FA"/>
    <w:rsid w:val="00F53537"/>
    <w:rsid w:val="00F55531"/>
    <w:rsid w:val="00F555FA"/>
    <w:rsid w:val="00F55951"/>
    <w:rsid w:val="00F562DD"/>
    <w:rsid w:val="00F566F5"/>
    <w:rsid w:val="00F57350"/>
    <w:rsid w:val="00F57EE5"/>
    <w:rsid w:val="00F608A0"/>
    <w:rsid w:val="00F619B7"/>
    <w:rsid w:val="00F62210"/>
    <w:rsid w:val="00F6267D"/>
    <w:rsid w:val="00F6268E"/>
    <w:rsid w:val="00F62E4D"/>
    <w:rsid w:val="00F62EC1"/>
    <w:rsid w:val="00F638D2"/>
    <w:rsid w:val="00F63F28"/>
    <w:rsid w:val="00F64515"/>
    <w:rsid w:val="00F6544C"/>
    <w:rsid w:val="00F67A50"/>
    <w:rsid w:val="00F70B69"/>
    <w:rsid w:val="00F73E26"/>
    <w:rsid w:val="00F747E1"/>
    <w:rsid w:val="00F74F1B"/>
    <w:rsid w:val="00F7655C"/>
    <w:rsid w:val="00F76A34"/>
    <w:rsid w:val="00F76A58"/>
    <w:rsid w:val="00F777D3"/>
    <w:rsid w:val="00F80414"/>
    <w:rsid w:val="00F809EA"/>
    <w:rsid w:val="00F81302"/>
    <w:rsid w:val="00F86582"/>
    <w:rsid w:val="00F87A38"/>
    <w:rsid w:val="00F91117"/>
    <w:rsid w:val="00F91617"/>
    <w:rsid w:val="00F91DA1"/>
    <w:rsid w:val="00F93038"/>
    <w:rsid w:val="00F94318"/>
    <w:rsid w:val="00F94761"/>
    <w:rsid w:val="00F94B4D"/>
    <w:rsid w:val="00F974DC"/>
    <w:rsid w:val="00FA0BB4"/>
    <w:rsid w:val="00FA117F"/>
    <w:rsid w:val="00FA1C83"/>
    <w:rsid w:val="00FA2615"/>
    <w:rsid w:val="00FA394E"/>
    <w:rsid w:val="00FA423E"/>
    <w:rsid w:val="00FA4360"/>
    <w:rsid w:val="00FA45B0"/>
    <w:rsid w:val="00FA52A5"/>
    <w:rsid w:val="00FA71CD"/>
    <w:rsid w:val="00FB01D1"/>
    <w:rsid w:val="00FB122F"/>
    <w:rsid w:val="00FB37FD"/>
    <w:rsid w:val="00FB3992"/>
    <w:rsid w:val="00FB3A20"/>
    <w:rsid w:val="00FB4478"/>
    <w:rsid w:val="00FB471E"/>
    <w:rsid w:val="00FB6E19"/>
    <w:rsid w:val="00FC02B6"/>
    <w:rsid w:val="00FC29C4"/>
    <w:rsid w:val="00FC4070"/>
    <w:rsid w:val="00FC4A52"/>
    <w:rsid w:val="00FC60C7"/>
    <w:rsid w:val="00FC69BB"/>
    <w:rsid w:val="00FC7919"/>
    <w:rsid w:val="00FD1271"/>
    <w:rsid w:val="00FD251D"/>
    <w:rsid w:val="00FD4018"/>
    <w:rsid w:val="00FD4879"/>
    <w:rsid w:val="00FD5F3C"/>
    <w:rsid w:val="00FD73C4"/>
    <w:rsid w:val="00FE0125"/>
    <w:rsid w:val="00FE049F"/>
    <w:rsid w:val="00FE41D1"/>
    <w:rsid w:val="00FE4473"/>
    <w:rsid w:val="00FE4DC2"/>
    <w:rsid w:val="00FE51AF"/>
    <w:rsid w:val="00FE54A7"/>
    <w:rsid w:val="00FE63E3"/>
    <w:rsid w:val="00FE71D8"/>
    <w:rsid w:val="00FF0523"/>
    <w:rsid w:val="00FF1E53"/>
    <w:rsid w:val="00FF25CA"/>
    <w:rsid w:val="00FF2A89"/>
    <w:rsid w:val="00FF4502"/>
    <w:rsid w:val="00FF4D76"/>
    <w:rsid w:val="00FF4F57"/>
    <w:rsid w:val="00FF5249"/>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4EBD4"/>
  <w15:docId w15:val="{1AE8B945-B621-4FE2-9EA7-965C94AC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6C"/>
  </w:style>
  <w:style w:type="paragraph" w:styleId="Heading1">
    <w:name w:val="heading 1"/>
    <w:aliases w:val="TCI 1.  Heading"/>
    <w:basedOn w:val="Normal"/>
    <w:next w:val="Normal"/>
    <w:link w:val="Heading1Char"/>
    <w:uiPriority w:val="99"/>
    <w:qFormat/>
    <w:rsid w:val="00D56A6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D56A6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unhideWhenUsed/>
    <w:qFormat/>
    <w:rsid w:val="00D56A6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semiHidden/>
    <w:unhideWhenUsed/>
    <w:qFormat/>
    <w:rsid w:val="00D56A6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semiHidden/>
    <w:unhideWhenUsed/>
    <w:qFormat/>
    <w:rsid w:val="00D56A6C"/>
    <w:pPr>
      <w:spacing w:before="200"/>
      <w:outlineLvl w:val="4"/>
    </w:pPr>
    <w:rPr>
      <w:rFonts w:asciiTheme="majorHAnsi" w:eastAsiaTheme="majorEastAsia" w:hAnsiTheme="majorHAnsi" w:cstheme="majorBidi"/>
      <w:b/>
      <w:bCs/>
      <w:color w:val="A79C7E" w:themeColor="text1" w:themeTint="80"/>
    </w:rPr>
  </w:style>
  <w:style w:type="paragraph" w:styleId="Heading6">
    <w:name w:val="heading 6"/>
    <w:basedOn w:val="Normal"/>
    <w:next w:val="Normal"/>
    <w:link w:val="Heading6Char"/>
    <w:uiPriority w:val="99"/>
    <w:semiHidden/>
    <w:unhideWhenUsed/>
    <w:qFormat/>
    <w:rsid w:val="00D56A6C"/>
    <w:pPr>
      <w:spacing w:line="271" w:lineRule="auto"/>
      <w:outlineLvl w:val="5"/>
    </w:pPr>
    <w:rPr>
      <w:rFonts w:asciiTheme="majorHAnsi" w:eastAsiaTheme="majorEastAsia" w:hAnsiTheme="majorHAnsi" w:cstheme="majorBidi"/>
      <w:b/>
      <w:bCs/>
      <w:i/>
      <w:iCs/>
      <w:color w:val="A79C7E" w:themeColor="text1" w:themeTint="80"/>
    </w:rPr>
  </w:style>
  <w:style w:type="paragraph" w:styleId="Heading7">
    <w:name w:val="heading 7"/>
    <w:basedOn w:val="Normal"/>
    <w:next w:val="Normal"/>
    <w:link w:val="Heading7Char"/>
    <w:uiPriority w:val="99"/>
    <w:semiHidden/>
    <w:unhideWhenUsed/>
    <w:qFormat/>
    <w:rsid w:val="00D56A6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unhideWhenUsed/>
    <w:qFormat/>
    <w:rsid w:val="00D56A6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unhideWhenUsed/>
    <w:qFormat/>
    <w:rsid w:val="00D56A6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CI 1.  Heading Char"/>
    <w:basedOn w:val="DefaultParagraphFont"/>
    <w:link w:val="Heading1"/>
    <w:uiPriority w:val="99"/>
    <w:rsid w:val="00D56A6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D56A6C"/>
    <w:rPr>
      <w:rFonts w:asciiTheme="majorHAnsi" w:eastAsiaTheme="majorEastAsia" w:hAnsiTheme="majorHAnsi" w:cstheme="majorBidi"/>
      <w:b/>
      <w:bCs/>
      <w:sz w:val="26"/>
      <w:szCs w:val="26"/>
    </w:rPr>
  </w:style>
  <w:style w:type="paragraph" w:styleId="FootnoteText">
    <w:name w:val="footnote text"/>
    <w:aliases w:val="ft,single space,footnote text,fn,ALTS FOOTNOTE,FOOTNOTES,Footnote Text Char2 Char,Footnote Text Char1 Char Char,Footnote Text Char2 Char Char Char,Footnote Text Char1 Char Char Char Char,Footnote Text Char2 Char Char Char Char Char,f"/>
    <w:basedOn w:val="Normal"/>
    <w:link w:val="FootnoteTextChar"/>
    <w:rsid w:val="001B001A"/>
    <w:pPr>
      <w:spacing w:before="100" w:beforeAutospacing="1" w:after="100" w:afterAutospacing="1"/>
    </w:pPr>
    <w:rPr>
      <w:rFonts w:eastAsia="Arial Unicode MS" w:cs="Arial Unicode MS"/>
      <w:color w:val="000000"/>
      <w:sz w:val="20"/>
    </w:rPr>
  </w:style>
  <w:style w:type="character" w:customStyle="1" w:styleId="FootnoteTextChar">
    <w:name w:val="Footnote Text Char"/>
    <w:aliases w:val="ft Char,single space Char,footnote text Char,fn Char,ALTS FOOTNOTE Char,FOOTNOTES Char,Footnote Text Char2 Char Char,Footnote Text Char1 Char Char Char,Footnote Text Char2 Char Char Char Char,f Char"/>
    <w:basedOn w:val="DefaultParagraphFont"/>
    <w:link w:val="FootnoteText"/>
    <w:uiPriority w:val="99"/>
    <w:rsid w:val="001B001A"/>
    <w:rPr>
      <w:rFonts w:ascii="Times New Roman" w:eastAsia="Arial Unicode MS" w:hAnsi="Times New Roman" w:cs="Arial Unicode MS"/>
      <w:color w:val="000000"/>
      <w:sz w:val="20"/>
      <w:szCs w:val="24"/>
    </w:rPr>
  </w:style>
  <w:style w:type="character" w:styleId="FootnoteReference">
    <w:name w:val="footnote reference"/>
    <w:aliases w:val="ftref,BVI fnr,Ref,de nota al pie,16 Point,Superscript 6 Point,Footnote"/>
    <w:basedOn w:val="DefaultParagraphFont"/>
    <w:rsid w:val="001B001A"/>
    <w:rPr>
      <w:vertAlign w:val="superscript"/>
    </w:rPr>
  </w:style>
  <w:style w:type="paragraph" w:styleId="ListParagraph">
    <w:name w:val="List Paragraph"/>
    <w:aliases w:val="Bullets,References,List Paragraph (numbered (a)),Liste 1,List Paragraph nowy,Numbered List Paragraph,Medium Grid 1 - Accent 21,ReferencesCxSpLast,Paragraphe  revu,Normal 2,Colorful List - Accent 12,Main numbered paragraph,List Paragraph1"/>
    <w:basedOn w:val="Normal"/>
    <w:link w:val="ListParagraphChar"/>
    <w:uiPriority w:val="34"/>
    <w:qFormat/>
    <w:rsid w:val="00D56A6C"/>
    <w:pPr>
      <w:ind w:left="720"/>
      <w:contextualSpacing/>
    </w:pPr>
  </w:style>
  <w:style w:type="character" w:customStyle="1" w:styleId="CaptionChar">
    <w:name w:val="Caption Char"/>
    <w:aliases w:val="CaptionBox Char,Figura Char,Caption Char2 Char,Caption Char1 Char Char,Caption Char Char Char1 Char,Caption Char Char1 Char,Caption Char Char Char Char Char,Caption Char Char Char Char1,Caption1 Char Char,Caption1 Char1,Table title Char"/>
    <w:link w:val="Caption"/>
    <w:uiPriority w:val="99"/>
    <w:locked/>
    <w:rsid w:val="001B001A"/>
    <w:rPr>
      <w:b/>
      <w:bCs/>
      <w:caps/>
      <w:sz w:val="16"/>
      <w:szCs w:val="18"/>
    </w:rPr>
  </w:style>
  <w:style w:type="paragraph" w:styleId="Caption">
    <w:name w:val="caption"/>
    <w:aliases w:val="CaptionBox,Figura,Caption Char2,Caption Char1 Char,Caption Char Char Char1,Caption Char Char1,Caption Char Char Char Char,Caption Char Char Char,Caption1 Char,Caption1,Table title,Figure Head,Table,LVT Table Heading,WB Caption,chart title"/>
    <w:basedOn w:val="Normal"/>
    <w:next w:val="Normal"/>
    <w:link w:val="CaptionChar"/>
    <w:uiPriority w:val="99"/>
    <w:unhideWhenUsed/>
    <w:qFormat/>
    <w:rsid w:val="00D56A6C"/>
    <w:rPr>
      <w:b/>
      <w:bCs/>
      <w:caps/>
      <w:sz w:val="16"/>
      <w:szCs w:val="18"/>
    </w:rPr>
  </w:style>
  <w:style w:type="character" w:customStyle="1" w:styleId="ListParagraphChar">
    <w:name w:val="List Paragraph Char"/>
    <w:aliases w:val="Bullets Char,References Char,List Paragraph (numbered (a)) Char,Liste 1 Char,List Paragraph nowy Char,Numbered List Paragraph Char,Medium Grid 1 - Accent 21 Char,ReferencesCxSpLast Char,Paragraphe  revu Char,Normal 2 Char"/>
    <w:basedOn w:val="DefaultParagraphFont"/>
    <w:link w:val="ListParagraph"/>
    <w:uiPriority w:val="34"/>
    <w:qFormat/>
    <w:locked/>
    <w:rsid w:val="001B001A"/>
  </w:style>
  <w:style w:type="paragraph" w:styleId="CommentText">
    <w:name w:val="annotation text"/>
    <w:basedOn w:val="Normal"/>
    <w:link w:val="CommentTextChar"/>
    <w:uiPriority w:val="99"/>
    <w:semiHidden/>
    <w:unhideWhenUsed/>
    <w:rsid w:val="001B001A"/>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1B001A"/>
    <w:rPr>
      <w:sz w:val="20"/>
      <w:szCs w:val="20"/>
    </w:rPr>
  </w:style>
  <w:style w:type="character" w:styleId="CommentReference">
    <w:name w:val="annotation reference"/>
    <w:basedOn w:val="DefaultParagraphFont"/>
    <w:semiHidden/>
    <w:unhideWhenUsed/>
    <w:rsid w:val="001B001A"/>
    <w:rPr>
      <w:sz w:val="16"/>
      <w:szCs w:val="16"/>
    </w:rPr>
  </w:style>
  <w:style w:type="paragraph" w:customStyle="1" w:styleId="Source">
    <w:name w:val="Source"/>
    <w:basedOn w:val="Normal"/>
    <w:uiPriority w:val="99"/>
    <w:qFormat/>
    <w:rsid w:val="001B001A"/>
    <w:pPr>
      <w:numPr>
        <w:numId w:val="1"/>
      </w:numPr>
      <w:spacing w:after="80"/>
      <w:jc w:val="both"/>
    </w:pPr>
    <w:rPr>
      <w:rFonts w:eastAsiaTheme="minorHAnsi"/>
    </w:rPr>
  </w:style>
  <w:style w:type="character" w:styleId="Strong">
    <w:name w:val="Strong"/>
    <w:uiPriority w:val="22"/>
    <w:qFormat/>
    <w:rsid w:val="00D56A6C"/>
    <w:rPr>
      <w:b/>
      <w:bCs/>
    </w:rPr>
  </w:style>
  <w:style w:type="paragraph" w:styleId="BalloonText">
    <w:name w:val="Balloon Text"/>
    <w:basedOn w:val="Normal"/>
    <w:link w:val="BalloonTextChar"/>
    <w:uiPriority w:val="99"/>
    <w:semiHidden/>
    <w:unhideWhenUsed/>
    <w:rsid w:val="001B001A"/>
    <w:rPr>
      <w:rFonts w:ascii="Tahoma" w:hAnsi="Tahoma" w:cs="Tahoma"/>
      <w:sz w:val="16"/>
      <w:szCs w:val="16"/>
    </w:rPr>
  </w:style>
  <w:style w:type="character" w:customStyle="1" w:styleId="BalloonTextChar">
    <w:name w:val="Balloon Text Char"/>
    <w:basedOn w:val="DefaultParagraphFont"/>
    <w:link w:val="BalloonText"/>
    <w:uiPriority w:val="99"/>
    <w:semiHidden/>
    <w:rsid w:val="001B001A"/>
    <w:rPr>
      <w:rFonts w:ascii="Tahoma" w:eastAsia="Times New Roman" w:hAnsi="Tahoma" w:cs="Tahoma"/>
      <w:sz w:val="16"/>
      <w:szCs w:val="16"/>
    </w:rPr>
  </w:style>
  <w:style w:type="table" w:styleId="TableGrid">
    <w:name w:val="Table Grid"/>
    <w:aliases w:val="Table long document,mtbs,CV1,CV table,EY Table,none"/>
    <w:basedOn w:val="TableNormal"/>
    <w:uiPriority w:val="59"/>
    <w:rsid w:val="001B0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01A"/>
    <w:rPr>
      <w:color w:val="0000FF"/>
      <w:u w:val="single"/>
    </w:rPr>
  </w:style>
  <w:style w:type="paragraph" w:styleId="TOCHeading">
    <w:name w:val="TOC Heading"/>
    <w:basedOn w:val="Heading1"/>
    <w:next w:val="Normal"/>
    <w:uiPriority w:val="39"/>
    <w:unhideWhenUsed/>
    <w:qFormat/>
    <w:rsid w:val="00D56A6C"/>
    <w:pPr>
      <w:outlineLvl w:val="9"/>
    </w:pPr>
    <w:rPr>
      <w:lang w:bidi="en-US"/>
    </w:rPr>
  </w:style>
  <w:style w:type="paragraph" w:styleId="TOC2">
    <w:name w:val="toc 2"/>
    <w:basedOn w:val="Normal"/>
    <w:next w:val="Normal"/>
    <w:autoRedefine/>
    <w:uiPriority w:val="39"/>
    <w:unhideWhenUsed/>
    <w:qFormat/>
    <w:rsid w:val="00A2788E"/>
    <w:pPr>
      <w:tabs>
        <w:tab w:val="left" w:pos="880"/>
        <w:tab w:val="right" w:leader="dot" w:pos="9350"/>
      </w:tabs>
      <w:ind w:left="245"/>
      <w:contextualSpacing/>
    </w:pPr>
    <w:rPr>
      <w:sz w:val="21"/>
    </w:rPr>
  </w:style>
  <w:style w:type="paragraph" w:styleId="TOC1">
    <w:name w:val="toc 1"/>
    <w:basedOn w:val="Normal"/>
    <w:next w:val="Normal"/>
    <w:autoRedefine/>
    <w:uiPriority w:val="39"/>
    <w:unhideWhenUsed/>
    <w:qFormat/>
    <w:rsid w:val="00434A65"/>
    <w:pPr>
      <w:tabs>
        <w:tab w:val="right" w:leader="dot" w:pos="9350"/>
      </w:tabs>
      <w:contextualSpacing/>
    </w:pPr>
    <w:rPr>
      <w:rFonts w:ascii="Times New Roman" w:hAnsi="Times New Roman"/>
      <w:sz w:val="21"/>
    </w:rPr>
  </w:style>
  <w:style w:type="paragraph" w:styleId="TableofFigures">
    <w:name w:val="table of figures"/>
    <w:basedOn w:val="Normal"/>
    <w:next w:val="Normal"/>
    <w:link w:val="TableofFiguresChar"/>
    <w:uiPriority w:val="99"/>
    <w:unhideWhenUsed/>
    <w:rsid w:val="00AF6F74"/>
    <w:rPr>
      <w:rFonts w:ascii="Times New Roman" w:hAnsi="Times New Roman"/>
      <w:sz w:val="21"/>
    </w:rPr>
  </w:style>
  <w:style w:type="character" w:customStyle="1" w:styleId="Heading3Char">
    <w:name w:val="Heading 3 Char"/>
    <w:basedOn w:val="DefaultParagraphFont"/>
    <w:link w:val="Heading3"/>
    <w:uiPriority w:val="99"/>
    <w:rsid w:val="00D56A6C"/>
    <w:rPr>
      <w:rFonts w:asciiTheme="majorHAnsi" w:eastAsiaTheme="majorEastAsia" w:hAnsiTheme="majorHAnsi" w:cstheme="majorBidi"/>
      <w:b/>
      <w:bCs/>
    </w:rPr>
  </w:style>
  <w:style w:type="character" w:customStyle="1" w:styleId="Heading4Char">
    <w:name w:val="Heading 4 Char"/>
    <w:basedOn w:val="DefaultParagraphFont"/>
    <w:link w:val="Heading4"/>
    <w:uiPriority w:val="99"/>
    <w:semiHidden/>
    <w:rsid w:val="00D56A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semiHidden/>
    <w:rsid w:val="00D56A6C"/>
    <w:rPr>
      <w:rFonts w:asciiTheme="majorHAnsi" w:eastAsiaTheme="majorEastAsia" w:hAnsiTheme="majorHAnsi" w:cstheme="majorBidi"/>
      <w:b/>
      <w:bCs/>
      <w:color w:val="A79C7E" w:themeColor="text1" w:themeTint="80"/>
    </w:rPr>
  </w:style>
  <w:style w:type="character" w:customStyle="1" w:styleId="Heading6Char">
    <w:name w:val="Heading 6 Char"/>
    <w:basedOn w:val="DefaultParagraphFont"/>
    <w:link w:val="Heading6"/>
    <w:uiPriority w:val="99"/>
    <w:semiHidden/>
    <w:rsid w:val="00D56A6C"/>
    <w:rPr>
      <w:rFonts w:asciiTheme="majorHAnsi" w:eastAsiaTheme="majorEastAsia" w:hAnsiTheme="majorHAnsi" w:cstheme="majorBidi"/>
      <w:b/>
      <w:bCs/>
      <w:i/>
      <w:iCs/>
      <w:color w:val="A79C7E" w:themeColor="text1" w:themeTint="80"/>
    </w:rPr>
  </w:style>
  <w:style w:type="character" w:customStyle="1" w:styleId="Heading7Char">
    <w:name w:val="Heading 7 Char"/>
    <w:basedOn w:val="DefaultParagraphFont"/>
    <w:link w:val="Heading7"/>
    <w:uiPriority w:val="99"/>
    <w:semiHidden/>
    <w:rsid w:val="00D56A6C"/>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D56A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9"/>
    <w:semiHidden/>
    <w:rsid w:val="00D56A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D56A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D56A6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6A6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56A6C"/>
    <w:rPr>
      <w:rFonts w:asciiTheme="majorHAnsi" w:eastAsiaTheme="majorEastAsia" w:hAnsiTheme="majorHAnsi" w:cstheme="majorBidi"/>
      <w:i/>
      <w:iCs/>
      <w:spacing w:val="13"/>
      <w:sz w:val="24"/>
      <w:szCs w:val="24"/>
    </w:rPr>
  </w:style>
  <w:style w:type="character" w:styleId="Emphasis">
    <w:name w:val="Emphasis"/>
    <w:uiPriority w:val="20"/>
    <w:qFormat/>
    <w:rsid w:val="00D56A6C"/>
    <w:rPr>
      <w:b/>
      <w:bCs/>
      <w:i/>
      <w:iCs/>
      <w:spacing w:val="10"/>
      <w:bdr w:val="none" w:sz="0" w:space="0" w:color="auto"/>
      <w:shd w:val="clear" w:color="auto" w:fill="auto"/>
    </w:rPr>
  </w:style>
  <w:style w:type="paragraph" w:styleId="NoSpacing">
    <w:name w:val="No Spacing"/>
    <w:basedOn w:val="Normal"/>
    <w:link w:val="NoSpacingChar"/>
    <w:uiPriority w:val="1"/>
    <w:qFormat/>
    <w:rsid w:val="00D56A6C"/>
  </w:style>
  <w:style w:type="paragraph" w:styleId="Quote">
    <w:name w:val="Quote"/>
    <w:basedOn w:val="Normal"/>
    <w:next w:val="Normal"/>
    <w:link w:val="QuoteChar"/>
    <w:uiPriority w:val="29"/>
    <w:qFormat/>
    <w:rsid w:val="00D56A6C"/>
    <w:pPr>
      <w:spacing w:before="200"/>
      <w:ind w:left="360" w:right="360"/>
    </w:pPr>
    <w:rPr>
      <w:i/>
      <w:iCs/>
    </w:rPr>
  </w:style>
  <w:style w:type="character" w:customStyle="1" w:styleId="QuoteChar">
    <w:name w:val="Quote Char"/>
    <w:basedOn w:val="DefaultParagraphFont"/>
    <w:link w:val="Quote"/>
    <w:uiPriority w:val="29"/>
    <w:rsid w:val="00D56A6C"/>
    <w:rPr>
      <w:i/>
      <w:iCs/>
    </w:rPr>
  </w:style>
  <w:style w:type="paragraph" w:styleId="IntenseQuote">
    <w:name w:val="Intense Quote"/>
    <w:basedOn w:val="Normal"/>
    <w:next w:val="Normal"/>
    <w:link w:val="IntenseQuoteChar"/>
    <w:uiPriority w:val="30"/>
    <w:qFormat/>
    <w:rsid w:val="00D56A6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6A6C"/>
    <w:rPr>
      <w:b/>
      <w:bCs/>
      <w:i/>
      <w:iCs/>
    </w:rPr>
  </w:style>
  <w:style w:type="character" w:styleId="SubtleEmphasis">
    <w:name w:val="Subtle Emphasis"/>
    <w:uiPriority w:val="19"/>
    <w:qFormat/>
    <w:rsid w:val="00D56A6C"/>
    <w:rPr>
      <w:i/>
      <w:iCs/>
    </w:rPr>
  </w:style>
  <w:style w:type="character" w:styleId="IntenseEmphasis">
    <w:name w:val="Intense Emphasis"/>
    <w:uiPriority w:val="21"/>
    <w:qFormat/>
    <w:rsid w:val="00D56A6C"/>
    <w:rPr>
      <w:b/>
      <w:bCs/>
    </w:rPr>
  </w:style>
  <w:style w:type="character" w:styleId="SubtleReference">
    <w:name w:val="Subtle Reference"/>
    <w:uiPriority w:val="31"/>
    <w:qFormat/>
    <w:rsid w:val="00D56A6C"/>
    <w:rPr>
      <w:smallCaps/>
    </w:rPr>
  </w:style>
  <w:style w:type="character" w:styleId="IntenseReference">
    <w:name w:val="Intense Reference"/>
    <w:uiPriority w:val="32"/>
    <w:qFormat/>
    <w:rsid w:val="00D56A6C"/>
    <w:rPr>
      <w:smallCaps/>
      <w:spacing w:val="5"/>
      <w:u w:val="single"/>
    </w:rPr>
  </w:style>
  <w:style w:type="character" w:styleId="BookTitle">
    <w:name w:val="Book Title"/>
    <w:uiPriority w:val="33"/>
    <w:qFormat/>
    <w:rsid w:val="00D56A6C"/>
    <w:rPr>
      <w:i/>
      <w:iCs/>
      <w:smallCaps/>
      <w:spacing w:val="5"/>
    </w:rPr>
  </w:style>
  <w:style w:type="paragraph" w:customStyle="1" w:styleId="Default">
    <w:name w:val="Default"/>
    <w:rsid w:val="00155E1C"/>
    <w:pPr>
      <w:autoSpaceDE w:val="0"/>
      <w:autoSpaceDN w:val="0"/>
      <w:adjustRightInd w:val="0"/>
    </w:pPr>
    <w:rPr>
      <w:rFonts w:ascii="Times New Roman" w:hAnsi="Times New Roman" w:cs="Times New Roman"/>
      <w:color w:val="000000"/>
      <w:sz w:val="24"/>
      <w:szCs w:val="24"/>
    </w:rPr>
  </w:style>
  <w:style w:type="paragraph" w:customStyle="1" w:styleId="ParagraphNumbering">
    <w:name w:val="Paragraph Numbering"/>
    <w:basedOn w:val="Normal"/>
    <w:link w:val="ParagraphNumberingChar"/>
    <w:rsid w:val="009D6839"/>
    <w:pPr>
      <w:numPr>
        <w:numId w:val="6"/>
      </w:numPr>
      <w:spacing w:after="240" w:line="264" w:lineRule="auto"/>
    </w:pPr>
    <w:rPr>
      <w:rFonts w:ascii="Times New Roman" w:eastAsia="Times New Roman" w:hAnsi="Times New Roman" w:cs="Times New Roman"/>
      <w:sz w:val="23"/>
      <w:szCs w:val="24"/>
    </w:rPr>
  </w:style>
  <w:style w:type="character" w:customStyle="1" w:styleId="ParagraphNumberingChar">
    <w:name w:val="Paragraph Numbering Char"/>
    <w:basedOn w:val="DefaultParagraphFont"/>
    <w:link w:val="ParagraphNumbering"/>
    <w:rsid w:val="009D6839"/>
    <w:rPr>
      <w:rFonts w:ascii="Times New Roman" w:eastAsia="Times New Roman" w:hAnsi="Times New Roman" w:cs="Times New Roman"/>
      <w:sz w:val="23"/>
      <w:szCs w:val="24"/>
    </w:rPr>
  </w:style>
  <w:style w:type="character" w:customStyle="1" w:styleId="NoSpacingChar">
    <w:name w:val="No Spacing Char"/>
    <w:basedOn w:val="DefaultParagraphFont"/>
    <w:link w:val="NoSpacing"/>
    <w:uiPriority w:val="1"/>
    <w:rsid w:val="00D56A6C"/>
  </w:style>
  <w:style w:type="paragraph" w:styleId="CommentSubject">
    <w:name w:val="annotation subject"/>
    <w:basedOn w:val="CommentText"/>
    <w:next w:val="CommentText"/>
    <w:link w:val="CommentSubjectChar"/>
    <w:uiPriority w:val="99"/>
    <w:semiHidden/>
    <w:unhideWhenUsed/>
    <w:rsid w:val="00BB7B1C"/>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BB7B1C"/>
    <w:rPr>
      <w:b/>
      <w:bCs/>
      <w:sz w:val="20"/>
      <w:szCs w:val="20"/>
    </w:rPr>
  </w:style>
  <w:style w:type="paragraph" w:customStyle="1" w:styleId="CPSFigureTableHeading">
    <w:name w:val="CPS Figure Table Heading"/>
    <w:basedOn w:val="Normal"/>
    <w:qFormat/>
    <w:rsid w:val="00EC7178"/>
    <w:pPr>
      <w:spacing w:after="120"/>
      <w:jc w:val="center"/>
    </w:pPr>
    <w:rPr>
      <w:rFonts w:ascii="Times New Roman" w:eastAsiaTheme="minorHAnsi" w:hAnsi="Times New Roman" w:cs="Times New Roman"/>
      <w:b/>
      <w:sz w:val="20"/>
      <w:szCs w:val="20"/>
    </w:rPr>
  </w:style>
  <w:style w:type="paragraph" w:styleId="Revision">
    <w:name w:val="Revision"/>
    <w:hidden/>
    <w:uiPriority w:val="99"/>
    <w:semiHidden/>
    <w:rsid w:val="00EC7178"/>
  </w:style>
  <w:style w:type="paragraph" w:styleId="NormalWeb">
    <w:name w:val="Normal (Web)"/>
    <w:basedOn w:val="Normal"/>
    <w:uiPriority w:val="99"/>
    <w:unhideWhenUsed/>
    <w:rsid w:val="00917AC1"/>
    <w:pPr>
      <w:spacing w:before="100" w:beforeAutospacing="1" w:after="100" w:afterAutospacing="1"/>
    </w:pPr>
    <w:rPr>
      <w:rFonts w:ascii="Times New Roman" w:eastAsia="Times New Roman" w:hAnsi="Times New Roman" w:cs="Times New Roman"/>
      <w:sz w:val="24"/>
      <w:szCs w:val="24"/>
    </w:rPr>
  </w:style>
  <w:style w:type="paragraph" w:customStyle="1" w:styleId="CPSText">
    <w:name w:val="CPS Text"/>
    <w:basedOn w:val="ListParagraph"/>
    <w:link w:val="CPSTextChar"/>
    <w:qFormat/>
    <w:rsid w:val="00917AC1"/>
    <w:pPr>
      <w:numPr>
        <w:numId w:val="8"/>
      </w:numPr>
      <w:spacing w:after="240"/>
      <w:ind w:left="0" w:firstLine="0"/>
      <w:contextualSpacing w:val="0"/>
      <w:jc w:val="both"/>
    </w:pPr>
    <w:rPr>
      <w:rFonts w:ascii="Times New Roman" w:eastAsiaTheme="minorHAnsi" w:hAnsi="Times New Roman" w:cs="Times New Roman"/>
    </w:rPr>
  </w:style>
  <w:style w:type="character" w:customStyle="1" w:styleId="CPSTextChar">
    <w:name w:val="CPS Text Char"/>
    <w:basedOn w:val="DefaultParagraphFont"/>
    <w:link w:val="CPSText"/>
    <w:rsid w:val="00917AC1"/>
    <w:rPr>
      <w:rFonts w:ascii="Times New Roman" w:eastAsiaTheme="minorHAnsi" w:hAnsi="Times New Roman" w:cs="Times New Roman"/>
    </w:rPr>
  </w:style>
  <w:style w:type="paragraph" w:styleId="Header">
    <w:name w:val="header"/>
    <w:basedOn w:val="Normal"/>
    <w:link w:val="HeaderChar"/>
    <w:uiPriority w:val="99"/>
    <w:unhideWhenUsed/>
    <w:rsid w:val="00A37E3F"/>
    <w:pPr>
      <w:tabs>
        <w:tab w:val="center" w:pos="4680"/>
        <w:tab w:val="right" w:pos="9360"/>
      </w:tabs>
    </w:pPr>
  </w:style>
  <w:style w:type="character" w:customStyle="1" w:styleId="HeaderChar">
    <w:name w:val="Header Char"/>
    <w:basedOn w:val="DefaultParagraphFont"/>
    <w:link w:val="Header"/>
    <w:uiPriority w:val="99"/>
    <w:rsid w:val="00A37E3F"/>
  </w:style>
  <w:style w:type="paragraph" w:styleId="Footer">
    <w:name w:val="footer"/>
    <w:basedOn w:val="Normal"/>
    <w:link w:val="FooterChar"/>
    <w:uiPriority w:val="99"/>
    <w:unhideWhenUsed/>
    <w:rsid w:val="00A37E3F"/>
    <w:pPr>
      <w:tabs>
        <w:tab w:val="center" w:pos="4680"/>
        <w:tab w:val="right" w:pos="9360"/>
      </w:tabs>
    </w:pPr>
  </w:style>
  <w:style w:type="character" w:customStyle="1" w:styleId="FooterChar">
    <w:name w:val="Footer Char"/>
    <w:basedOn w:val="DefaultParagraphFont"/>
    <w:link w:val="Footer"/>
    <w:uiPriority w:val="99"/>
    <w:rsid w:val="00A37E3F"/>
  </w:style>
  <w:style w:type="paragraph" w:customStyle="1" w:styleId="Normal141">
    <w:name w:val="Normal_14_1"/>
    <w:qFormat/>
    <w:rsid w:val="007010C8"/>
    <w:pPr>
      <w:spacing w:after="160" w:line="256" w:lineRule="auto"/>
    </w:pPr>
    <w:rPr>
      <w:rFonts w:eastAsiaTheme="minorHAnsi"/>
    </w:rPr>
  </w:style>
  <w:style w:type="paragraph" w:customStyle="1" w:styleId="Bodytext">
    <w:name w:val="Bodytext"/>
    <w:basedOn w:val="Normal"/>
    <w:rsid w:val="00783D34"/>
    <w:pPr>
      <w:spacing w:after="120" w:line="256" w:lineRule="auto"/>
      <w:jc w:val="both"/>
    </w:pPr>
    <w:rPr>
      <w:rFonts w:asciiTheme="majorHAnsi" w:eastAsiaTheme="minorHAnsi" w:hAnsiTheme="majorHAnsi"/>
    </w:rPr>
  </w:style>
  <w:style w:type="character" w:customStyle="1" w:styleId="tgc">
    <w:name w:val="_tgc"/>
    <w:basedOn w:val="DefaultParagraphFont"/>
    <w:rsid w:val="006F6190"/>
  </w:style>
  <w:style w:type="paragraph" w:styleId="TOC3">
    <w:name w:val="toc 3"/>
    <w:basedOn w:val="Normal"/>
    <w:next w:val="Normal"/>
    <w:autoRedefine/>
    <w:uiPriority w:val="39"/>
    <w:unhideWhenUsed/>
    <w:rsid w:val="00A2788E"/>
    <w:pPr>
      <w:ind w:left="446"/>
    </w:pPr>
    <w:rPr>
      <w:sz w:val="21"/>
    </w:rPr>
  </w:style>
  <w:style w:type="character" w:styleId="PageNumber">
    <w:name w:val="page number"/>
    <w:basedOn w:val="DefaultParagraphFont"/>
    <w:uiPriority w:val="99"/>
    <w:rsid w:val="003B6540"/>
  </w:style>
  <w:style w:type="character" w:customStyle="1" w:styleId="Heading2AnnexesChar">
    <w:name w:val="Heading 2 Annexes Char"/>
    <w:basedOn w:val="DefaultParagraphFont"/>
    <w:link w:val="Heading2Annexes"/>
    <w:locked/>
    <w:rsid w:val="004B387B"/>
    <w:rPr>
      <w:rFonts w:ascii="Times New Roman" w:eastAsia="Times New Roman" w:hAnsi="Times New Roman" w:cs="Arial"/>
      <w:b/>
      <w:bCs/>
      <w:iCs/>
      <w:smallCaps/>
      <w:sz w:val="24"/>
      <w:szCs w:val="28"/>
    </w:rPr>
  </w:style>
  <w:style w:type="paragraph" w:customStyle="1" w:styleId="Heading2Annexes">
    <w:name w:val="Heading 2 Annexes"/>
    <w:basedOn w:val="Heading2"/>
    <w:link w:val="Heading2AnnexesChar"/>
    <w:rsid w:val="004B387B"/>
    <w:pPr>
      <w:keepNext/>
      <w:keepLines/>
      <w:spacing w:before="120" w:after="240"/>
      <w:jc w:val="center"/>
    </w:pPr>
    <w:rPr>
      <w:rFonts w:ascii="Times New Roman" w:eastAsia="Times New Roman" w:hAnsi="Times New Roman" w:cs="Arial"/>
      <w:iCs/>
      <w:smallCaps/>
      <w:sz w:val="24"/>
      <w:szCs w:val="28"/>
    </w:rPr>
  </w:style>
  <w:style w:type="table" w:customStyle="1" w:styleId="TableGrid4">
    <w:name w:val="Table Grid4"/>
    <w:basedOn w:val="TableNormal"/>
    <w:uiPriority w:val="59"/>
    <w:rsid w:val="004B387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614E"/>
    <w:rPr>
      <w:rFonts w:ascii="Times New Roman" w:hAnsi="Times New Roman" w:cs="Times New Roman" w:hint="default"/>
      <w:color w:val="800080"/>
      <w:u w:val="single"/>
    </w:rPr>
  </w:style>
  <w:style w:type="character" w:customStyle="1" w:styleId="Heading1Char1">
    <w:name w:val="Heading 1 Char1"/>
    <w:aliases w:val="TCI 1.  Heading Char1"/>
    <w:basedOn w:val="DefaultParagraphFont"/>
    <w:uiPriority w:val="99"/>
    <w:rsid w:val="0025614E"/>
    <w:rPr>
      <w:rFonts w:asciiTheme="majorHAnsi" w:eastAsiaTheme="majorEastAsia" w:hAnsiTheme="majorHAnsi" w:cstheme="majorBidi"/>
      <w:color w:val="848057" w:themeColor="accent1" w:themeShade="BF"/>
      <w:sz w:val="32"/>
      <w:szCs w:val="32"/>
    </w:rPr>
  </w:style>
  <w:style w:type="paragraph" w:customStyle="1" w:styleId="BankNormal">
    <w:name w:val="BankNormal"/>
    <w:basedOn w:val="Normal"/>
    <w:link w:val="BankNormalChar"/>
    <w:uiPriority w:val="99"/>
    <w:semiHidden/>
    <w:rsid w:val="0025614E"/>
    <w:pPr>
      <w:spacing w:after="240"/>
      <w:jc w:val="both"/>
    </w:pPr>
    <w:rPr>
      <w:rFonts w:ascii="Times New Roman" w:eastAsia="Times New Roman" w:hAnsi="Times New Roman" w:cs="Times New Roman"/>
    </w:rPr>
  </w:style>
  <w:style w:type="paragraph" w:styleId="Index1">
    <w:name w:val="index 1"/>
    <w:basedOn w:val="Normal"/>
    <w:next w:val="Normal"/>
    <w:autoRedefine/>
    <w:uiPriority w:val="99"/>
    <w:semiHidden/>
    <w:unhideWhenUsed/>
    <w:rsid w:val="0025614E"/>
    <w:pPr>
      <w:ind w:left="240" w:hanging="240"/>
      <w:jc w:val="both"/>
    </w:pPr>
    <w:rPr>
      <w:rFonts w:ascii="Times New Roman" w:eastAsia="Times New Roman" w:hAnsi="Times New Roman" w:cs="Times New Roman"/>
      <w:szCs w:val="24"/>
    </w:rPr>
  </w:style>
  <w:style w:type="character" w:customStyle="1" w:styleId="FootnoteTextChar1">
    <w:name w:val="Footnote Text Char1"/>
    <w:aliases w:val="fn Char1,single space Char1,ft Char1,f Char1,ALTS FOOTNOTE Char1"/>
    <w:basedOn w:val="DefaultParagraphFont"/>
    <w:semiHidden/>
    <w:locked/>
    <w:rsid w:val="0025614E"/>
    <w:rPr>
      <w:sz w:val="20"/>
    </w:rPr>
  </w:style>
  <w:style w:type="paragraph" w:styleId="IndexHeading">
    <w:name w:val="index heading"/>
    <w:basedOn w:val="Normal"/>
    <w:next w:val="Index1"/>
    <w:uiPriority w:val="99"/>
    <w:semiHidden/>
    <w:unhideWhenUsed/>
    <w:rsid w:val="0025614E"/>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0"/>
    <w:locked/>
    <w:rsid w:val="0025614E"/>
    <w:rPr>
      <w:rFonts w:ascii="Times New Roman" w:eastAsia="Times New Roman" w:hAnsi="Times New Roman" w:cs="Times New Roman"/>
      <w:color w:val="000080"/>
    </w:rPr>
  </w:style>
  <w:style w:type="paragraph" w:styleId="BodyText0">
    <w:name w:val="Body Text"/>
    <w:aliases w:val="Char"/>
    <w:basedOn w:val="Normal"/>
    <w:link w:val="BodyTextChar"/>
    <w:unhideWhenUsed/>
    <w:rsid w:val="0025614E"/>
    <w:pPr>
      <w:autoSpaceDE w:val="0"/>
      <w:autoSpaceDN w:val="0"/>
      <w:adjustRightInd w:val="0"/>
      <w:spacing w:line="240" w:lineRule="atLeast"/>
      <w:jc w:val="both"/>
    </w:pPr>
    <w:rPr>
      <w:rFonts w:ascii="Times New Roman" w:eastAsia="Times New Roman" w:hAnsi="Times New Roman" w:cs="Times New Roman"/>
      <w:color w:val="000080"/>
    </w:rPr>
  </w:style>
  <w:style w:type="character" w:customStyle="1" w:styleId="BodyTextChar1">
    <w:name w:val="Body Text Char1"/>
    <w:aliases w:val="Char Char1"/>
    <w:basedOn w:val="DefaultParagraphFont"/>
    <w:semiHidden/>
    <w:rsid w:val="0025614E"/>
  </w:style>
  <w:style w:type="paragraph" w:styleId="BodyTextIndent">
    <w:name w:val="Body Text Indent"/>
    <w:basedOn w:val="Normal"/>
    <w:link w:val="BodyTextIndentChar"/>
    <w:uiPriority w:val="99"/>
    <w:semiHidden/>
    <w:unhideWhenUsed/>
    <w:rsid w:val="0025614E"/>
    <w:pPr>
      <w:spacing w:after="120"/>
      <w:ind w:left="36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semiHidden/>
    <w:rsid w:val="0025614E"/>
    <w:rPr>
      <w:rFonts w:ascii="Times New Roman" w:eastAsia="Times New Roman" w:hAnsi="Times New Roman" w:cs="Times New Roman"/>
      <w:szCs w:val="24"/>
    </w:rPr>
  </w:style>
  <w:style w:type="paragraph" w:styleId="BodyText2">
    <w:name w:val="Body Text 2"/>
    <w:basedOn w:val="Normal"/>
    <w:link w:val="BodyText2Char"/>
    <w:uiPriority w:val="99"/>
    <w:semiHidden/>
    <w:unhideWhenUsed/>
    <w:rsid w:val="0025614E"/>
    <w:pPr>
      <w:jc w:val="both"/>
    </w:pPr>
    <w:rPr>
      <w:rFonts w:ascii="Times New Roman" w:eastAsia="Times New Roman" w:hAnsi="Times New Roman" w:cs="Times New Roman"/>
      <w:b/>
      <w:bCs/>
      <w:szCs w:val="24"/>
    </w:rPr>
  </w:style>
  <w:style w:type="character" w:customStyle="1" w:styleId="BodyText2Char">
    <w:name w:val="Body Text 2 Char"/>
    <w:basedOn w:val="DefaultParagraphFont"/>
    <w:link w:val="BodyText2"/>
    <w:uiPriority w:val="99"/>
    <w:semiHidden/>
    <w:rsid w:val="0025614E"/>
    <w:rPr>
      <w:rFonts w:ascii="Times New Roman" w:eastAsia="Times New Roman" w:hAnsi="Times New Roman" w:cs="Times New Roman"/>
      <w:b/>
      <w:bCs/>
      <w:szCs w:val="24"/>
    </w:rPr>
  </w:style>
  <w:style w:type="paragraph" w:styleId="BodyText3">
    <w:name w:val="Body Text 3"/>
    <w:basedOn w:val="Normal"/>
    <w:link w:val="BodyText3Char"/>
    <w:uiPriority w:val="99"/>
    <w:semiHidden/>
    <w:unhideWhenUsed/>
    <w:rsid w:val="0025614E"/>
    <w:pPr>
      <w:spacing w:after="120"/>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5614E"/>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25614E"/>
    <w:pPr>
      <w:tabs>
        <w:tab w:val="left" w:pos="720"/>
        <w:tab w:val="left" w:pos="1440"/>
      </w:tabs>
      <w:autoSpaceDE w:val="0"/>
      <w:autoSpaceDN w:val="0"/>
      <w:adjustRightInd w:val="0"/>
      <w:ind w:left="1440" w:hanging="324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uiPriority w:val="99"/>
    <w:semiHidden/>
    <w:rsid w:val="0025614E"/>
    <w:rPr>
      <w:rFonts w:ascii="Times New Roman" w:eastAsia="Times New Roman" w:hAnsi="Times New Roman" w:cs="Times New Roman"/>
      <w:szCs w:val="24"/>
    </w:rPr>
  </w:style>
  <w:style w:type="paragraph" w:styleId="DocumentMap">
    <w:name w:val="Document Map"/>
    <w:basedOn w:val="Normal"/>
    <w:link w:val="DocumentMapChar"/>
    <w:uiPriority w:val="99"/>
    <w:semiHidden/>
    <w:unhideWhenUsed/>
    <w:rsid w:val="0025614E"/>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rsid w:val="0025614E"/>
    <w:rPr>
      <w:rFonts w:ascii="Tahoma" w:eastAsia="Times New Roman" w:hAnsi="Tahoma" w:cs="Tahoma"/>
      <w:sz w:val="24"/>
      <w:szCs w:val="24"/>
      <w:shd w:val="clear" w:color="auto" w:fill="000080"/>
    </w:rPr>
  </w:style>
  <w:style w:type="paragraph" w:styleId="PlainText">
    <w:name w:val="Plain Text"/>
    <w:basedOn w:val="Normal"/>
    <w:link w:val="PlainTextChar"/>
    <w:uiPriority w:val="99"/>
    <w:semiHidden/>
    <w:unhideWhenUsed/>
    <w:rsid w:val="0025614E"/>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25614E"/>
    <w:rPr>
      <w:rFonts w:ascii="Consolas" w:eastAsia="Calibri" w:hAnsi="Consolas" w:cs="Times New Roman"/>
      <w:sz w:val="21"/>
      <w:szCs w:val="21"/>
    </w:rPr>
  </w:style>
  <w:style w:type="paragraph" w:customStyle="1" w:styleId="Normalnumberedparagraph">
    <w:name w:val="Normal numbered paragraph"/>
    <w:basedOn w:val="Normal"/>
    <w:uiPriority w:val="99"/>
    <w:semiHidden/>
    <w:rsid w:val="0025614E"/>
    <w:pPr>
      <w:numPr>
        <w:numId w:val="19"/>
      </w:numPr>
      <w:spacing w:after="120"/>
      <w:jc w:val="both"/>
    </w:pPr>
    <w:rPr>
      <w:rFonts w:ascii="Cambria" w:eastAsia="Times New Roman" w:hAnsi="Cambria" w:cs="Times New Roman"/>
    </w:rPr>
  </w:style>
  <w:style w:type="paragraph" w:customStyle="1" w:styleId="Spacer">
    <w:name w:val="Spacer"/>
    <w:basedOn w:val="Normal"/>
    <w:uiPriority w:val="99"/>
    <w:semiHidden/>
    <w:rsid w:val="0025614E"/>
    <w:pPr>
      <w:ind w:left="360"/>
      <w:jc w:val="both"/>
    </w:pPr>
    <w:rPr>
      <w:rFonts w:ascii="Cambria" w:eastAsia="Times New Roman" w:hAnsi="Cambria" w:cs="Times New Roman"/>
      <w:sz w:val="16"/>
    </w:rPr>
  </w:style>
  <w:style w:type="character" w:customStyle="1" w:styleId="BoxTextChar">
    <w:name w:val="Box Text Char"/>
    <w:basedOn w:val="DefaultParagraphFont"/>
    <w:link w:val="BoxText"/>
    <w:uiPriority w:val="99"/>
    <w:semiHidden/>
    <w:locked/>
    <w:rsid w:val="0025614E"/>
    <w:rPr>
      <w:rFonts w:ascii="Cambria" w:eastAsia="Times New Roman" w:hAnsi="Cambria"/>
      <w:sz w:val="20"/>
      <w:szCs w:val="24"/>
    </w:rPr>
  </w:style>
  <w:style w:type="paragraph" w:customStyle="1" w:styleId="BoxText">
    <w:name w:val="Box Text"/>
    <w:basedOn w:val="Normal"/>
    <w:link w:val="BoxTextChar"/>
    <w:uiPriority w:val="99"/>
    <w:semiHidden/>
    <w:rsid w:val="0025614E"/>
    <w:pPr>
      <w:spacing w:after="120" w:line="230" w:lineRule="exact"/>
      <w:jc w:val="both"/>
    </w:pPr>
    <w:rPr>
      <w:rFonts w:ascii="Cambria" w:eastAsia="Times New Roman" w:hAnsi="Cambria"/>
      <w:sz w:val="20"/>
      <w:szCs w:val="24"/>
    </w:rPr>
  </w:style>
  <w:style w:type="paragraph" w:customStyle="1" w:styleId="Acronymslist">
    <w:name w:val="Acronyms list"/>
    <w:basedOn w:val="Normalnumberedparagraph"/>
    <w:uiPriority w:val="99"/>
    <w:semiHidden/>
    <w:rsid w:val="0025614E"/>
    <w:pPr>
      <w:numPr>
        <w:numId w:val="0"/>
      </w:numPr>
      <w:tabs>
        <w:tab w:val="left" w:pos="2160"/>
      </w:tabs>
      <w:spacing w:after="0"/>
    </w:pPr>
  </w:style>
  <w:style w:type="paragraph" w:customStyle="1" w:styleId="BoxBulllet">
    <w:name w:val="Box Bulllet"/>
    <w:basedOn w:val="Normal"/>
    <w:uiPriority w:val="99"/>
    <w:semiHidden/>
    <w:rsid w:val="0025614E"/>
    <w:pPr>
      <w:spacing w:after="60"/>
      <w:ind w:left="443" w:hanging="270"/>
      <w:jc w:val="both"/>
    </w:pPr>
    <w:rPr>
      <w:rFonts w:ascii="Cambria" w:eastAsia="Times New Roman" w:hAnsi="Cambria" w:cs="Times New Roman"/>
      <w:sz w:val="20"/>
    </w:rPr>
  </w:style>
  <w:style w:type="paragraph" w:customStyle="1" w:styleId="Tabletext">
    <w:name w:val="Table text"/>
    <w:basedOn w:val="Normal"/>
    <w:uiPriority w:val="99"/>
    <w:semiHidden/>
    <w:rsid w:val="0025614E"/>
    <w:pPr>
      <w:jc w:val="both"/>
    </w:pPr>
    <w:rPr>
      <w:rFonts w:ascii="Cambria" w:eastAsia="Times New Roman" w:hAnsi="Cambria" w:cs="Times New Roman"/>
      <w:sz w:val="20"/>
    </w:rPr>
  </w:style>
  <w:style w:type="paragraph" w:customStyle="1" w:styleId="TableHeader">
    <w:name w:val="Table Header"/>
    <w:basedOn w:val="Normal"/>
    <w:uiPriority w:val="99"/>
    <w:semiHidden/>
    <w:rsid w:val="0025614E"/>
    <w:pPr>
      <w:jc w:val="both"/>
    </w:pPr>
    <w:rPr>
      <w:rFonts w:ascii="Cambria" w:eastAsia="Times New Roman" w:hAnsi="Cambria" w:cs="Times New Roman"/>
      <w:b/>
      <w:bCs/>
      <w:color w:val="FFFFFF"/>
    </w:rPr>
  </w:style>
  <w:style w:type="paragraph" w:customStyle="1" w:styleId="PDSHeading1">
    <w:name w:val="PDSHeading1"/>
    <w:next w:val="Normal"/>
    <w:uiPriority w:val="99"/>
    <w:semiHidden/>
    <w:rsid w:val="0025614E"/>
    <w:rPr>
      <w:rFonts w:ascii="Times New Roman" w:eastAsia="Times New Roman" w:hAnsi="Times New Roman" w:cs="Times New Roman"/>
      <w:b/>
      <w:sz w:val="24"/>
      <w:szCs w:val="20"/>
    </w:rPr>
  </w:style>
  <w:style w:type="character" w:customStyle="1" w:styleId="BankNormalChar">
    <w:name w:val="BankNormal Char"/>
    <w:basedOn w:val="DefaultParagraphFont"/>
    <w:link w:val="BankNormal"/>
    <w:uiPriority w:val="99"/>
    <w:semiHidden/>
    <w:locked/>
    <w:rsid w:val="0025614E"/>
    <w:rPr>
      <w:rFonts w:ascii="Times New Roman" w:eastAsia="Times New Roman" w:hAnsi="Times New Roman" w:cs="Times New Roman"/>
    </w:rPr>
  </w:style>
  <w:style w:type="paragraph" w:customStyle="1" w:styleId="xl65">
    <w:name w:val="xl65"/>
    <w:basedOn w:val="Normal"/>
    <w:uiPriority w:val="99"/>
    <w:semiHidden/>
    <w:rsid w:val="0025614E"/>
    <w:pPr>
      <w:spacing w:before="100" w:beforeAutospacing="1" w:after="100" w:afterAutospacing="1"/>
      <w:jc w:val="right"/>
    </w:pPr>
    <w:rPr>
      <w:rFonts w:ascii="Arial Unicode MS" w:eastAsia="Calibri" w:hAnsi="Arial Unicode MS" w:cs="Arial Unicode MS"/>
      <w:szCs w:val="24"/>
    </w:rPr>
  </w:style>
  <w:style w:type="paragraph" w:customStyle="1" w:styleId="xl60">
    <w:name w:val="xl60"/>
    <w:basedOn w:val="Normal"/>
    <w:uiPriority w:val="99"/>
    <w:semiHidden/>
    <w:rsid w:val="0025614E"/>
    <w:pPr>
      <w:spacing w:before="100" w:beforeAutospacing="1" w:after="100" w:afterAutospacing="1"/>
      <w:jc w:val="both"/>
    </w:pPr>
    <w:rPr>
      <w:rFonts w:ascii="Arial" w:eastAsia="Calibri" w:hAnsi="Arial" w:cs="Arial"/>
      <w:b/>
      <w:bCs/>
      <w:szCs w:val="24"/>
    </w:rPr>
  </w:style>
  <w:style w:type="paragraph" w:customStyle="1" w:styleId="Heading1a">
    <w:name w:val="Heading 1a"/>
    <w:basedOn w:val="Normal"/>
    <w:next w:val="Normal"/>
    <w:uiPriority w:val="99"/>
    <w:semiHidden/>
    <w:rsid w:val="0025614E"/>
    <w:pPr>
      <w:keepNext/>
      <w:keepLines/>
      <w:widowControl w:val="0"/>
      <w:numPr>
        <w:numId w:val="21"/>
      </w:numPr>
      <w:adjustRightInd w:val="0"/>
      <w:spacing w:before="1440" w:after="240" w:line="360" w:lineRule="atLeast"/>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uiPriority w:val="99"/>
    <w:semiHidden/>
    <w:rsid w:val="0025614E"/>
    <w:pPr>
      <w:widowControl w:val="0"/>
      <w:numPr>
        <w:ilvl w:val="1"/>
        <w:numId w:val="21"/>
      </w:numPr>
      <w:adjustRightInd w:val="0"/>
      <w:spacing w:after="240" w:line="360" w:lineRule="atLeast"/>
      <w:jc w:val="both"/>
      <w:outlineLvl w:val="1"/>
    </w:pPr>
    <w:rPr>
      <w:rFonts w:ascii="Times New Roman" w:eastAsia="Times New Roman" w:hAnsi="Times New Roman" w:cs="Times New Roman"/>
      <w:szCs w:val="24"/>
    </w:rPr>
  </w:style>
  <w:style w:type="paragraph" w:customStyle="1" w:styleId="Sub-Para1underX">
    <w:name w:val="Sub-Para 1 under X."/>
    <w:basedOn w:val="Normal"/>
    <w:uiPriority w:val="99"/>
    <w:semiHidden/>
    <w:rsid w:val="0025614E"/>
    <w:pPr>
      <w:widowControl w:val="0"/>
      <w:numPr>
        <w:ilvl w:val="2"/>
        <w:numId w:val="21"/>
      </w:numPr>
      <w:adjustRightInd w:val="0"/>
      <w:spacing w:after="240" w:line="360" w:lineRule="atLeast"/>
      <w:jc w:val="both"/>
      <w:outlineLvl w:val="2"/>
    </w:pPr>
    <w:rPr>
      <w:rFonts w:ascii="Times New Roman" w:eastAsia="Times New Roman" w:hAnsi="Times New Roman" w:cs="Times New Roman"/>
      <w:szCs w:val="24"/>
    </w:rPr>
  </w:style>
  <w:style w:type="paragraph" w:customStyle="1" w:styleId="Sub-Para2underX">
    <w:name w:val="Sub-Para 2 under X."/>
    <w:basedOn w:val="Normal"/>
    <w:uiPriority w:val="99"/>
    <w:semiHidden/>
    <w:rsid w:val="0025614E"/>
    <w:pPr>
      <w:widowControl w:val="0"/>
      <w:numPr>
        <w:ilvl w:val="3"/>
        <w:numId w:val="21"/>
      </w:numPr>
      <w:adjustRightInd w:val="0"/>
      <w:spacing w:after="240" w:line="360" w:lineRule="atLeast"/>
      <w:jc w:val="both"/>
      <w:outlineLvl w:val="3"/>
    </w:pPr>
    <w:rPr>
      <w:rFonts w:ascii="Times New Roman" w:eastAsia="Times New Roman" w:hAnsi="Times New Roman" w:cs="Times New Roman"/>
      <w:szCs w:val="24"/>
    </w:rPr>
  </w:style>
  <w:style w:type="paragraph" w:customStyle="1" w:styleId="Sub-Para3underX">
    <w:name w:val="Sub-Para 3 under X."/>
    <w:basedOn w:val="Normal"/>
    <w:uiPriority w:val="99"/>
    <w:semiHidden/>
    <w:rsid w:val="0025614E"/>
    <w:pPr>
      <w:widowControl w:val="0"/>
      <w:numPr>
        <w:ilvl w:val="4"/>
        <w:numId w:val="21"/>
      </w:numPr>
      <w:adjustRightInd w:val="0"/>
      <w:spacing w:after="240" w:line="360" w:lineRule="atLeast"/>
      <w:jc w:val="both"/>
      <w:outlineLvl w:val="4"/>
    </w:pPr>
    <w:rPr>
      <w:rFonts w:ascii="Times New Roman" w:eastAsia="Times New Roman" w:hAnsi="Times New Roman" w:cs="Times New Roman"/>
      <w:szCs w:val="24"/>
    </w:rPr>
  </w:style>
  <w:style w:type="paragraph" w:customStyle="1" w:styleId="Sub-Para4underX">
    <w:name w:val="Sub-Para 4 under X."/>
    <w:basedOn w:val="Normal"/>
    <w:uiPriority w:val="99"/>
    <w:semiHidden/>
    <w:rsid w:val="0025614E"/>
    <w:pPr>
      <w:widowControl w:val="0"/>
      <w:numPr>
        <w:ilvl w:val="5"/>
        <w:numId w:val="21"/>
      </w:numPr>
      <w:adjustRightInd w:val="0"/>
      <w:spacing w:after="240" w:line="360" w:lineRule="atLeast"/>
      <w:jc w:val="both"/>
      <w:outlineLvl w:val="5"/>
    </w:pPr>
    <w:rPr>
      <w:rFonts w:ascii="Times New Roman" w:eastAsia="Times New Roman" w:hAnsi="Times New Roman" w:cs="Times New Roman"/>
      <w:szCs w:val="24"/>
    </w:rPr>
  </w:style>
  <w:style w:type="paragraph" w:customStyle="1" w:styleId="Normalsinglespace">
    <w:name w:val="Normal single space"/>
    <w:basedOn w:val="Normal"/>
    <w:uiPriority w:val="99"/>
    <w:semiHidden/>
    <w:rsid w:val="0025614E"/>
    <w:pPr>
      <w:keepLines/>
      <w:tabs>
        <w:tab w:val="left" w:pos="567"/>
      </w:tabs>
      <w:jc w:val="both"/>
    </w:pPr>
    <w:rPr>
      <w:rFonts w:ascii="Arial" w:eastAsia="Times New Roman" w:hAnsi="Arial" w:cs="Times New Roman"/>
      <w:lang w:val="en-GB"/>
    </w:rPr>
  </w:style>
  <w:style w:type="character" w:customStyle="1" w:styleId="MainParawithChapterChar">
    <w:name w:val="Main Para with Chapter# Char"/>
    <w:basedOn w:val="DefaultParagraphFont"/>
    <w:link w:val="MainParawithChapter"/>
    <w:uiPriority w:val="99"/>
    <w:semiHidden/>
    <w:locked/>
    <w:rsid w:val="0025614E"/>
    <w:rPr>
      <w:rFonts w:ascii="Tahoma" w:eastAsia="Times New Roman" w:hAnsi="Tahoma" w:cs="Tahoma"/>
      <w:szCs w:val="24"/>
    </w:rPr>
  </w:style>
  <w:style w:type="paragraph" w:customStyle="1" w:styleId="MainParawithChapter">
    <w:name w:val="Main Para with Chapter#"/>
    <w:basedOn w:val="Normal"/>
    <w:link w:val="MainParawithChapterChar"/>
    <w:autoRedefine/>
    <w:uiPriority w:val="99"/>
    <w:semiHidden/>
    <w:rsid w:val="0025614E"/>
    <w:pPr>
      <w:tabs>
        <w:tab w:val="num" w:pos="0"/>
      </w:tabs>
      <w:spacing w:after="240"/>
      <w:jc w:val="both"/>
      <w:outlineLvl w:val="1"/>
    </w:pPr>
    <w:rPr>
      <w:rFonts w:ascii="Tahoma" w:eastAsia="Times New Roman" w:hAnsi="Tahoma" w:cs="Tahoma"/>
      <w:szCs w:val="24"/>
    </w:rPr>
  </w:style>
  <w:style w:type="paragraph" w:customStyle="1" w:styleId="font5">
    <w:name w:val="font5"/>
    <w:basedOn w:val="Normal"/>
    <w:uiPriority w:val="99"/>
    <w:semiHidden/>
    <w:rsid w:val="0025614E"/>
    <w:pPr>
      <w:spacing w:before="100" w:beforeAutospacing="1" w:after="100" w:afterAutospacing="1"/>
      <w:jc w:val="both"/>
    </w:pPr>
    <w:rPr>
      <w:rFonts w:ascii="Book Antiqua" w:eastAsia="Calibri" w:hAnsi="Book Antiqua" w:cs="Arial Unicode MS"/>
      <w:sz w:val="18"/>
      <w:szCs w:val="18"/>
    </w:rPr>
  </w:style>
  <w:style w:type="paragraph" w:customStyle="1" w:styleId="CharCharChar">
    <w:name w:val="Char Char Char"/>
    <w:basedOn w:val="Normal"/>
    <w:uiPriority w:val="99"/>
    <w:semiHidden/>
    <w:rsid w:val="0025614E"/>
    <w:pPr>
      <w:spacing w:after="160" w:line="240" w:lineRule="exact"/>
      <w:jc w:val="both"/>
    </w:pPr>
    <w:rPr>
      <w:rFonts w:ascii="Arial" w:eastAsia="Times New Roman" w:hAnsi="Arial" w:cs="Arial"/>
      <w:sz w:val="20"/>
    </w:rPr>
  </w:style>
  <w:style w:type="paragraph" w:customStyle="1" w:styleId="Outline">
    <w:name w:val="Outline"/>
    <w:basedOn w:val="Normal"/>
    <w:uiPriority w:val="99"/>
    <w:semiHidden/>
    <w:rsid w:val="0025614E"/>
    <w:pPr>
      <w:spacing w:before="240"/>
      <w:jc w:val="both"/>
    </w:pPr>
    <w:rPr>
      <w:rFonts w:ascii="Times New Roman" w:eastAsia="Times New Roman" w:hAnsi="Times New Roman" w:cs="Times New Roman"/>
      <w:kern w:val="28"/>
    </w:rPr>
  </w:style>
  <w:style w:type="paragraph" w:customStyle="1" w:styleId="Sub-Para3underXY">
    <w:name w:val="Sub-Para 3 under X.Y"/>
    <w:basedOn w:val="Normal"/>
    <w:uiPriority w:val="99"/>
    <w:semiHidden/>
    <w:rsid w:val="0025614E"/>
    <w:pPr>
      <w:spacing w:after="240"/>
      <w:ind w:left="2880" w:hanging="720"/>
      <w:jc w:val="both"/>
      <w:outlineLvl w:val="4"/>
    </w:pPr>
    <w:rPr>
      <w:rFonts w:ascii="Times New Roman" w:eastAsia="Times New Roman" w:hAnsi="Times New Roman" w:cs="Times New Roman"/>
      <w:szCs w:val="24"/>
    </w:rPr>
  </w:style>
  <w:style w:type="paragraph" w:customStyle="1" w:styleId="Outline2">
    <w:name w:val="Outline2"/>
    <w:basedOn w:val="Normal"/>
    <w:uiPriority w:val="99"/>
    <w:semiHidden/>
    <w:rsid w:val="0025614E"/>
    <w:pPr>
      <w:tabs>
        <w:tab w:val="num" w:pos="2160"/>
      </w:tabs>
      <w:spacing w:before="240"/>
      <w:ind w:left="2160" w:hanging="180"/>
      <w:jc w:val="both"/>
    </w:pPr>
    <w:rPr>
      <w:rFonts w:ascii="Times New Roman" w:eastAsia="Times New Roman" w:hAnsi="Times New Roman" w:cs="Times New Roman"/>
      <w:kern w:val="28"/>
    </w:rPr>
  </w:style>
  <w:style w:type="paragraph" w:customStyle="1" w:styleId="Outline1">
    <w:name w:val="Outline1"/>
    <w:basedOn w:val="Outline"/>
    <w:next w:val="Outline2"/>
    <w:uiPriority w:val="99"/>
    <w:semiHidden/>
    <w:rsid w:val="0025614E"/>
    <w:pPr>
      <w:keepNext/>
      <w:tabs>
        <w:tab w:val="num" w:pos="1440"/>
      </w:tabs>
      <w:ind w:left="1440" w:hanging="360"/>
    </w:pPr>
  </w:style>
  <w:style w:type="paragraph" w:customStyle="1" w:styleId="Outline3">
    <w:name w:val="Outline3"/>
    <w:basedOn w:val="Normal"/>
    <w:uiPriority w:val="99"/>
    <w:semiHidden/>
    <w:rsid w:val="0025614E"/>
    <w:pPr>
      <w:tabs>
        <w:tab w:val="num" w:pos="2880"/>
      </w:tabs>
      <w:spacing w:before="240"/>
      <w:ind w:left="2880" w:hanging="360"/>
      <w:jc w:val="both"/>
    </w:pPr>
    <w:rPr>
      <w:rFonts w:ascii="Times New Roman" w:eastAsia="Times New Roman" w:hAnsi="Times New Roman" w:cs="Times New Roman"/>
      <w:kern w:val="28"/>
    </w:rPr>
  </w:style>
  <w:style w:type="paragraph" w:customStyle="1" w:styleId="ReferenceStyle">
    <w:name w:val="Reference Style"/>
    <w:uiPriority w:val="99"/>
    <w:semiHidden/>
    <w:rsid w:val="0025614E"/>
    <w:rPr>
      <w:rFonts w:ascii="Times New Roman" w:eastAsia="Times New Roman" w:hAnsi="Times New Roman" w:cs="Times New Roman"/>
      <w:sz w:val="20"/>
      <w:szCs w:val="20"/>
    </w:rPr>
  </w:style>
  <w:style w:type="paragraph" w:customStyle="1" w:styleId="Char1">
    <w:name w:val="Char1"/>
    <w:basedOn w:val="Normal"/>
    <w:uiPriority w:val="99"/>
    <w:semiHidden/>
    <w:rsid w:val="0025614E"/>
    <w:pPr>
      <w:spacing w:after="160" w:line="240" w:lineRule="exact"/>
      <w:jc w:val="both"/>
    </w:pPr>
    <w:rPr>
      <w:rFonts w:ascii="Times New Roman" w:eastAsia="Times New Roman" w:hAnsi="Times New Roman" w:cs="Times New Roman"/>
      <w:sz w:val="20"/>
    </w:rPr>
  </w:style>
  <w:style w:type="character" w:customStyle="1" w:styleId="Annex16bodyChar">
    <w:name w:val="Annex 16 body Char"/>
    <w:basedOn w:val="DefaultParagraphFont"/>
    <w:link w:val="Annex16body"/>
    <w:uiPriority w:val="99"/>
    <w:semiHidden/>
    <w:locked/>
    <w:rsid w:val="0025614E"/>
    <w:rPr>
      <w:lang w:val="en-GB"/>
    </w:rPr>
  </w:style>
  <w:style w:type="paragraph" w:customStyle="1" w:styleId="Annex16body">
    <w:name w:val="Annex 16 body"/>
    <w:basedOn w:val="Normal"/>
    <w:link w:val="Annex16bodyChar"/>
    <w:uiPriority w:val="99"/>
    <w:semiHidden/>
    <w:rsid w:val="0025614E"/>
    <w:pPr>
      <w:spacing w:before="120" w:after="120"/>
      <w:jc w:val="both"/>
    </w:pPr>
    <w:rPr>
      <w:lang w:val="en-GB"/>
    </w:rPr>
  </w:style>
  <w:style w:type="paragraph" w:customStyle="1" w:styleId="Tablebullet">
    <w:name w:val="Table bullet"/>
    <w:basedOn w:val="Normal"/>
    <w:uiPriority w:val="99"/>
    <w:semiHidden/>
    <w:rsid w:val="0025614E"/>
    <w:pPr>
      <w:tabs>
        <w:tab w:val="left" w:pos="284"/>
      </w:tabs>
      <w:ind w:left="1440" w:hanging="360"/>
      <w:jc w:val="both"/>
    </w:pPr>
    <w:rPr>
      <w:rFonts w:ascii="Times New Roman" w:eastAsia="Times New Roman" w:hAnsi="Times New Roman" w:cs="Times New Roman"/>
      <w:sz w:val="20"/>
      <w:lang w:val="en-GB"/>
    </w:rPr>
  </w:style>
  <w:style w:type="character" w:customStyle="1" w:styleId="Style1Char">
    <w:name w:val="Style1 Char"/>
    <w:basedOn w:val="Heading1Char"/>
    <w:link w:val="Style1"/>
    <w:uiPriority w:val="99"/>
    <w:semiHidden/>
    <w:locked/>
    <w:rsid w:val="0025614E"/>
    <w:rPr>
      <w:rFonts w:ascii="Times New Roman Bold" w:eastAsia="Times New Roman" w:hAnsi="Times New Roman Bold" w:cs="Times New Roman"/>
      <w:b w:val="0"/>
      <w:bCs w:val="0"/>
      <w:caps/>
      <w:smallCaps/>
      <w:color w:val="365F91"/>
      <w:sz w:val="28"/>
      <w:szCs w:val="28"/>
    </w:rPr>
  </w:style>
  <w:style w:type="paragraph" w:customStyle="1" w:styleId="Style1">
    <w:name w:val="Style1"/>
    <w:basedOn w:val="Heading1"/>
    <w:link w:val="Style1Char"/>
    <w:uiPriority w:val="99"/>
    <w:semiHidden/>
    <w:rsid w:val="0025614E"/>
    <w:pPr>
      <w:keepNext/>
      <w:keepLines/>
      <w:spacing w:before="0" w:after="240" w:line="276" w:lineRule="auto"/>
      <w:contextualSpacing w:val="0"/>
    </w:pPr>
    <w:rPr>
      <w:rFonts w:ascii="Times New Roman Bold" w:eastAsia="Times New Roman" w:hAnsi="Times New Roman Bold" w:cs="Times New Roman"/>
      <w:b w:val="0"/>
      <w:bCs w:val="0"/>
      <w:caps/>
      <w:smallCaps/>
      <w:color w:val="365F91"/>
    </w:rPr>
  </w:style>
  <w:style w:type="character" w:customStyle="1" w:styleId="WBDocMainParaChar">
    <w:name w:val="WB Doc Main Para Char"/>
    <w:basedOn w:val="DefaultParagraphFont"/>
    <w:link w:val="WBDocMainPara"/>
    <w:uiPriority w:val="99"/>
    <w:semiHidden/>
    <w:locked/>
    <w:rsid w:val="0025614E"/>
    <w:rPr>
      <w:rFonts w:ascii="Times New Roman" w:eastAsia="Times New Roman" w:hAnsi="Times New Roman" w:cs="Times New Roman"/>
      <w:szCs w:val="24"/>
    </w:rPr>
  </w:style>
  <w:style w:type="paragraph" w:customStyle="1" w:styleId="WBDocMainPara">
    <w:name w:val="WB Doc Main Para"/>
    <w:basedOn w:val="Normal"/>
    <w:link w:val="WBDocMainParaChar"/>
    <w:uiPriority w:val="99"/>
    <w:semiHidden/>
    <w:rsid w:val="0025614E"/>
    <w:pPr>
      <w:numPr>
        <w:numId w:val="23"/>
      </w:numPr>
      <w:tabs>
        <w:tab w:val="left" w:pos="720"/>
      </w:tabs>
      <w:spacing w:after="240"/>
      <w:ind w:left="4410"/>
      <w:jc w:val="both"/>
      <w:outlineLvl w:val="1"/>
    </w:pPr>
    <w:rPr>
      <w:rFonts w:ascii="Times New Roman" w:eastAsia="Times New Roman" w:hAnsi="Times New Roman" w:cs="Times New Roman"/>
      <w:szCs w:val="24"/>
    </w:rPr>
  </w:style>
  <w:style w:type="character" w:customStyle="1" w:styleId="ParaChar">
    <w:name w:val="Para Char"/>
    <w:basedOn w:val="WBDocMainParaChar"/>
    <w:link w:val="Para"/>
    <w:uiPriority w:val="99"/>
    <w:semiHidden/>
    <w:locked/>
    <w:rsid w:val="0025614E"/>
    <w:rPr>
      <w:rFonts w:ascii="Times New Roman" w:eastAsia="Times New Roman" w:hAnsi="Times New Roman" w:cs="Times New Roman"/>
      <w:szCs w:val="24"/>
    </w:rPr>
  </w:style>
  <w:style w:type="paragraph" w:customStyle="1" w:styleId="Para">
    <w:name w:val="Para"/>
    <w:basedOn w:val="WBDocMainPara"/>
    <w:link w:val="ParaChar"/>
    <w:uiPriority w:val="99"/>
    <w:semiHidden/>
    <w:rsid w:val="0025614E"/>
    <w:pPr>
      <w:numPr>
        <w:numId w:val="25"/>
      </w:numPr>
      <w:ind w:left="0" w:firstLine="0"/>
    </w:pPr>
  </w:style>
  <w:style w:type="paragraph" w:customStyle="1" w:styleId="h">
    <w:name w:val="h"/>
    <w:basedOn w:val="Heading1"/>
    <w:uiPriority w:val="99"/>
    <w:semiHidden/>
    <w:rsid w:val="0025614E"/>
    <w:pPr>
      <w:keepNext/>
      <w:keepLines/>
      <w:spacing w:before="0" w:after="240"/>
      <w:contextualSpacing w:val="0"/>
    </w:pPr>
    <w:rPr>
      <w:rFonts w:ascii="Times New Roman" w:eastAsia="Times New Roman" w:hAnsi="Times New Roman" w:cs="Times New Roman"/>
      <w:color w:val="000000"/>
    </w:rPr>
  </w:style>
  <w:style w:type="paragraph" w:customStyle="1" w:styleId="BoxHeading">
    <w:name w:val="Box Heading"/>
    <w:basedOn w:val="ListParagraph"/>
    <w:uiPriority w:val="99"/>
    <w:semiHidden/>
    <w:qFormat/>
    <w:rsid w:val="0025614E"/>
    <w:pPr>
      <w:spacing w:after="120"/>
      <w:ind w:left="0"/>
      <w:contextualSpacing w:val="0"/>
      <w:jc w:val="both"/>
    </w:pPr>
    <w:rPr>
      <w:b/>
      <w:bCs/>
      <w:noProof/>
      <w:sz w:val="20"/>
      <w:szCs w:val="20"/>
    </w:rPr>
  </w:style>
  <w:style w:type="character" w:customStyle="1" w:styleId="CLRSectionHeadingChar">
    <w:name w:val="CLR Section Heading Char"/>
    <w:basedOn w:val="Heading1Char"/>
    <w:link w:val="CLRSectionHeading"/>
    <w:semiHidden/>
    <w:locked/>
    <w:rsid w:val="0025614E"/>
    <w:rPr>
      <w:rFonts w:ascii="Times New Roman Bold" w:eastAsia="Times New Roman" w:hAnsi="Times New Roman Bold" w:cs="Times New Roman"/>
      <w:b w:val="0"/>
      <w:bCs w:val="0"/>
      <w:caps/>
      <w:color w:val="000000"/>
      <w:sz w:val="24"/>
      <w:szCs w:val="28"/>
    </w:rPr>
  </w:style>
  <w:style w:type="paragraph" w:customStyle="1" w:styleId="CLRSectionHeading">
    <w:name w:val="CLR Section Heading"/>
    <w:basedOn w:val="Heading1"/>
    <w:link w:val="CLRSectionHeadingChar"/>
    <w:semiHidden/>
    <w:qFormat/>
    <w:rsid w:val="0025614E"/>
    <w:pPr>
      <w:keepNext/>
      <w:keepLines/>
      <w:numPr>
        <w:numId w:val="27"/>
      </w:numPr>
      <w:spacing w:before="0" w:after="240"/>
      <w:ind w:left="0" w:firstLine="0"/>
      <w:contextualSpacing w:val="0"/>
      <w:jc w:val="center"/>
    </w:pPr>
    <w:rPr>
      <w:rFonts w:ascii="Times New Roman Bold" w:eastAsia="Times New Roman" w:hAnsi="Times New Roman Bold" w:cs="Times New Roman"/>
      <w:b w:val="0"/>
      <w:bCs w:val="0"/>
      <w:caps/>
      <w:color w:val="000000"/>
      <w:sz w:val="24"/>
    </w:rPr>
  </w:style>
  <w:style w:type="paragraph" w:customStyle="1" w:styleId="CLRTableHeading">
    <w:name w:val="CLR Table Heading"/>
    <w:basedOn w:val="Normal"/>
    <w:uiPriority w:val="99"/>
    <w:semiHidden/>
    <w:qFormat/>
    <w:rsid w:val="0025614E"/>
    <w:pPr>
      <w:spacing w:after="120"/>
      <w:jc w:val="center"/>
    </w:pPr>
    <w:rPr>
      <w:rFonts w:ascii="Times New Roman" w:eastAsia="SimSun" w:hAnsi="Times New Roman" w:cs="Times New Roman"/>
      <w:b/>
      <w:sz w:val="20"/>
      <w:szCs w:val="20"/>
    </w:rPr>
  </w:style>
  <w:style w:type="paragraph" w:customStyle="1" w:styleId="CLRHeading2">
    <w:name w:val="CLR Heading 2"/>
    <w:basedOn w:val="Normal"/>
    <w:uiPriority w:val="99"/>
    <w:semiHidden/>
    <w:qFormat/>
    <w:rsid w:val="0025614E"/>
    <w:pPr>
      <w:spacing w:after="240"/>
      <w:jc w:val="both"/>
    </w:pPr>
    <w:rPr>
      <w:rFonts w:ascii="Times New Roman" w:eastAsia="Calibri" w:hAnsi="Times New Roman" w:cs="Times New Roman"/>
      <w:b/>
      <w:sz w:val="24"/>
      <w:szCs w:val="24"/>
    </w:rPr>
  </w:style>
  <w:style w:type="paragraph" w:customStyle="1" w:styleId="CLRHeading3">
    <w:name w:val="CLR Heading 3"/>
    <w:basedOn w:val="Normal"/>
    <w:uiPriority w:val="99"/>
    <w:semiHidden/>
    <w:qFormat/>
    <w:rsid w:val="0025614E"/>
    <w:pPr>
      <w:spacing w:after="240"/>
      <w:jc w:val="both"/>
    </w:pPr>
    <w:rPr>
      <w:rFonts w:ascii="Times New Roman" w:eastAsia="Calibri" w:hAnsi="Times New Roman" w:cs="Times New Roman"/>
      <w:b/>
      <w:i/>
      <w:sz w:val="24"/>
      <w:szCs w:val="24"/>
    </w:rPr>
  </w:style>
  <w:style w:type="paragraph" w:customStyle="1" w:styleId="m-2561574023574042061msolistparagraph">
    <w:name w:val="m_-2561574023574042061msolistparagraph"/>
    <w:basedOn w:val="Normal"/>
    <w:uiPriority w:val="99"/>
    <w:semiHidden/>
    <w:rsid w:val="0025614E"/>
    <w:pPr>
      <w:spacing w:before="100" w:beforeAutospacing="1" w:after="100" w:afterAutospacing="1"/>
    </w:pPr>
    <w:rPr>
      <w:rFonts w:ascii="Times New Roman" w:eastAsia="Calibri" w:hAnsi="Times New Roman" w:cs="Times New Roman"/>
      <w:sz w:val="24"/>
      <w:szCs w:val="24"/>
    </w:rPr>
  </w:style>
  <w:style w:type="paragraph" w:customStyle="1" w:styleId="m7909570825522231316msolistparagraph">
    <w:name w:val="m_7909570825522231316msolistparagraph"/>
    <w:basedOn w:val="Normal"/>
    <w:uiPriority w:val="99"/>
    <w:semiHidden/>
    <w:rsid w:val="0025614E"/>
    <w:pPr>
      <w:spacing w:beforeLines="1"/>
    </w:pPr>
    <w:rPr>
      <w:rFonts w:ascii="Times" w:hAnsi="Times"/>
      <w:sz w:val="20"/>
      <w:szCs w:val="20"/>
    </w:rPr>
  </w:style>
  <w:style w:type="character" w:styleId="PlaceholderText">
    <w:name w:val="Placeholder Text"/>
    <w:basedOn w:val="DefaultParagraphFont"/>
    <w:uiPriority w:val="99"/>
    <w:semiHidden/>
    <w:rsid w:val="0025614E"/>
    <w:rPr>
      <w:rFonts w:ascii="Times New Roman" w:hAnsi="Times New Roman" w:cs="Times New Roman" w:hint="default"/>
      <w:color w:val="808080"/>
    </w:rPr>
  </w:style>
  <w:style w:type="character" w:customStyle="1" w:styleId="Heading2a">
    <w:name w:val="Heading 2a"/>
    <w:basedOn w:val="DefaultParagraphFont"/>
    <w:uiPriority w:val="99"/>
    <w:rsid w:val="0025614E"/>
    <w:rPr>
      <w:rFonts w:ascii="Times New Roman Bold" w:hAnsi="Times New Roman Bold" w:cs="Arial" w:hint="default"/>
      <w:b/>
      <w:bCs/>
      <w:iCs/>
      <w:strike w:val="0"/>
      <w:dstrike w:val="0"/>
      <w:color w:val="auto"/>
      <w:sz w:val="24"/>
      <w:szCs w:val="24"/>
      <w:u w:val="none"/>
      <w:effect w:val="none"/>
      <w:lang w:val="en-US" w:eastAsia="en-US" w:bidi="ar-SA"/>
    </w:rPr>
  </w:style>
  <w:style w:type="character" w:customStyle="1" w:styleId="DocumentMapChar1">
    <w:name w:val="Document Map Char1"/>
    <w:basedOn w:val="DefaultParagraphFont"/>
    <w:uiPriority w:val="99"/>
    <w:semiHidden/>
    <w:rsid w:val="0025614E"/>
    <w:rPr>
      <w:rFonts w:ascii="Tahoma" w:hAnsi="Tahoma" w:cs="Tahoma" w:hint="default"/>
      <w:sz w:val="16"/>
      <w:szCs w:val="16"/>
    </w:rPr>
  </w:style>
  <w:style w:type="character" w:customStyle="1" w:styleId="apple-converted-space">
    <w:name w:val="apple-converted-space"/>
    <w:basedOn w:val="DefaultParagraphFont"/>
    <w:rsid w:val="0025614E"/>
  </w:style>
  <w:style w:type="character" w:customStyle="1" w:styleId="il">
    <w:name w:val="il"/>
    <w:basedOn w:val="DefaultParagraphFont"/>
    <w:rsid w:val="0025614E"/>
  </w:style>
  <w:style w:type="character" w:customStyle="1" w:styleId="st">
    <w:name w:val="st"/>
    <w:basedOn w:val="DefaultParagraphFont"/>
    <w:rsid w:val="0025614E"/>
  </w:style>
  <w:style w:type="character" w:customStyle="1" w:styleId="BalloonTextChar1">
    <w:name w:val="Balloon Text Char1"/>
    <w:basedOn w:val="DefaultParagraphFont"/>
    <w:uiPriority w:val="99"/>
    <w:semiHidden/>
    <w:rsid w:val="0025614E"/>
    <w:rPr>
      <w:rFonts w:ascii="Lucida Grande" w:hAnsi="Lucida Grande" w:cs="Lucida Grande" w:hint="default"/>
      <w:sz w:val="18"/>
      <w:szCs w:val="18"/>
    </w:rPr>
  </w:style>
  <w:style w:type="table" w:styleId="TableSimple1">
    <w:name w:val="Table Simple 1"/>
    <w:basedOn w:val="TableNormal"/>
    <w:uiPriority w:val="99"/>
    <w:semiHidden/>
    <w:unhideWhenUsed/>
    <w:rsid w:val="0025614E"/>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eClassic1">
    <w:name w:val="Table Classic 1"/>
    <w:basedOn w:val="TableNormal"/>
    <w:uiPriority w:val="99"/>
    <w:semiHidden/>
    <w:unhideWhenUsed/>
    <w:rsid w:val="0025614E"/>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614E"/>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25614E"/>
    <w:rPr>
      <w:rFonts w:ascii="Times New Roman" w:eastAsia="Batang"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LightList-Accent3">
    <w:name w:val="Light List Accent 3"/>
    <w:basedOn w:val="TableNormal"/>
    <w:uiPriority w:val="99"/>
    <w:semiHidden/>
    <w:unhideWhenUsed/>
    <w:rsid w:val="0025614E"/>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Times New Roman" w:hAnsi="Times New Roman" w:cs="Times New Roman" w:hint="default"/>
        <w:b/>
        <w:bCs/>
        <w:color w:val="FFFFFF"/>
      </w:rPr>
      <w:tblPr/>
      <w:tcPr>
        <w:shd w:val="clear" w:color="auto" w:fill="9BBB59"/>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Times New Roman" w:hAnsi="Times New Roman"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99"/>
    <w:semiHidden/>
    <w:unhideWhenUsed/>
    <w:rsid w:val="0025614E"/>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pPr>
      <w:rPr>
        <w:rFonts w:ascii="Times New Roman" w:hAnsi="Times New Roman" w:cs="Times New Roman" w:hint="default"/>
        <w:b/>
        <w:bCs/>
        <w:color w:val="FFFFFF"/>
      </w:rPr>
      <w:tblPr/>
      <w:tcPr>
        <w:shd w:val="clear" w:color="auto" w:fill="4BACC6"/>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top w:val="single" w:sz="8" w:space="0" w:color="4BACC6"/>
          <w:left w:val="single" w:sz="8" w:space="0" w:color="4BACC6"/>
          <w:bottom w:val="single" w:sz="8" w:space="0" w:color="4BACC6"/>
          <w:right w:val="single" w:sz="8" w:space="0" w:color="4BACC6"/>
        </w:tcBorders>
      </w:tcPr>
    </w:tblStylePr>
    <w:tblStylePr w:type="band1Horz">
      <w:rPr>
        <w:rFonts w:ascii="Times New Roman" w:hAnsi="Times New Roman" w:cs="Times New Roman" w:hint="default"/>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uiPriority w:val="99"/>
    <w:rsid w:val="0025614E"/>
    <w:rPr>
      <w:rFonts w:ascii="Times New Roman" w:eastAsia="Calibri"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25614E"/>
    <w:rPr>
      <w:rFonts w:ascii="Times New Roman" w:eastAsia="Calibri"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6">
    <w:name w:val="Table Grid6"/>
    <w:basedOn w:val="TableNormal"/>
    <w:uiPriority w:val="59"/>
    <w:rsid w:val="0025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rsid w:val="0025614E"/>
    <w:pPr>
      <w:numPr>
        <w:numId w:val="35"/>
      </w:numPr>
    </w:pPr>
  </w:style>
  <w:style w:type="table" w:customStyle="1" w:styleId="LightList-Accent111">
    <w:name w:val="Light List - Accent 111"/>
    <w:uiPriority w:val="99"/>
    <w:rsid w:val="0025614E"/>
    <w:rPr>
      <w:rFonts w:ascii="Times New Roman" w:eastAsia="Calibri"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HEAD">
    <w:name w:val="HEAD"/>
    <w:basedOn w:val="TableofFigures"/>
    <w:link w:val="HEADChar"/>
    <w:qFormat/>
    <w:rsid w:val="004D7D57"/>
    <w:pPr>
      <w:tabs>
        <w:tab w:val="right" w:leader="dot" w:pos="9350"/>
      </w:tabs>
    </w:pPr>
    <w:rPr>
      <w:rFonts w:cs="Times New Roman"/>
      <w:sz w:val="24"/>
      <w:szCs w:val="24"/>
    </w:rPr>
  </w:style>
  <w:style w:type="character" w:customStyle="1" w:styleId="TableofFiguresChar">
    <w:name w:val="Table of Figures Char"/>
    <w:basedOn w:val="DefaultParagraphFont"/>
    <w:link w:val="TableofFigures"/>
    <w:uiPriority w:val="99"/>
    <w:rsid w:val="004D7D57"/>
    <w:rPr>
      <w:rFonts w:ascii="Times New Roman" w:hAnsi="Times New Roman"/>
      <w:sz w:val="21"/>
    </w:rPr>
  </w:style>
  <w:style w:type="character" w:customStyle="1" w:styleId="HEADChar">
    <w:name w:val="HEAD Char"/>
    <w:basedOn w:val="TableofFiguresChar"/>
    <w:link w:val="HEAD"/>
    <w:rsid w:val="004D7D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2594">
      <w:bodyDiv w:val="1"/>
      <w:marLeft w:val="0"/>
      <w:marRight w:val="0"/>
      <w:marTop w:val="0"/>
      <w:marBottom w:val="0"/>
      <w:divBdr>
        <w:top w:val="none" w:sz="0" w:space="0" w:color="auto"/>
        <w:left w:val="none" w:sz="0" w:space="0" w:color="auto"/>
        <w:bottom w:val="none" w:sz="0" w:space="0" w:color="auto"/>
        <w:right w:val="none" w:sz="0" w:space="0" w:color="auto"/>
      </w:divBdr>
    </w:div>
    <w:div w:id="41711913">
      <w:bodyDiv w:val="1"/>
      <w:marLeft w:val="0"/>
      <w:marRight w:val="0"/>
      <w:marTop w:val="0"/>
      <w:marBottom w:val="0"/>
      <w:divBdr>
        <w:top w:val="none" w:sz="0" w:space="0" w:color="auto"/>
        <w:left w:val="none" w:sz="0" w:space="0" w:color="auto"/>
        <w:bottom w:val="none" w:sz="0" w:space="0" w:color="auto"/>
        <w:right w:val="none" w:sz="0" w:space="0" w:color="auto"/>
      </w:divBdr>
      <w:divsChild>
        <w:div w:id="673605426">
          <w:marLeft w:val="547"/>
          <w:marRight w:val="0"/>
          <w:marTop w:val="0"/>
          <w:marBottom w:val="0"/>
          <w:divBdr>
            <w:top w:val="none" w:sz="0" w:space="0" w:color="auto"/>
            <w:left w:val="none" w:sz="0" w:space="0" w:color="auto"/>
            <w:bottom w:val="none" w:sz="0" w:space="0" w:color="auto"/>
            <w:right w:val="none" w:sz="0" w:space="0" w:color="auto"/>
          </w:divBdr>
        </w:div>
        <w:div w:id="854272442">
          <w:marLeft w:val="547"/>
          <w:marRight w:val="0"/>
          <w:marTop w:val="0"/>
          <w:marBottom w:val="0"/>
          <w:divBdr>
            <w:top w:val="none" w:sz="0" w:space="0" w:color="auto"/>
            <w:left w:val="none" w:sz="0" w:space="0" w:color="auto"/>
            <w:bottom w:val="none" w:sz="0" w:space="0" w:color="auto"/>
            <w:right w:val="none" w:sz="0" w:space="0" w:color="auto"/>
          </w:divBdr>
        </w:div>
        <w:div w:id="1207374141">
          <w:marLeft w:val="547"/>
          <w:marRight w:val="0"/>
          <w:marTop w:val="0"/>
          <w:marBottom w:val="0"/>
          <w:divBdr>
            <w:top w:val="none" w:sz="0" w:space="0" w:color="auto"/>
            <w:left w:val="none" w:sz="0" w:space="0" w:color="auto"/>
            <w:bottom w:val="none" w:sz="0" w:space="0" w:color="auto"/>
            <w:right w:val="none" w:sz="0" w:space="0" w:color="auto"/>
          </w:divBdr>
        </w:div>
      </w:divsChild>
    </w:div>
    <w:div w:id="68777111">
      <w:bodyDiv w:val="1"/>
      <w:marLeft w:val="0"/>
      <w:marRight w:val="0"/>
      <w:marTop w:val="0"/>
      <w:marBottom w:val="0"/>
      <w:divBdr>
        <w:top w:val="none" w:sz="0" w:space="0" w:color="auto"/>
        <w:left w:val="none" w:sz="0" w:space="0" w:color="auto"/>
        <w:bottom w:val="none" w:sz="0" w:space="0" w:color="auto"/>
        <w:right w:val="none" w:sz="0" w:space="0" w:color="auto"/>
      </w:divBdr>
    </w:div>
    <w:div w:id="130905693">
      <w:bodyDiv w:val="1"/>
      <w:marLeft w:val="0"/>
      <w:marRight w:val="0"/>
      <w:marTop w:val="0"/>
      <w:marBottom w:val="0"/>
      <w:divBdr>
        <w:top w:val="none" w:sz="0" w:space="0" w:color="auto"/>
        <w:left w:val="none" w:sz="0" w:space="0" w:color="auto"/>
        <w:bottom w:val="none" w:sz="0" w:space="0" w:color="auto"/>
        <w:right w:val="none" w:sz="0" w:space="0" w:color="auto"/>
      </w:divBdr>
    </w:div>
    <w:div w:id="146439531">
      <w:bodyDiv w:val="1"/>
      <w:marLeft w:val="0"/>
      <w:marRight w:val="0"/>
      <w:marTop w:val="0"/>
      <w:marBottom w:val="0"/>
      <w:divBdr>
        <w:top w:val="none" w:sz="0" w:space="0" w:color="auto"/>
        <w:left w:val="none" w:sz="0" w:space="0" w:color="auto"/>
        <w:bottom w:val="none" w:sz="0" w:space="0" w:color="auto"/>
        <w:right w:val="none" w:sz="0" w:space="0" w:color="auto"/>
      </w:divBdr>
    </w:div>
    <w:div w:id="192348337">
      <w:bodyDiv w:val="1"/>
      <w:marLeft w:val="0"/>
      <w:marRight w:val="0"/>
      <w:marTop w:val="0"/>
      <w:marBottom w:val="0"/>
      <w:divBdr>
        <w:top w:val="none" w:sz="0" w:space="0" w:color="auto"/>
        <w:left w:val="none" w:sz="0" w:space="0" w:color="auto"/>
        <w:bottom w:val="none" w:sz="0" w:space="0" w:color="auto"/>
        <w:right w:val="none" w:sz="0" w:space="0" w:color="auto"/>
      </w:divBdr>
      <w:divsChild>
        <w:div w:id="1960909542">
          <w:marLeft w:val="374"/>
          <w:marRight w:val="0"/>
          <w:marTop w:val="0"/>
          <w:marBottom w:val="0"/>
          <w:divBdr>
            <w:top w:val="none" w:sz="0" w:space="0" w:color="auto"/>
            <w:left w:val="none" w:sz="0" w:space="0" w:color="auto"/>
            <w:bottom w:val="none" w:sz="0" w:space="0" w:color="auto"/>
            <w:right w:val="none" w:sz="0" w:space="0" w:color="auto"/>
          </w:divBdr>
        </w:div>
      </w:divsChild>
    </w:div>
    <w:div w:id="241256969">
      <w:bodyDiv w:val="1"/>
      <w:marLeft w:val="0"/>
      <w:marRight w:val="0"/>
      <w:marTop w:val="0"/>
      <w:marBottom w:val="0"/>
      <w:divBdr>
        <w:top w:val="none" w:sz="0" w:space="0" w:color="auto"/>
        <w:left w:val="none" w:sz="0" w:space="0" w:color="auto"/>
        <w:bottom w:val="none" w:sz="0" w:space="0" w:color="auto"/>
        <w:right w:val="none" w:sz="0" w:space="0" w:color="auto"/>
      </w:divBdr>
      <w:divsChild>
        <w:div w:id="54596369">
          <w:marLeft w:val="547"/>
          <w:marRight w:val="0"/>
          <w:marTop w:val="0"/>
          <w:marBottom w:val="0"/>
          <w:divBdr>
            <w:top w:val="none" w:sz="0" w:space="0" w:color="auto"/>
            <w:left w:val="none" w:sz="0" w:space="0" w:color="auto"/>
            <w:bottom w:val="none" w:sz="0" w:space="0" w:color="auto"/>
            <w:right w:val="none" w:sz="0" w:space="0" w:color="auto"/>
          </w:divBdr>
        </w:div>
      </w:divsChild>
    </w:div>
    <w:div w:id="287005496">
      <w:bodyDiv w:val="1"/>
      <w:marLeft w:val="0"/>
      <w:marRight w:val="0"/>
      <w:marTop w:val="0"/>
      <w:marBottom w:val="0"/>
      <w:divBdr>
        <w:top w:val="none" w:sz="0" w:space="0" w:color="auto"/>
        <w:left w:val="none" w:sz="0" w:space="0" w:color="auto"/>
        <w:bottom w:val="none" w:sz="0" w:space="0" w:color="auto"/>
        <w:right w:val="none" w:sz="0" w:space="0" w:color="auto"/>
      </w:divBdr>
    </w:div>
    <w:div w:id="323901740">
      <w:bodyDiv w:val="1"/>
      <w:marLeft w:val="0"/>
      <w:marRight w:val="0"/>
      <w:marTop w:val="0"/>
      <w:marBottom w:val="0"/>
      <w:divBdr>
        <w:top w:val="none" w:sz="0" w:space="0" w:color="auto"/>
        <w:left w:val="none" w:sz="0" w:space="0" w:color="auto"/>
        <w:bottom w:val="none" w:sz="0" w:space="0" w:color="auto"/>
        <w:right w:val="none" w:sz="0" w:space="0" w:color="auto"/>
      </w:divBdr>
      <w:divsChild>
        <w:div w:id="782070473">
          <w:marLeft w:val="547"/>
          <w:marRight w:val="0"/>
          <w:marTop w:val="0"/>
          <w:marBottom w:val="0"/>
          <w:divBdr>
            <w:top w:val="none" w:sz="0" w:space="0" w:color="auto"/>
            <w:left w:val="none" w:sz="0" w:space="0" w:color="auto"/>
            <w:bottom w:val="none" w:sz="0" w:space="0" w:color="auto"/>
            <w:right w:val="none" w:sz="0" w:space="0" w:color="auto"/>
          </w:divBdr>
        </w:div>
        <w:div w:id="1171876034">
          <w:marLeft w:val="547"/>
          <w:marRight w:val="0"/>
          <w:marTop w:val="0"/>
          <w:marBottom w:val="0"/>
          <w:divBdr>
            <w:top w:val="none" w:sz="0" w:space="0" w:color="auto"/>
            <w:left w:val="none" w:sz="0" w:space="0" w:color="auto"/>
            <w:bottom w:val="none" w:sz="0" w:space="0" w:color="auto"/>
            <w:right w:val="none" w:sz="0" w:space="0" w:color="auto"/>
          </w:divBdr>
        </w:div>
      </w:divsChild>
    </w:div>
    <w:div w:id="337122273">
      <w:bodyDiv w:val="1"/>
      <w:marLeft w:val="0"/>
      <w:marRight w:val="0"/>
      <w:marTop w:val="0"/>
      <w:marBottom w:val="0"/>
      <w:divBdr>
        <w:top w:val="none" w:sz="0" w:space="0" w:color="auto"/>
        <w:left w:val="none" w:sz="0" w:space="0" w:color="auto"/>
        <w:bottom w:val="none" w:sz="0" w:space="0" w:color="auto"/>
        <w:right w:val="none" w:sz="0" w:space="0" w:color="auto"/>
      </w:divBdr>
    </w:div>
    <w:div w:id="345644336">
      <w:bodyDiv w:val="1"/>
      <w:marLeft w:val="0"/>
      <w:marRight w:val="0"/>
      <w:marTop w:val="0"/>
      <w:marBottom w:val="0"/>
      <w:divBdr>
        <w:top w:val="none" w:sz="0" w:space="0" w:color="auto"/>
        <w:left w:val="none" w:sz="0" w:space="0" w:color="auto"/>
        <w:bottom w:val="none" w:sz="0" w:space="0" w:color="auto"/>
        <w:right w:val="none" w:sz="0" w:space="0" w:color="auto"/>
      </w:divBdr>
    </w:div>
    <w:div w:id="385758528">
      <w:bodyDiv w:val="1"/>
      <w:marLeft w:val="0"/>
      <w:marRight w:val="0"/>
      <w:marTop w:val="0"/>
      <w:marBottom w:val="0"/>
      <w:divBdr>
        <w:top w:val="none" w:sz="0" w:space="0" w:color="auto"/>
        <w:left w:val="none" w:sz="0" w:space="0" w:color="auto"/>
        <w:bottom w:val="none" w:sz="0" w:space="0" w:color="auto"/>
        <w:right w:val="none" w:sz="0" w:space="0" w:color="auto"/>
      </w:divBdr>
    </w:div>
    <w:div w:id="389034905">
      <w:bodyDiv w:val="1"/>
      <w:marLeft w:val="0"/>
      <w:marRight w:val="0"/>
      <w:marTop w:val="0"/>
      <w:marBottom w:val="0"/>
      <w:divBdr>
        <w:top w:val="none" w:sz="0" w:space="0" w:color="auto"/>
        <w:left w:val="none" w:sz="0" w:space="0" w:color="auto"/>
        <w:bottom w:val="none" w:sz="0" w:space="0" w:color="auto"/>
        <w:right w:val="none" w:sz="0" w:space="0" w:color="auto"/>
      </w:divBdr>
    </w:div>
    <w:div w:id="404646278">
      <w:bodyDiv w:val="1"/>
      <w:marLeft w:val="0"/>
      <w:marRight w:val="0"/>
      <w:marTop w:val="0"/>
      <w:marBottom w:val="0"/>
      <w:divBdr>
        <w:top w:val="none" w:sz="0" w:space="0" w:color="auto"/>
        <w:left w:val="none" w:sz="0" w:space="0" w:color="auto"/>
        <w:bottom w:val="none" w:sz="0" w:space="0" w:color="auto"/>
        <w:right w:val="none" w:sz="0" w:space="0" w:color="auto"/>
      </w:divBdr>
    </w:div>
    <w:div w:id="405538358">
      <w:bodyDiv w:val="1"/>
      <w:marLeft w:val="0"/>
      <w:marRight w:val="0"/>
      <w:marTop w:val="0"/>
      <w:marBottom w:val="0"/>
      <w:divBdr>
        <w:top w:val="none" w:sz="0" w:space="0" w:color="auto"/>
        <w:left w:val="none" w:sz="0" w:space="0" w:color="auto"/>
        <w:bottom w:val="none" w:sz="0" w:space="0" w:color="auto"/>
        <w:right w:val="none" w:sz="0" w:space="0" w:color="auto"/>
      </w:divBdr>
    </w:div>
    <w:div w:id="415439725">
      <w:bodyDiv w:val="1"/>
      <w:marLeft w:val="0"/>
      <w:marRight w:val="0"/>
      <w:marTop w:val="0"/>
      <w:marBottom w:val="0"/>
      <w:divBdr>
        <w:top w:val="none" w:sz="0" w:space="0" w:color="auto"/>
        <w:left w:val="none" w:sz="0" w:space="0" w:color="auto"/>
        <w:bottom w:val="none" w:sz="0" w:space="0" w:color="auto"/>
        <w:right w:val="none" w:sz="0" w:space="0" w:color="auto"/>
      </w:divBdr>
    </w:div>
    <w:div w:id="456024641">
      <w:bodyDiv w:val="1"/>
      <w:marLeft w:val="0"/>
      <w:marRight w:val="0"/>
      <w:marTop w:val="0"/>
      <w:marBottom w:val="0"/>
      <w:divBdr>
        <w:top w:val="none" w:sz="0" w:space="0" w:color="auto"/>
        <w:left w:val="none" w:sz="0" w:space="0" w:color="auto"/>
        <w:bottom w:val="none" w:sz="0" w:space="0" w:color="auto"/>
        <w:right w:val="none" w:sz="0" w:space="0" w:color="auto"/>
      </w:divBdr>
    </w:div>
    <w:div w:id="465899692">
      <w:bodyDiv w:val="1"/>
      <w:marLeft w:val="0"/>
      <w:marRight w:val="0"/>
      <w:marTop w:val="0"/>
      <w:marBottom w:val="0"/>
      <w:divBdr>
        <w:top w:val="none" w:sz="0" w:space="0" w:color="auto"/>
        <w:left w:val="none" w:sz="0" w:space="0" w:color="auto"/>
        <w:bottom w:val="none" w:sz="0" w:space="0" w:color="auto"/>
        <w:right w:val="none" w:sz="0" w:space="0" w:color="auto"/>
      </w:divBdr>
    </w:div>
    <w:div w:id="505753807">
      <w:bodyDiv w:val="1"/>
      <w:marLeft w:val="0"/>
      <w:marRight w:val="0"/>
      <w:marTop w:val="0"/>
      <w:marBottom w:val="0"/>
      <w:divBdr>
        <w:top w:val="none" w:sz="0" w:space="0" w:color="auto"/>
        <w:left w:val="none" w:sz="0" w:space="0" w:color="auto"/>
        <w:bottom w:val="none" w:sz="0" w:space="0" w:color="auto"/>
        <w:right w:val="none" w:sz="0" w:space="0" w:color="auto"/>
      </w:divBdr>
    </w:div>
    <w:div w:id="508368327">
      <w:bodyDiv w:val="1"/>
      <w:marLeft w:val="0"/>
      <w:marRight w:val="0"/>
      <w:marTop w:val="0"/>
      <w:marBottom w:val="0"/>
      <w:divBdr>
        <w:top w:val="none" w:sz="0" w:space="0" w:color="auto"/>
        <w:left w:val="none" w:sz="0" w:space="0" w:color="auto"/>
        <w:bottom w:val="none" w:sz="0" w:space="0" w:color="auto"/>
        <w:right w:val="none" w:sz="0" w:space="0" w:color="auto"/>
      </w:divBdr>
    </w:div>
    <w:div w:id="510871463">
      <w:bodyDiv w:val="1"/>
      <w:marLeft w:val="0"/>
      <w:marRight w:val="0"/>
      <w:marTop w:val="0"/>
      <w:marBottom w:val="0"/>
      <w:divBdr>
        <w:top w:val="none" w:sz="0" w:space="0" w:color="auto"/>
        <w:left w:val="none" w:sz="0" w:space="0" w:color="auto"/>
        <w:bottom w:val="none" w:sz="0" w:space="0" w:color="auto"/>
        <w:right w:val="none" w:sz="0" w:space="0" w:color="auto"/>
      </w:divBdr>
    </w:div>
    <w:div w:id="558519510">
      <w:bodyDiv w:val="1"/>
      <w:marLeft w:val="0"/>
      <w:marRight w:val="0"/>
      <w:marTop w:val="0"/>
      <w:marBottom w:val="0"/>
      <w:divBdr>
        <w:top w:val="none" w:sz="0" w:space="0" w:color="auto"/>
        <w:left w:val="none" w:sz="0" w:space="0" w:color="auto"/>
        <w:bottom w:val="none" w:sz="0" w:space="0" w:color="auto"/>
        <w:right w:val="none" w:sz="0" w:space="0" w:color="auto"/>
      </w:divBdr>
    </w:div>
    <w:div w:id="586958495">
      <w:bodyDiv w:val="1"/>
      <w:marLeft w:val="0"/>
      <w:marRight w:val="0"/>
      <w:marTop w:val="0"/>
      <w:marBottom w:val="0"/>
      <w:divBdr>
        <w:top w:val="none" w:sz="0" w:space="0" w:color="auto"/>
        <w:left w:val="none" w:sz="0" w:space="0" w:color="auto"/>
        <w:bottom w:val="none" w:sz="0" w:space="0" w:color="auto"/>
        <w:right w:val="none" w:sz="0" w:space="0" w:color="auto"/>
      </w:divBdr>
    </w:div>
    <w:div w:id="589853155">
      <w:bodyDiv w:val="1"/>
      <w:marLeft w:val="0"/>
      <w:marRight w:val="0"/>
      <w:marTop w:val="0"/>
      <w:marBottom w:val="0"/>
      <w:divBdr>
        <w:top w:val="none" w:sz="0" w:space="0" w:color="auto"/>
        <w:left w:val="none" w:sz="0" w:space="0" w:color="auto"/>
        <w:bottom w:val="none" w:sz="0" w:space="0" w:color="auto"/>
        <w:right w:val="none" w:sz="0" w:space="0" w:color="auto"/>
      </w:divBdr>
    </w:div>
    <w:div w:id="642782511">
      <w:bodyDiv w:val="1"/>
      <w:marLeft w:val="0"/>
      <w:marRight w:val="0"/>
      <w:marTop w:val="0"/>
      <w:marBottom w:val="0"/>
      <w:divBdr>
        <w:top w:val="none" w:sz="0" w:space="0" w:color="auto"/>
        <w:left w:val="none" w:sz="0" w:space="0" w:color="auto"/>
        <w:bottom w:val="none" w:sz="0" w:space="0" w:color="auto"/>
        <w:right w:val="none" w:sz="0" w:space="0" w:color="auto"/>
      </w:divBdr>
    </w:div>
    <w:div w:id="647168099">
      <w:bodyDiv w:val="1"/>
      <w:marLeft w:val="0"/>
      <w:marRight w:val="0"/>
      <w:marTop w:val="0"/>
      <w:marBottom w:val="0"/>
      <w:divBdr>
        <w:top w:val="none" w:sz="0" w:space="0" w:color="auto"/>
        <w:left w:val="none" w:sz="0" w:space="0" w:color="auto"/>
        <w:bottom w:val="none" w:sz="0" w:space="0" w:color="auto"/>
        <w:right w:val="none" w:sz="0" w:space="0" w:color="auto"/>
      </w:divBdr>
    </w:div>
    <w:div w:id="648629138">
      <w:bodyDiv w:val="1"/>
      <w:marLeft w:val="0"/>
      <w:marRight w:val="0"/>
      <w:marTop w:val="0"/>
      <w:marBottom w:val="0"/>
      <w:divBdr>
        <w:top w:val="none" w:sz="0" w:space="0" w:color="auto"/>
        <w:left w:val="none" w:sz="0" w:space="0" w:color="auto"/>
        <w:bottom w:val="none" w:sz="0" w:space="0" w:color="auto"/>
        <w:right w:val="none" w:sz="0" w:space="0" w:color="auto"/>
      </w:divBdr>
    </w:div>
    <w:div w:id="659164826">
      <w:bodyDiv w:val="1"/>
      <w:marLeft w:val="0"/>
      <w:marRight w:val="0"/>
      <w:marTop w:val="0"/>
      <w:marBottom w:val="0"/>
      <w:divBdr>
        <w:top w:val="none" w:sz="0" w:space="0" w:color="auto"/>
        <w:left w:val="none" w:sz="0" w:space="0" w:color="auto"/>
        <w:bottom w:val="none" w:sz="0" w:space="0" w:color="auto"/>
        <w:right w:val="none" w:sz="0" w:space="0" w:color="auto"/>
      </w:divBdr>
    </w:div>
    <w:div w:id="712928838">
      <w:bodyDiv w:val="1"/>
      <w:marLeft w:val="0"/>
      <w:marRight w:val="0"/>
      <w:marTop w:val="0"/>
      <w:marBottom w:val="0"/>
      <w:divBdr>
        <w:top w:val="none" w:sz="0" w:space="0" w:color="auto"/>
        <w:left w:val="none" w:sz="0" w:space="0" w:color="auto"/>
        <w:bottom w:val="none" w:sz="0" w:space="0" w:color="auto"/>
        <w:right w:val="none" w:sz="0" w:space="0" w:color="auto"/>
      </w:divBdr>
    </w:div>
    <w:div w:id="718935429">
      <w:bodyDiv w:val="1"/>
      <w:marLeft w:val="0"/>
      <w:marRight w:val="0"/>
      <w:marTop w:val="0"/>
      <w:marBottom w:val="0"/>
      <w:divBdr>
        <w:top w:val="none" w:sz="0" w:space="0" w:color="auto"/>
        <w:left w:val="none" w:sz="0" w:space="0" w:color="auto"/>
        <w:bottom w:val="none" w:sz="0" w:space="0" w:color="auto"/>
        <w:right w:val="none" w:sz="0" w:space="0" w:color="auto"/>
      </w:divBdr>
    </w:div>
    <w:div w:id="740450489">
      <w:bodyDiv w:val="1"/>
      <w:marLeft w:val="0"/>
      <w:marRight w:val="0"/>
      <w:marTop w:val="0"/>
      <w:marBottom w:val="0"/>
      <w:divBdr>
        <w:top w:val="none" w:sz="0" w:space="0" w:color="auto"/>
        <w:left w:val="none" w:sz="0" w:space="0" w:color="auto"/>
        <w:bottom w:val="none" w:sz="0" w:space="0" w:color="auto"/>
        <w:right w:val="none" w:sz="0" w:space="0" w:color="auto"/>
      </w:divBdr>
      <w:divsChild>
        <w:div w:id="427195368">
          <w:marLeft w:val="274"/>
          <w:marRight w:val="0"/>
          <w:marTop w:val="0"/>
          <w:marBottom w:val="0"/>
          <w:divBdr>
            <w:top w:val="none" w:sz="0" w:space="0" w:color="auto"/>
            <w:left w:val="none" w:sz="0" w:space="0" w:color="auto"/>
            <w:bottom w:val="none" w:sz="0" w:space="0" w:color="auto"/>
            <w:right w:val="none" w:sz="0" w:space="0" w:color="auto"/>
          </w:divBdr>
        </w:div>
      </w:divsChild>
    </w:div>
    <w:div w:id="782457382">
      <w:bodyDiv w:val="1"/>
      <w:marLeft w:val="0"/>
      <w:marRight w:val="0"/>
      <w:marTop w:val="0"/>
      <w:marBottom w:val="0"/>
      <w:divBdr>
        <w:top w:val="none" w:sz="0" w:space="0" w:color="auto"/>
        <w:left w:val="none" w:sz="0" w:space="0" w:color="auto"/>
        <w:bottom w:val="none" w:sz="0" w:space="0" w:color="auto"/>
        <w:right w:val="none" w:sz="0" w:space="0" w:color="auto"/>
      </w:divBdr>
    </w:div>
    <w:div w:id="802960834">
      <w:bodyDiv w:val="1"/>
      <w:marLeft w:val="0"/>
      <w:marRight w:val="0"/>
      <w:marTop w:val="0"/>
      <w:marBottom w:val="0"/>
      <w:divBdr>
        <w:top w:val="none" w:sz="0" w:space="0" w:color="auto"/>
        <w:left w:val="none" w:sz="0" w:space="0" w:color="auto"/>
        <w:bottom w:val="none" w:sz="0" w:space="0" w:color="auto"/>
        <w:right w:val="none" w:sz="0" w:space="0" w:color="auto"/>
      </w:divBdr>
    </w:div>
    <w:div w:id="814756710">
      <w:bodyDiv w:val="1"/>
      <w:marLeft w:val="0"/>
      <w:marRight w:val="0"/>
      <w:marTop w:val="0"/>
      <w:marBottom w:val="0"/>
      <w:divBdr>
        <w:top w:val="none" w:sz="0" w:space="0" w:color="auto"/>
        <w:left w:val="none" w:sz="0" w:space="0" w:color="auto"/>
        <w:bottom w:val="none" w:sz="0" w:space="0" w:color="auto"/>
        <w:right w:val="none" w:sz="0" w:space="0" w:color="auto"/>
      </w:divBdr>
    </w:div>
    <w:div w:id="830025147">
      <w:bodyDiv w:val="1"/>
      <w:marLeft w:val="0"/>
      <w:marRight w:val="0"/>
      <w:marTop w:val="0"/>
      <w:marBottom w:val="0"/>
      <w:divBdr>
        <w:top w:val="none" w:sz="0" w:space="0" w:color="auto"/>
        <w:left w:val="none" w:sz="0" w:space="0" w:color="auto"/>
        <w:bottom w:val="none" w:sz="0" w:space="0" w:color="auto"/>
        <w:right w:val="none" w:sz="0" w:space="0" w:color="auto"/>
      </w:divBdr>
    </w:div>
    <w:div w:id="867061963">
      <w:bodyDiv w:val="1"/>
      <w:marLeft w:val="0"/>
      <w:marRight w:val="0"/>
      <w:marTop w:val="0"/>
      <w:marBottom w:val="0"/>
      <w:divBdr>
        <w:top w:val="none" w:sz="0" w:space="0" w:color="auto"/>
        <w:left w:val="none" w:sz="0" w:space="0" w:color="auto"/>
        <w:bottom w:val="none" w:sz="0" w:space="0" w:color="auto"/>
        <w:right w:val="none" w:sz="0" w:space="0" w:color="auto"/>
      </w:divBdr>
    </w:div>
    <w:div w:id="886645739">
      <w:bodyDiv w:val="1"/>
      <w:marLeft w:val="0"/>
      <w:marRight w:val="0"/>
      <w:marTop w:val="0"/>
      <w:marBottom w:val="0"/>
      <w:divBdr>
        <w:top w:val="none" w:sz="0" w:space="0" w:color="auto"/>
        <w:left w:val="none" w:sz="0" w:space="0" w:color="auto"/>
        <w:bottom w:val="none" w:sz="0" w:space="0" w:color="auto"/>
        <w:right w:val="none" w:sz="0" w:space="0" w:color="auto"/>
      </w:divBdr>
    </w:div>
    <w:div w:id="889461687">
      <w:bodyDiv w:val="1"/>
      <w:marLeft w:val="0"/>
      <w:marRight w:val="0"/>
      <w:marTop w:val="0"/>
      <w:marBottom w:val="0"/>
      <w:divBdr>
        <w:top w:val="none" w:sz="0" w:space="0" w:color="auto"/>
        <w:left w:val="none" w:sz="0" w:space="0" w:color="auto"/>
        <w:bottom w:val="none" w:sz="0" w:space="0" w:color="auto"/>
        <w:right w:val="none" w:sz="0" w:space="0" w:color="auto"/>
      </w:divBdr>
    </w:div>
    <w:div w:id="943195737">
      <w:bodyDiv w:val="1"/>
      <w:marLeft w:val="0"/>
      <w:marRight w:val="0"/>
      <w:marTop w:val="0"/>
      <w:marBottom w:val="0"/>
      <w:divBdr>
        <w:top w:val="none" w:sz="0" w:space="0" w:color="auto"/>
        <w:left w:val="none" w:sz="0" w:space="0" w:color="auto"/>
        <w:bottom w:val="none" w:sz="0" w:space="0" w:color="auto"/>
        <w:right w:val="none" w:sz="0" w:space="0" w:color="auto"/>
      </w:divBdr>
    </w:div>
    <w:div w:id="964850393">
      <w:bodyDiv w:val="1"/>
      <w:marLeft w:val="0"/>
      <w:marRight w:val="0"/>
      <w:marTop w:val="0"/>
      <w:marBottom w:val="0"/>
      <w:divBdr>
        <w:top w:val="none" w:sz="0" w:space="0" w:color="auto"/>
        <w:left w:val="none" w:sz="0" w:space="0" w:color="auto"/>
        <w:bottom w:val="none" w:sz="0" w:space="0" w:color="auto"/>
        <w:right w:val="none" w:sz="0" w:space="0" w:color="auto"/>
      </w:divBdr>
    </w:div>
    <w:div w:id="965431049">
      <w:bodyDiv w:val="1"/>
      <w:marLeft w:val="0"/>
      <w:marRight w:val="0"/>
      <w:marTop w:val="0"/>
      <w:marBottom w:val="0"/>
      <w:divBdr>
        <w:top w:val="none" w:sz="0" w:space="0" w:color="auto"/>
        <w:left w:val="none" w:sz="0" w:space="0" w:color="auto"/>
        <w:bottom w:val="none" w:sz="0" w:space="0" w:color="auto"/>
        <w:right w:val="none" w:sz="0" w:space="0" w:color="auto"/>
      </w:divBdr>
    </w:div>
    <w:div w:id="980311788">
      <w:bodyDiv w:val="1"/>
      <w:marLeft w:val="0"/>
      <w:marRight w:val="0"/>
      <w:marTop w:val="0"/>
      <w:marBottom w:val="0"/>
      <w:divBdr>
        <w:top w:val="none" w:sz="0" w:space="0" w:color="auto"/>
        <w:left w:val="none" w:sz="0" w:space="0" w:color="auto"/>
        <w:bottom w:val="none" w:sz="0" w:space="0" w:color="auto"/>
        <w:right w:val="none" w:sz="0" w:space="0" w:color="auto"/>
      </w:divBdr>
    </w:div>
    <w:div w:id="987514520">
      <w:bodyDiv w:val="1"/>
      <w:marLeft w:val="0"/>
      <w:marRight w:val="0"/>
      <w:marTop w:val="0"/>
      <w:marBottom w:val="0"/>
      <w:divBdr>
        <w:top w:val="none" w:sz="0" w:space="0" w:color="auto"/>
        <w:left w:val="none" w:sz="0" w:space="0" w:color="auto"/>
        <w:bottom w:val="none" w:sz="0" w:space="0" w:color="auto"/>
        <w:right w:val="none" w:sz="0" w:space="0" w:color="auto"/>
      </w:divBdr>
    </w:div>
    <w:div w:id="1013874583">
      <w:bodyDiv w:val="1"/>
      <w:marLeft w:val="0"/>
      <w:marRight w:val="0"/>
      <w:marTop w:val="0"/>
      <w:marBottom w:val="0"/>
      <w:divBdr>
        <w:top w:val="none" w:sz="0" w:space="0" w:color="auto"/>
        <w:left w:val="none" w:sz="0" w:space="0" w:color="auto"/>
        <w:bottom w:val="none" w:sz="0" w:space="0" w:color="auto"/>
        <w:right w:val="none" w:sz="0" w:space="0" w:color="auto"/>
      </w:divBdr>
    </w:div>
    <w:div w:id="1015226271">
      <w:bodyDiv w:val="1"/>
      <w:marLeft w:val="0"/>
      <w:marRight w:val="0"/>
      <w:marTop w:val="0"/>
      <w:marBottom w:val="0"/>
      <w:divBdr>
        <w:top w:val="none" w:sz="0" w:space="0" w:color="auto"/>
        <w:left w:val="none" w:sz="0" w:space="0" w:color="auto"/>
        <w:bottom w:val="none" w:sz="0" w:space="0" w:color="auto"/>
        <w:right w:val="none" w:sz="0" w:space="0" w:color="auto"/>
      </w:divBdr>
    </w:div>
    <w:div w:id="1022782773">
      <w:bodyDiv w:val="1"/>
      <w:marLeft w:val="0"/>
      <w:marRight w:val="0"/>
      <w:marTop w:val="0"/>
      <w:marBottom w:val="0"/>
      <w:divBdr>
        <w:top w:val="none" w:sz="0" w:space="0" w:color="auto"/>
        <w:left w:val="none" w:sz="0" w:space="0" w:color="auto"/>
        <w:bottom w:val="none" w:sz="0" w:space="0" w:color="auto"/>
        <w:right w:val="none" w:sz="0" w:space="0" w:color="auto"/>
      </w:divBdr>
    </w:div>
    <w:div w:id="1025865999">
      <w:bodyDiv w:val="1"/>
      <w:marLeft w:val="0"/>
      <w:marRight w:val="0"/>
      <w:marTop w:val="0"/>
      <w:marBottom w:val="0"/>
      <w:divBdr>
        <w:top w:val="none" w:sz="0" w:space="0" w:color="auto"/>
        <w:left w:val="none" w:sz="0" w:space="0" w:color="auto"/>
        <w:bottom w:val="none" w:sz="0" w:space="0" w:color="auto"/>
        <w:right w:val="none" w:sz="0" w:space="0" w:color="auto"/>
      </w:divBdr>
    </w:div>
    <w:div w:id="1052853396">
      <w:bodyDiv w:val="1"/>
      <w:marLeft w:val="0"/>
      <w:marRight w:val="0"/>
      <w:marTop w:val="0"/>
      <w:marBottom w:val="0"/>
      <w:divBdr>
        <w:top w:val="none" w:sz="0" w:space="0" w:color="auto"/>
        <w:left w:val="none" w:sz="0" w:space="0" w:color="auto"/>
        <w:bottom w:val="none" w:sz="0" w:space="0" w:color="auto"/>
        <w:right w:val="none" w:sz="0" w:space="0" w:color="auto"/>
      </w:divBdr>
    </w:div>
    <w:div w:id="1056664338">
      <w:bodyDiv w:val="1"/>
      <w:marLeft w:val="0"/>
      <w:marRight w:val="0"/>
      <w:marTop w:val="0"/>
      <w:marBottom w:val="0"/>
      <w:divBdr>
        <w:top w:val="none" w:sz="0" w:space="0" w:color="auto"/>
        <w:left w:val="none" w:sz="0" w:space="0" w:color="auto"/>
        <w:bottom w:val="none" w:sz="0" w:space="0" w:color="auto"/>
        <w:right w:val="none" w:sz="0" w:space="0" w:color="auto"/>
      </w:divBdr>
    </w:div>
    <w:div w:id="1111824809">
      <w:bodyDiv w:val="1"/>
      <w:marLeft w:val="0"/>
      <w:marRight w:val="0"/>
      <w:marTop w:val="0"/>
      <w:marBottom w:val="0"/>
      <w:divBdr>
        <w:top w:val="none" w:sz="0" w:space="0" w:color="auto"/>
        <w:left w:val="none" w:sz="0" w:space="0" w:color="auto"/>
        <w:bottom w:val="none" w:sz="0" w:space="0" w:color="auto"/>
        <w:right w:val="none" w:sz="0" w:space="0" w:color="auto"/>
      </w:divBdr>
    </w:div>
    <w:div w:id="1112238779">
      <w:bodyDiv w:val="1"/>
      <w:marLeft w:val="0"/>
      <w:marRight w:val="0"/>
      <w:marTop w:val="0"/>
      <w:marBottom w:val="0"/>
      <w:divBdr>
        <w:top w:val="none" w:sz="0" w:space="0" w:color="auto"/>
        <w:left w:val="none" w:sz="0" w:space="0" w:color="auto"/>
        <w:bottom w:val="none" w:sz="0" w:space="0" w:color="auto"/>
        <w:right w:val="none" w:sz="0" w:space="0" w:color="auto"/>
      </w:divBdr>
    </w:div>
    <w:div w:id="1154836214">
      <w:bodyDiv w:val="1"/>
      <w:marLeft w:val="0"/>
      <w:marRight w:val="0"/>
      <w:marTop w:val="0"/>
      <w:marBottom w:val="0"/>
      <w:divBdr>
        <w:top w:val="none" w:sz="0" w:space="0" w:color="auto"/>
        <w:left w:val="none" w:sz="0" w:space="0" w:color="auto"/>
        <w:bottom w:val="none" w:sz="0" w:space="0" w:color="auto"/>
        <w:right w:val="none" w:sz="0" w:space="0" w:color="auto"/>
      </w:divBdr>
    </w:div>
    <w:div w:id="1285311498">
      <w:bodyDiv w:val="1"/>
      <w:marLeft w:val="0"/>
      <w:marRight w:val="0"/>
      <w:marTop w:val="0"/>
      <w:marBottom w:val="0"/>
      <w:divBdr>
        <w:top w:val="none" w:sz="0" w:space="0" w:color="auto"/>
        <w:left w:val="none" w:sz="0" w:space="0" w:color="auto"/>
        <w:bottom w:val="none" w:sz="0" w:space="0" w:color="auto"/>
        <w:right w:val="none" w:sz="0" w:space="0" w:color="auto"/>
      </w:divBdr>
    </w:div>
    <w:div w:id="1310793772">
      <w:bodyDiv w:val="1"/>
      <w:marLeft w:val="0"/>
      <w:marRight w:val="0"/>
      <w:marTop w:val="0"/>
      <w:marBottom w:val="0"/>
      <w:divBdr>
        <w:top w:val="none" w:sz="0" w:space="0" w:color="auto"/>
        <w:left w:val="none" w:sz="0" w:space="0" w:color="auto"/>
        <w:bottom w:val="none" w:sz="0" w:space="0" w:color="auto"/>
        <w:right w:val="none" w:sz="0" w:space="0" w:color="auto"/>
      </w:divBdr>
    </w:div>
    <w:div w:id="1321806729">
      <w:bodyDiv w:val="1"/>
      <w:marLeft w:val="0"/>
      <w:marRight w:val="0"/>
      <w:marTop w:val="0"/>
      <w:marBottom w:val="0"/>
      <w:divBdr>
        <w:top w:val="none" w:sz="0" w:space="0" w:color="auto"/>
        <w:left w:val="none" w:sz="0" w:space="0" w:color="auto"/>
        <w:bottom w:val="none" w:sz="0" w:space="0" w:color="auto"/>
        <w:right w:val="none" w:sz="0" w:space="0" w:color="auto"/>
      </w:divBdr>
    </w:div>
    <w:div w:id="1359892232">
      <w:bodyDiv w:val="1"/>
      <w:marLeft w:val="0"/>
      <w:marRight w:val="0"/>
      <w:marTop w:val="0"/>
      <w:marBottom w:val="0"/>
      <w:divBdr>
        <w:top w:val="none" w:sz="0" w:space="0" w:color="auto"/>
        <w:left w:val="none" w:sz="0" w:space="0" w:color="auto"/>
        <w:bottom w:val="none" w:sz="0" w:space="0" w:color="auto"/>
        <w:right w:val="none" w:sz="0" w:space="0" w:color="auto"/>
      </w:divBdr>
    </w:div>
    <w:div w:id="1429109788">
      <w:bodyDiv w:val="1"/>
      <w:marLeft w:val="0"/>
      <w:marRight w:val="0"/>
      <w:marTop w:val="0"/>
      <w:marBottom w:val="0"/>
      <w:divBdr>
        <w:top w:val="none" w:sz="0" w:space="0" w:color="auto"/>
        <w:left w:val="none" w:sz="0" w:space="0" w:color="auto"/>
        <w:bottom w:val="none" w:sz="0" w:space="0" w:color="auto"/>
        <w:right w:val="none" w:sz="0" w:space="0" w:color="auto"/>
      </w:divBdr>
    </w:div>
    <w:div w:id="1429232350">
      <w:bodyDiv w:val="1"/>
      <w:marLeft w:val="0"/>
      <w:marRight w:val="0"/>
      <w:marTop w:val="0"/>
      <w:marBottom w:val="0"/>
      <w:divBdr>
        <w:top w:val="none" w:sz="0" w:space="0" w:color="auto"/>
        <w:left w:val="none" w:sz="0" w:space="0" w:color="auto"/>
        <w:bottom w:val="none" w:sz="0" w:space="0" w:color="auto"/>
        <w:right w:val="none" w:sz="0" w:space="0" w:color="auto"/>
      </w:divBdr>
      <w:divsChild>
        <w:div w:id="1718159076">
          <w:marLeft w:val="374"/>
          <w:marRight w:val="0"/>
          <w:marTop w:val="0"/>
          <w:marBottom w:val="0"/>
          <w:divBdr>
            <w:top w:val="none" w:sz="0" w:space="0" w:color="auto"/>
            <w:left w:val="none" w:sz="0" w:space="0" w:color="auto"/>
            <w:bottom w:val="none" w:sz="0" w:space="0" w:color="auto"/>
            <w:right w:val="none" w:sz="0" w:space="0" w:color="auto"/>
          </w:divBdr>
        </w:div>
      </w:divsChild>
    </w:div>
    <w:div w:id="1464079821">
      <w:bodyDiv w:val="1"/>
      <w:marLeft w:val="0"/>
      <w:marRight w:val="0"/>
      <w:marTop w:val="0"/>
      <w:marBottom w:val="0"/>
      <w:divBdr>
        <w:top w:val="none" w:sz="0" w:space="0" w:color="auto"/>
        <w:left w:val="none" w:sz="0" w:space="0" w:color="auto"/>
        <w:bottom w:val="none" w:sz="0" w:space="0" w:color="auto"/>
        <w:right w:val="none" w:sz="0" w:space="0" w:color="auto"/>
      </w:divBdr>
      <w:divsChild>
        <w:div w:id="1574579796">
          <w:marLeft w:val="547"/>
          <w:marRight w:val="0"/>
          <w:marTop w:val="0"/>
          <w:marBottom w:val="0"/>
          <w:divBdr>
            <w:top w:val="none" w:sz="0" w:space="0" w:color="auto"/>
            <w:left w:val="none" w:sz="0" w:space="0" w:color="auto"/>
            <w:bottom w:val="none" w:sz="0" w:space="0" w:color="auto"/>
            <w:right w:val="none" w:sz="0" w:space="0" w:color="auto"/>
          </w:divBdr>
        </w:div>
      </w:divsChild>
    </w:div>
    <w:div w:id="1469855983">
      <w:bodyDiv w:val="1"/>
      <w:marLeft w:val="0"/>
      <w:marRight w:val="0"/>
      <w:marTop w:val="0"/>
      <w:marBottom w:val="0"/>
      <w:divBdr>
        <w:top w:val="none" w:sz="0" w:space="0" w:color="auto"/>
        <w:left w:val="none" w:sz="0" w:space="0" w:color="auto"/>
        <w:bottom w:val="none" w:sz="0" w:space="0" w:color="auto"/>
        <w:right w:val="none" w:sz="0" w:space="0" w:color="auto"/>
      </w:divBdr>
    </w:div>
    <w:div w:id="1522931985">
      <w:bodyDiv w:val="1"/>
      <w:marLeft w:val="0"/>
      <w:marRight w:val="0"/>
      <w:marTop w:val="0"/>
      <w:marBottom w:val="0"/>
      <w:divBdr>
        <w:top w:val="none" w:sz="0" w:space="0" w:color="auto"/>
        <w:left w:val="none" w:sz="0" w:space="0" w:color="auto"/>
        <w:bottom w:val="none" w:sz="0" w:space="0" w:color="auto"/>
        <w:right w:val="none" w:sz="0" w:space="0" w:color="auto"/>
      </w:divBdr>
    </w:div>
    <w:div w:id="1586961648">
      <w:bodyDiv w:val="1"/>
      <w:marLeft w:val="0"/>
      <w:marRight w:val="0"/>
      <w:marTop w:val="0"/>
      <w:marBottom w:val="0"/>
      <w:divBdr>
        <w:top w:val="none" w:sz="0" w:space="0" w:color="auto"/>
        <w:left w:val="none" w:sz="0" w:space="0" w:color="auto"/>
        <w:bottom w:val="none" w:sz="0" w:space="0" w:color="auto"/>
        <w:right w:val="none" w:sz="0" w:space="0" w:color="auto"/>
      </w:divBdr>
    </w:div>
    <w:div w:id="1601986916">
      <w:bodyDiv w:val="1"/>
      <w:marLeft w:val="0"/>
      <w:marRight w:val="0"/>
      <w:marTop w:val="0"/>
      <w:marBottom w:val="0"/>
      <w:divBdr>
        <w:top w:val="none" w:sz="0" w:space="0" w:color="auto"/>
        <w:left w:val="none" w:sz="0" w:space="0" w:color="auto"/>
        <w:bottom w:val="none" w:sz="0" w:space="0" w:color="auto"/>
        <w:right w:val="none" w:sz="0" w:space="0" w:color="auto"/>
      </w:divBdr>
    </w:div>
    <w:div w:id="1703483330">
      <w:bodyDiv w:val="1"/>
      <w:marLeft w:val="0"/>
      <w:marRight w:val="0"/>
      <w:marTop w:val="0"/>
      <w:marBottom w:val="0"/>
      <w:divBdr>
        <w:top w:val="none" w:sz="0" w:space="0" w:color="auto"/>
        <w:left w:val="none" w:sz="0" w:space="0" w:color="auto"/>
        <w:bottom w:val="none" w:sz="0" w:space="0" w:color="auto"/>
        <w:right w:val="none" w:sz="0" w:space="0" w:color="auto"/>
      </w:divBdr>
    </w:div>
    <w:div w:id="1722092807">
      <w:bodyDiv w:val="1"/>
      <w:marLeft w:val="0"/>
      <w:marRight w:val="0"/>
      <w:marTop w:val="0"/>
      <w:marBottom w:val="0"/>
      <w:divBdr>
        <w:top w:val="none" w:sz="0" w:space="0" w:color="auto"/>
        <w:left w:val="none" w:sz="0" w:space="0" w:color="auto"/>
        <w:bottom w:val="none" w:sz="0" w:space="0" w:color="auto"/>
        <w:right w:val="none" w:sz="0" w:space="0" w:color="auto"/>
      </w:divBdr>
    </w:div>
    <w:div w:id="1726830442">
      <w:bodyDiv w:val="1"/>
      <w:marLeft w:val="0"/>
      <w:marRight w:val="0"/>
      <w:marTop w:val="0"/>
      <w:marBottom w:val="0"/>
      <w:divBdr>
        <w:top w:val="none" w:sz="0" w:space="0" w:color="auto"/>
        <w:left w:val="none" w:sz="0" w:space="0" w:color="auto"/>
        <w:bottom w:val="none" w:sz="0" w:space="0" w:color="auto"/>
        <w:right w:val="none" w:sz="0" w:space="0" w:color="auto"/>
      </w:divBdr>
    </w:div>
    <w:div w:id="1751807643">
      <w:bodyDiv w:val="1"/>
      <w:marLeft w:val="0"/>
      <w:marRight w:val="0"/>
      <w:marTop w:val="0"/>
      <w:marBottom w:val="0"/>
      <w:divBdr>
        <w:top w:val="none" w:sz="0" w:space="0" w:color="auto"/>
        <w:left w:val="none" w:sz="0" w:space="0" w:color="auto"/>
        <w:bottom w:val="none" w:sz="0" w:space="0" w:color="auto"/>
        <w:right w:val="none" w:sz="0" w:space="0" w:color="auto"/>
      </w:divBdr>
    </w:div>
    <w:div w:id="1753549959">
      <w:bodyDiv w:val="1"/>
      <w:marLeft w:val="0"/>
      <w:marRight w:val="0"/>
      <w:marTop w:val="0"/>
      <w:marBottom w:val="0"/>
      <w:divBdr>
        <w:top w:val="none" w:sz="0" w:space="0" w:color="auto"/>
        <w:left w:val="none" w:sz="0" w:space="0" w:color="auto"/>
        <w:bottom w:val="none" w:sz="0" w:space="0" w:color="auto"/>
        <w:right w:val="none" w:sz="0" w:space="0" w:color="auto"/>
      </w:divBdr>
    </w:div>
    <w:div w:id="1770352628">
      <w:bodyDiv w:val="1"/>
      <w:marLeft w:val="0"/>
      <w:marRight w:val="0"/>
      <w:marTop w:val="0"/>
      <w:marBottom w:val="0"/>
      <w:divBdr>
        <w:top w:val="none" w:sz="0" w:space="0" w:color="auto"/>
        <w:left w:val="none" w:sz="0" w:space="0" w:color="auto"/>
        <w:bottom w:val="none" w:sz="0" w:space="0" w:color="auto"/>
        <w:right w:val="none" w:sz="0" w:space="0" w:color="auto"/>
      </w:divBdr>
    </w:div>
    <w:div w:id="1777558607">
      <w:bodyDiv w:val="1"/>
      <w:marLeft w:val="0"/>
      <w:marRight w:val="0"/>
      <w:marTop w:val="0"/>
      <w:marBottom w:val="0"/>
      <w:divBdr>
        <w:top w:val="none" w:sz="0" w:space="0" w:color="auto"/>
        <w:left w:val="none" w:sz="0" w:space="0" w:color="auto"/>
        <w:bottom w:val="none" w:sz="0" w:space="0" w:color="auto"/>
        <w:right w:val="none" w:sz="0" w:space="0" w:color="auto"/>
      </w:divBdr>
    </w:div>
    <w:div w:id="1789936002">
      <w:bodyDiv w:val="1"/>
      <w:marLeft w:val="0"/>
      <w:marRight w:val="0"/>
      <w:marTop w:val="0"/>
      <w:marBottom w:val="0"/>
      <w:divBdr>
        <w:top w:val="none" w:sz="0" w:space="0" w:color="auto"/>
        <w:left w:val="none" w:sz="0" w:space="0" w:color="auto"/>
        <w:bottom w:val="none" w:sz="0" w:space="0" w:color="auto"/>
        <w:right w:val="none" w:sz="0" w:space="0" w:color="auto"/>
      </w:divBdr>
    </w:div>
    <w:div w:id="1842621993">
      <w:bodyDiv w:val="1"/>
      <w:marLeft w:val="0"/>
      <w:marRight w:val="0"/>
      <w:marTop w:val="0"/>
      <w:marBottom w:val="0"/>
      <w:divBdr>
        <w:top w:val="none" w:sz="0" w:space="0" w:color="auto"/>
        <w:left w:val="none" w:sz="0" w:space="0" w:color="auto"/>
        <w:bottom w:val="none" w:sz="0" w:space="0" w:color="auto"/>
        <w:right w:val="none" w:sz="0" w:space="0" w:color="auto"/>
      </w:divBdr>
    </w:div>
    <w:div w:id="1853909551">
      <w:bodyDiv w:val="1"/>
      <w:marLeft w:val="0"/>
      <w:marRight w:val="0"/>
      <w:marTop w:val="0"/>
      <w:marBottom w:val="0"/>
      <w:divBdr>
        <w:top w:val="none" w:sz="0" w:space="0" w:color="auto"/>
        <w:left w:val="none" w:sz="0" w:space="0" w:color="auto"/>
        <w:bottom w:val="none" w:sz="0" w:space="0" w:color="auto"/>
        <w:right w:val="none" w:sz="0" w:space="0" w:color="auto"/>
      </w:divBdr>
      <w:divsChild>
        <w:div w:id="581332148">
          <w:marLeft w:val="374"/>
          <w:marRight w:val="0"/>
          <w:marTop w:val="0"/>
          <w:marBottom w:val="0"/>
          <w:divBdr>
            <w:top w:val="none" w:sz="0" w:space="0" w:color="auto"/>
            <w:left w:val="none" w:sz="0" w:space="0" w:color="auto"/>
            <w:bottom w:val="none" w:sz="0" w:space="0" w:color="auto"/>
            <w:right w:val="none" w:sz="0" w:space="0" w:color="auto"/>
          </w:divBdr>
        </w:div>
      </w:divsChild>
    </w:div>
    <w:div w:id="1854219024">
      <w:bodyDiv w:val="1"/>
      <w:marLeft w:val="0"/>
      <w:marRight w:val="0"/>
      <w:marTop w:val="0"/>
      <w:marBottom w:val="0"/>
      <w:divBdr>
        <w:top w:val="none" w:sz="0" w:space="0" w:color="auto"/>
        <w:left w:val="none" w:sz="0" w:space="0" w:color="auto"/>
        <w:bottom w:val="none" w:sz="0" w:space="0" w:color="auto"/>
        <w:right w:val="none" w:sz="0" w:space="0" w:color="auto"/>
      </w:divBdr>
    </w:div>
    <w:div w:id="1919247790">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30849177">
      <w:bodyDiv w:val="1"/>
      <w:marLeft w:val="0"/>
      <w:marRight w:val="0"/>
      <w:marTop w:val="0"/>
      <w:marBottom w:val="0"/>
      <w:divBdr>
        <w:top w:val="none" w:sz="0" w:space="0" w:color="auto"/>
        <w:left w:val="none" w:sz="0" w:space="0" w:color="auto"/>
        <w:bottom w:val="none" w:sz="0" w:space="0" w:color="auto"/>
        <w:right w:val="none" w:sz="0" w:space="0" w:color="auto"/>
      </w:divBdr>
    </w:div>
    <w:div w:id="1939024568">
      <w:bodyDiv w:val="1"/>
      <w:marLeft w:val="0"/>
      <w:marRight w:val="0"/>
      <w:marTop w:val="0"/>
      <w:marBottom w:val="0"/>
      <w:divBdr>
        <w:top w:val="none" w:sz="0" w:space="0" w:color="auto"/>
        <w:left w:val="none" w:sz="0" w:space="0" w:color="auto"/>
        <w:bottom w:val="none" w:sz="0" w:space="0" w:color="auto"/>
        <w:right w:val="none" w:sz="0" w:space="0" w:color="auto"/>
      </w:divBdr>
    </w:div>
    <w:div w:id="1941134103">
      <w:bodyDiv w:val="1"/>
      <w:marLeft w:val="0"/>
      <w:marRight w:val="0"/>
      <w:marTop w:val="0"/>
      <w:marBottom w:val="0"/>
      <w:divBdr>
        <w:top w:val="none" w:sz="0" w:space="0" w:color="auto"/>
        <w:left w:val="none" w:sz="0" w:space="0" w:color="auto"/>
        <w:bottom w:val="none" w:sz="0" w:space="0" w:color="auto"/>
        <w:right w:val="none" w:sz="0" w:space="0" w:color="auto"/>
      </w:divBdr>
    </w:div>
    <w:div w:id="1958831028">
      <w:bodyDiv w:val="1"/>
      <w:marLeft w:val="0"/>
      <w:marRight w:val="0"/>
      <w:marTop w:val="0"/>
      <w:marBottom w:val="0"/>
      <w:divBdr>
        <w:top w:val="none" w:sz="0" w:space="0" w:color="auto"/>
        <w:left w:val="none" w:sz="0" w:space="0" w:color="auto"/>
        <w:bottom w:val="none" w:sz="0" w:space="0" w:color="auto"/>
        <w:right w:val="none" w:sz="0" w:space="0" w:color="auto"/>
      </w:divBdr>
    </w:div>
    <w:div w:id="2008051236">
      <w:bodyDiv w:val="1"/>
      <w:marLeft w:val="0"/>
      <w:marRight w:val="0"/>
      <w:marTop w:val="0"/>
      <w:marBottom w:val="0"/>
      <w:divBdr>
        <w:top w:val="none" w:sz="0" w:space="0" w:color="auto"/>
        <w:left w:val="none" w:sz="0" w:space="0" w:color="auto"/>
        <w:bottom w:val="none" w:sz="0" w:space="0" w:color="auto"/>
        <w:right w:val="none" w:sz="0" w:space="0" w:color="auto"/>
      </w:divBdr>
      <w:divsChild>
        <w:div w:id="825702821">
          <w:marLeft w:val="274"/>
          <w:marRight w:val="0"/>
          <w:marTop w:val="0"/>
          <w:marBottom w:val="0"/>
          <w:divBdr>
            <w:top w:val="none" w:sz="0" w:space="0" w:color="auto"/>
            <w:left w:val="none" w:sz="0" w:space="0" w:color="auto"/>
            <w:bottom w:val="none" w:sz="0" w:space="0" w:color="auto"/>
            <w:right w:val="none" w:sz="0" w:space="0" w:color="auto"/>
          </w:divBdr>
        </w:div>
      </w:divsChild>
    </w:div>
    <w:div w:id="2011642698">
      <w:bodyDiv w:val="1"/>
      <w:marLeft w:val="0"/>
      <w:marRight w:val="0"/>
      <w:marTop w:val="0"/>
      <w:marBottom w:val="0"/>
      <w:divBdr>
        <w:top w:val="none" w:sz="0" w:space="0" w:color="auto"/>
        <w:left w:val="none" w:sz="0" w:space="0" w:color="auto"/>
        <w:bottom w:val="none" w:sz="0" w:space="0" w:color="auto"/>
        <w:right w:val="none" w:sz="0" w:space="0" w:color="auto"/>
      </w:divBdr>
    </w:div>
    <w:div w:id="2013295581">
      <w:bodyDiv w:val="1"/>
      <w:marLeft w:val="0"/>
      <w:marRight w:val="0"/>
      <w:marTop w:val="0"/>
      <w:marBottom w:val="0"/>
      <w:divBdr>
        <w:top w:val="none" w:sz="0" w:space="0" w:color="auto"/>
        <w:left w:val="none" w:sz="0" w:space="0" w:color="auto"/>
        <w:bottom w:val="none" w:sz="0" w:space="0" w:color="auto"/>
        <w:right w:val="none" w:sz="0" w:space="0" w:color="auto"/>
      </w:divBdr>
    </w:div>
    <w:div w:id="2026318708">
      <w:bodyDiv w:val="1"/>
      <w:marLeft w:val="0"/>
      <w:marRight w:val="0"/>
      <w:marTop w:val="0"/>
      <w:marBottom w:val="0"/>
      <w:divBdr>
        <w:top w:val="none" w:sz="0" w:space="0" w:color="auto"/>
        <w:left w:val="none" w:sz="0" w:space="0" w:color="auto"/>
        <w:bottom w:val="none" w:sz="0" w:space="0" w:color="auto"/>
        <w:right w:val="none" w:sz="0" w:space="0" w:color="auto"/>
      </w:divBdr>
      <w:divsChild>
        <w:div w:id="227033115">
          <w:marLeft w:val="374"/>
          <w:marRight w:val="0"/>
          <w:marTop w:val="0"/>
          <w:marBottom w:val="0"/>
          <w:divBdr>
            <w:top w:val="none" w:sz="0" w:space="0" w:color="auto"/>
            <w:left w:val="none" w:sz="0" w:space="0" w:color="auto"/>
            <w:bottom w:val="none" w:sz="0" w:space="0" w:color="auto"/>
            <w:right w:val="none" w:sz="0" w:space="0" w:color="auto"/>
          </w:divBdr>
        </w:div>
      </w:divsChild>
    </w:div>
    <w:div w:id="2029602717">
      <w:bodyDiv w:val="1"/>
      <w:marLeft w:val="0"/>
      <w:marRight w:val="0"/>
      <w:marTop w:val="0"/>
      <w:marBottom w:val="0"/>
      <w:divBdr>
        <w:top w:val="none" w:sz="0" w:space="0" w:color="auto"/>
        <w:left w:val="none" w:sz="0" w:space="0" w:color="auto"/>
        <w:bottom w:val="none" w:sz="0" w:space="0" w:color="auto"/>
        <w:right w:val="none" w:sz="0" w:space="0" w:color="auto"/>
      </w:divBdr>
    </w:div>
    <w:div w:id="2040348849">
      <w:bodyDiv w:val="1"/>
      <w:marLeft w:val="0"/>
      <w:marRight w:val="0"/>
      <w:marTop w:val="0"/>
      <w:marBottom w:val="0"/>
      <w:divBdr>
        <w:top w:val="none" w:sz="0" w:space="0" w:color="auto"/>
        <w:left w:val="none" w:sz="0" w:space="0" w:color="auto"/>
        <w:bottom w:val="none" w:sz="0" w:space="0" w:color="auto"/>
        <w:right w:val="none" w:sz="0" w:space="0" w:color="auto"/>
      </w:divBdr>
    </w:div>
    <w:div w:id="2047023678">
      <w:bodyDiv w:val="1"/>
      <w:marLeft w:val="0"/>
      <w:marRight w:val="0"/>
      <w:marTop w:val="0"/>
      <w:marBottom w:val="0"/>
      <w:divBdr>
        <w:top w:val="none" w:sz="0" w:space="0" w:color="auto"/>
        <w:left w:val="none" w:sz="0" w:space="0" w:color="auto"/>
        <w:bottom w:val="none" w:sz="0" w:space="0" w:color="auto"/>
        <w:right w:val="none" w:sz="0" w:space="0" w:color="auto"/>
      </w:divBdr>
    </w:div>
    <w:div w:id="2063139198">
      <w:bodyDiv w:val="1"/>
      <w:marLeft w:val="0"/>
      <w:marRight w:val="0"/>
      <w:marTop w:val="0"/>
      <w:marBottom w:val="0"/>
      <w:divBdr>
        <w:top w:val="none" w:sz="0" w:space="0" w:color="auto"/>
        <w:left w:val="none" w:sz="0" w:space="0" w:color="auto"/>
        <w:bottom w:val="none" w:sz="0" w:space="0" w:color="auto"/>
        <w:right w:val="none" w:sz="0" w:space="0" w:color="auto"/>
      </w:divBdr>
    </w:div>
    <w:div w:id="2079474149">
      <w:bodyDiv w:val="1"/>
      <w:marLeft w:val="0"/>
      <w:marRight w:val="0"/>
      <w:marTop w:val="0"/>
      <w:marBottom w:val="0"/>
      <w:divBdr>
        <w:top w:val="none" w:sz="0" w:space="0" w:color="auto"/>
        <w:left w:val="none" w:sz="0" w:space="0" w:color="auto"/>
        <w:bottom w:val="none" w:sz="0" w:space="0" w:color="auto"/>
        <w:right w:val="none" w:sz="0" w:space="0" w:color="auto"/>
      </w:divBdr>
    </w:div>
    <w:div w:id="2085108681">
      <w:bodyDiv w:val="1"/>
      <w:marLeft w:val="0"/>
      <w:marRight w:val="0"/>
      <w:marTop w:val="0"/>
      <w:marBottom w:val="0"/>
      <w:divBdr>
        <w:top w:val="none" w:sz="0" w:space="0" w:color="auto"/>
        <w:left w:val="none" w:sz="0" w:space="0" w:color="auto"/>
        <w:bottom w:val="none" w:sz="0" w:space="0" w:color="auto"/>
        <w:right w:val="none" w:sz="0" w:space="0" w:color="auto"/>
      </w:divBdr>
    </w:div>
    <w:div w:id="2096435933">
      <w:bodyDiv w:val="1"/>
      <w:marLeft w:val="0"/>
      <w:marRight w:val="0"/>
      <w:marTop w:val="0"/>
      <w:marBottom w:val="0"/>
      <w:divBdr>
        <w:top w:val="none" w:sz="0" w:space="0" w:color="auto"/>
        <w:left w:val="none" w:sz="0" w:space="0" w:color="auto"/>
        <w:bottom w:val="none" w:sz="0" w:space="0" w:color="auto"/>
        <w:right w:val="none" w:sz="0" w:space="0" w:color="auto"/>
      </w:divBdr>
    </w:div>
    <w:div w:id="2112698956">
      <w:bodyDiv w:val="1"/>
      <w:marLeft w:val="0"/>
      <w:marRight w:val="0"/>
      <w:marTop w:val="0"/>
      <w:marBottom w:val="0"/>
      <w:divBdr>
        <w:top w:val="none" w:sz="0" w:space="0" w:color="auto"/>
        <w:left w:val="none" w:sz="0" w:space="0" w:color="auto"/>
        <w:bottom w:val="none" w:sz="0" w:space="0" w:color="auto"/>
        <w:right w:val="none" w:sz="0" w:space="0" w:color="auto"/>
      </w:divBdr>
    </w:div>
    <w:div w:id="2118670892">
      <w:bodyDiv w:val="1"/>
      <w:marLeft w:val="0"/>
      <w:marRight w:val="0"/>
      <w:marTop w:val="0"/>
      <w:marBottom w:val="0"/>
      <w:divBdr>
        <w:top w:val="none" w:sz="0" w:space="0" w:color="auto"/>
        <w:left w:val="none" w:sz="0" w:space="0" w:color="auto"/>
        <w:bottom w:val="none" w:sz="0" w:space="0" w:color="auto"/>
        <w:right w:val="none" w:sz="0" w:space="0" w:color="auto"/>
      </w:divBdr>
    </w:div>
    <w:div w:id="21312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file:///N:\AFCF2\Togo\CFP\Togo%20Country%20Partnership%20Framework%20April%2017%202017%20FINAL.doc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customXml" Target="../customXml/item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Sheet1!$A$5</c:f>
              <c:strCache>
                <c:ptCount val="1"/>
                <c:pt idx="0">
                  <c:v>Togo </c:v>
                </c:pt>
              </c:strCache>
            </c:strRef>
          </c:tx>
          <c:invertIfNegative val="0"/>
          <c:dLbls>
            <c:dLbl>
              <c:idx val="53"/>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D80-4C7E-A5AD-4883C59FE0C8}"/>
                </c:ex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Sheet1!$B$3:$BC$3</c:f>
              <c:strCache>
                <c:ptCount val="54"/>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strCache>
            </c:strRef>
          </c:cat>
          <c:val>
            <c:numRef>
              <c:f>Sheet1!$B$5:$BC$5</c:f>
              <c:numCache>
                <c:formatCode>0.0</c:formatCode>
                <c:ptCount val="54"/>
                <c:pt idx="0">
                  <c:v>79.120033496865048</c:v>
                </c:pt>
                <c:pt idx="1">
                  <c:v>81.994613106347799</c:v>
                </c:pt>
                <c:pt idx="2">
                  <c:v>87.792046599536548</c:v>
                </c:pt>
                <c:pt idx="3">
                  <c:v>99.937956010461448</c:v>
                </c:pt>
                <c:pt idx="4">
                  <c:v>109.6200411900449</c:v>
                </c:pt>
                <c:pt idx="5">
                  <c:v>121.83353921989939</c:v>
                </c:pt>
                <c:pt idx="6">
                  <c:v>124.8791744675756</c:v>
                </c:pt>
                <c:pt idx="7">
                  <c:v>124.34951145928321</c:v>
                </c:pt>
                <c:pt idx="8">
                  <c:v>131.5697521585752</c:v>
                </c:pt>
                <c:pt idx="9">
                  <c:v>120.05392153570691</c:v>
                </c:pt>
                <c:pt idx="10">
                  <c:v>131.09881635759979</c:v>
                </c:pt>
                <c:pt idx="11">
                  <c:v>149.35101178805641</c:v>
                </c:pt>
                <c:pt idx="12">
                  <c:v>176.47375320289919</c:v>
                </c:pt>
                <c:pt idx="13">
                  <c:v>237.81394730486849</c:v>
                </c:pt>
                <c:pt idx="14">
                  <c:v>256.10267494543228</c:v>
                </c:pt>
                <c:pt idx="15">
                  <c:v>251.32317140572579</c:v>
                </c:pt>
                <c:pt idx="16">
                  <c:v>308.68163191835322</c:v>
                </c:pt>
                <c:pt idx="17">
                  <c:v>319.92013361276952</c:v>
                </c:pt>
                <c:pt idx="18">
                  <c:v>337.43020157571198</c:v>
                </c:pt>
                <c:pt idx="19">
                  <c:v>417.66876750216039</c:v>
                </c:pt>
                <c:pt idx="20">
                  <c:v>342.22008229440871</c:v>
                </c:pt>
                <c:pt idx="21">
                  <c:v>281.85602823398432</c:v>
                </c:pt>
                <c:pt idx="22">
                  <c:v>253.02408299134751</c:v>
                </c:pt>
                <c:pt idx="23">
                  <c:v>228.68402325082459</c:v>
                </c:pt>
                <c:pt idx="24">
                  <c:v>234.35627352001819</c:v>
                </c:pt>
                <c:pt idx="25">
                  <c:v>315.42385206644627</c:v>
                </c:pt>
                <c:pt idx="26">
                  <c:v>359.71606469565819</c:v>
                </c:pt>
                <c:pt idx="27">
                  <c:v>385.2078886921467</c:v>
                </c:pt>
                <c:pt idx="28">
                  <c:v>367.219379513143</c:v>
                </c:pt>
                <c:pt idx="29">
                  <c:v>430.01123003478421</c:v>
                </c:pt>
                <c:pt idx="30">
                  <c:v>412.2352329016403</c:v>
                </c:pt>
                <c:pt idx="31">
                  <c:v>424.90156637189142</c:v>
                </c:pt>
                <c:pt idx="32">
                  <c:v>302.22412409568352</c:v>
                </c:pt>
                <c:pt idx="33">
                  <c:v>235.03884938272401</c:v>
                </c:pt>
                <c:pt idx="34">
                  <c:v>305.62451185297721</c:v>
                </c:pt>
                <c:pt idx="35">
                  <c:v>333.5915969794745</c:v>
                </c:pt>
                <c:pt idx="36">
                  <c:v>332.62234813697728</c:v>
                </c:pt>
                <c:pt idx="37">
                  <c:v>343.22286274060752</c:v>
                </c:pt>
                <c:pt idx="38">
                  <c:v>331.97255590847681</c:v>
                </c:pt>
                <c:pt idx="39">
                  <c:v>265.50166925397951</c:v>
                </c:pt>
                <c:pt idx="40">
                  <c:v>266.13456616709681</c:v>
                </c:pt>
                <c:pt idx="41">
                  <c:v>286.7580800873431</c:v>
                </c:pt>
                <c:pt idx="42">
                  <c:v>316.79206111228922</c:v>
                </c:pt>
                <c:pt idx="43">
                  <c:v>356.83079723402142</c:v>
                </c:pt>
                <c:pt idx="44">
                  <c:v>379.18089810408742</c:v>
                </c:pt>
                <c:pt idx="45">
                  <c:v>384.28854855764791</c:v>
                </c:pt>
                <c:pt idx="46">
                  <c:v>428.40157738621741</c:v>
                </c:pt>
                <c:pt idx="47">
                  <c:v>522.62505887552288</c:v>
                </c:pt>
                <c:pt idx="48">
                  <c:v>508.54053568601933</c:v>
                </c:pt>
                <c:pt idx="49">
                  <c:v>496.48247258030642</c:v>
                </c:pt>
                <c:pt idx="50">
                  <c:v>572.02568614174629</c:v>
                </c:pt>
                <c:pt idx="51">
                  <c:v>580.49502095014054</c:v>
                </c:pt>
                <c:pt idx="52">
                  <c:v>626.17281707345671</c:v>
                </c:pt>
                <c:pt idx="53">
                  <c:v>635.04432821075943</c:v>
                </c:pt>
              </c:numCache>
            </c:numRef>
          </c:val>
          <c:extLst xmlns:c16r2="http://schemas.microsoft.com/office/drawing/2015/06/chart">
            <c:ext xmlns:c16="http://schemas.microsoft.com/office/drawing/2014/chart" uri="{C3380CC4-5D6E-409C-BE32-E72D297353CC}">
              <c16:uniqueId val="{00000001-3D80-4C7E-A5AD-4883C59FE0C8}"/>
            </c:ext>
          </c:extLst>
        </c:ser>
        <c:dLbls>
          <c:showLegendKey val="0"/>
          <c:showVal val="0"/>
          <c:showCatName val="0"/>
          <c:showSerName val="0"/>
          <c:showPercent val="0"/>
          <c:showBubbleSize val="0"/>
        </c:dLbls>
        <c:gapWidth val="150"/>
        <c:axId val="403154608"/>
        <c:axId val="403157352"/>
      </c:barChart>
      <c:lineChart>
        <c:grouping val="standard"/>
        <c:varyColors val="0"/>
        <c:ser>
          <c:idx val="2"/>
          <c:order val="1"/>
          <c:tx>
            <c:strRef>
              <c:f>Sheet1!$A$6</c:f>
              <c:strCache>
                <c:ptCount val="1"/>
                <c:pt idx="0">
                  <c:v>Afrique </c:v>
                </c:pt>
              </c:strCache>
            </c:strRef>
          </c:tx>
          <c:marker>
            <c:symbol val="none"/>
          </c:marker>
          <c:dLbls>
            <c:dLbl>
              <c:idx val="53"/>
              <c:layout>
                <c:manualLayout>
                  <c:x val="-3.6111111111111101E-2"/>
                  <c:y val="-3.24074074074073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D80-4C7E-A5AD-4883C59FE0C8}"/>
                </c:ex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Sheet1!$B$3:$BC$3</c:f>
              <c:strCache>
                <c:ptCount val="54"/>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strCache>
            </c:strRef>
          </c:cat>
          <c:val>
            <c:numRef>
              <c:f>Sheet1!$B$6:$BC$6</c:f>
              <c:numCache>
                <c:formatCode>0.0</c:formatCode>
                <c:ptCount val="54"/>
                <c:pt idx="0">
                  <c:v>130.6249868887281</c:v>
                </c:pt>
                <c:pt idx="1">
                  <c:v>138.3286525370701</c:v>
                </c:pt>
                <c:pt idx="2">
                  <c:v>154.9692613362289</c:v>
                </c:pt>
                <c:pt idx="3">
                  <c:v>147.3189909825534</c:v>
                </c:pt>
                <c:pt idx="4">
                  <c:v>159.99771481307101</c:v>
                </c:pt>
                <c:pt idx="5">
                  <c:v>168.53977560046579</c:v>
                </c:pt>
                <c:pt idx="6">
                  <c:v>162.26397255009309</c:v>
                </c:pt>
                <c:pt idx="7">
                  <c:v>169.3043058966162</c:v>
                </c:pt>
                <c:pt idx="8">
                  <c:v>189.27031448133701</c:v>
                </c:pt>
                <c:pt idx="9">
                  <c:v>217.1780946969952</c:v>
                </c:pt>
                <c:pt idx="10">
                  <c:v>215.06701013857401</c:v>
                </c:pt>
                <c:pt idx="11">
                  <c:v>236.3781064439068</c:v>
                </c:pt>
                <c:pt idx="12">
                  <c:v>294.71051790284707</c:v>
                </c:pt>
                <c:pt idx="13">
                  <c:v>374.09548700457742</c:v>
                </c:pt>
                <c:pt idx="14">
                  <c:v>401.04959167217561</c:v>
                </c:pt>
                <c:pt idx="15">
                  <c:v>424.48807234843991</c:v>
                </c:pt>
                <c:pt idx="16">
                  <c:v>453.52846811250112</c:v>
                </c:pt>
                <c:pt idx="17">
                  <c:v>492.67266643981958</c:v>
                </c:pt>
                <c:pt idx="18">
                  <c:v>572.85253543813042</c:v>
                </c:pt>
                <c:pt idx="19">
                  <c:v>700.9706513828844</c:v>
                </c:pt>
                <c:pt idx="20">
                  <c:v>685.01752354519829</c:v>
                </c:pt>
                <c:pt idx="21">
                  <c:v>622.99209984536139</c:v>
                </c:pt>
                <c:pt idx="22">
                  <c:v>564.05000329709912</c:v>
                </c:pt>
                <c:pt idx="23">
                  <c:v>522.18408603593252</c:v>
                </c:pt>
                <c:pt idx="24">
                  <c:v>473.12224249982472</c:v>
                </c:pt>
                <c:pt idx="25">
                  <c:v>509.09060238281819</c:v>
                </c:pt>
                <c:pt idx="26">
                  <c:v>582.77086011823155</c:v>
                </c:pt>
                <c:pt idx="27">
                  <c:v>594.58467602127052</c:v>
                </c:pt>
                <c:pt idx="28">
                  <c:v>604.35979754491086</c:v>
                </c:pt>
                <c:pt idx="29">
                  <c:v>588.79390568346344</c:v>
                </c:pt>
                <c:pt idx="30">
                  <c:v>588.62799788752875</c:v>
                </c:pt>
                <c:pt idx="31">
                  <c:v>565.70135860155176</c:v>
                </c:pt>
                <c:pt idx="32">
                  <c:v>523.70818302894804</c:v>
                </c:pt>
                <c:pt idx="33">
                  <c:v>505.25511651871011</c:v>
                </c:pt>
                <c:pt idx="34">
                  <c:v>569.32749997026588</c:v>
                </c:pt>
                <c:pt idx="35">
                  <c:v>573.26013817237174</c:v>
                </c:pt>
                <c:pt idx="36">
                  <c:v>576.58311944812874</c:v>
                </c:pt>
                <c:pt idx="37">
                  <c:v>529.0850730742236</c:v>
                </c:pt>
                <c:pt idx="38">
                  <c:v>517.230293216262</c:v>
                </c:pt>
                <c:pt idx="39">
                  <c:v>539.76845861217703</c:v>
                </c:pt>
                <c:pt idx="40">
                  <c:v>487.90348926985729</c:v>
                </c:pt>
                <c:pt idx="41">
                  <c:v>508.01777645960152</c:v>
                </c:pt>
                <c:pt idx="42">
                  <c:v>632.98310196379919</c:v>
                </c:pt>
                <c:pt idx="43">
                  <c:v>764.76050825617097</c:v>
                </c:pt>
                <c:pt idx="44">
                  <c:v>871.69514653723945</c:v>
                </c:pt>
                <c:pt idx="45">
                  <c:v>991.71903800925554</c:v>
                </c:pt>
                <c:pt idx="46">
                  <c:v>1123.322195827634</c:v>
                </c:pt>
                <c:pt idx="47">
                  <c:v>1242.7607379189401</c:v>
                </c:pt>
                <c:pt idx="48">
                  <c:v>1160.2552676122871</c:v>
                </c:pt>
                <c:pt idx="49">
                  <c:v>1512.350168793045</c:v>
                </c:pt>
                <c:pt idx="50">
                  <c:v>1651.3661937658071</c:v>
                </c:pt>
                <c:pt idx="51">
                  <c:v>1684.2436916906231</c:v>
                </c:pt>
                <c:pt idx="52">
                  <c:v>1722.361342008131</c:v>
                </c:pt>
                <c:pt idx="53">
                  <c:v>1759.2135645790511</c:v>
                </c:pt>
              </c:numCache>
            </c:numRef>
          </c:val>
          <c:smooth val="0"/>
          <c:extLst xmlns:c16r2="http://schemas.microsoft.com/office/drawing/2015/06/chart">
            <c:ext xmlns:c16="http://schemas.microsoft.com/office/drawing/2014/chart" uri="{C3380CC4-5D6E-409C-BE32-E72D297353CC}">
              <c16:uniqueId val="{00000003-3D80-4C7E-A5AD-4883C59FE0C8}"/>
            </c:ext>
          </c:extLst>
        </c:ser>
        <c:dLbls>
          <c:showLegendKey val="0"/>
          <c:showVal val="0"/>
          <c:showCatName val="0"/>
          <c:showSerName val="0"/>
          <c:showPercent val="0"/>
          <c:showBubbleSize val="0"/>
        </c:dLbls>
        <c:marker val="1"/>
        <c:smooth val="0"/>
        <c:axId val="403154608"/>
        <c:axId val="403157352"/>
      </c:lineChart>
      <c:catAx>
        <c:axId val="403154608"/>
        <c:scaling>
          <c:orientation val="minMax"/>
        </c:scaling>
        <c:delete val="0"/>
        <c:axPos val="b"/>
        <c:numFmt formatCode="General" sourceLinked="0"/>
        <c:majorTickMark val="out"/>
        <c:minorTickMark val="none"/>
        <c:tickLblPos val="nextTo"/>
        <c:crossAx val="403157352"/>
        <c:crosses val="autoZero"/>
        <c:auto val="1"/>
        <c:lblAlgn val="ctr"/>
        <c:lblOffset val="100"/>
        <c:noMultiLvlLbl val="0"/>
      </c:catAx>
      <c:valAx>
        <c:axId val="403157352"/>
        <c:scaling>
          <c:orientation val="minMax"/>
        </c:scaling>
        <c:delete val="0"/>
        <c:axPos val="l"/>
        <c:title>
          <c:tx>
            <c:rich>
              <a:bodyPr rot="-5400000" vert="horz"/>
              <a:lstStyle/>
              <a:p>
                <a:pPr>
                  <a:defRPr/>
                </a:pPr>
                <a:r>
                  <a:rPr lang="en-US" dirty="0"/>
                  <a:t>USD per</a:t>
                </a:r>
                <a:r>
                  <a:rPr lang="en-US" baseline="0" dirty="0"/>
                  <a:t> capita</a:t>
                </a:r>
                <a:endParaRPr lang="en-US" dirty="0"/>
              </a:p>
            </c:rich>
          </c:tx>
          <c:layout/>
          <c:overlay val="0"/>
        </c:title>
        <c:numFmt formatCode="0.0" sourceLinked="1"/>
        <c:majorTickMark val="out"/>
        <c:minorTickMark val="none"/>
        <c:tickLblPos val="nextTo"/>
        <c:crossAx val="403154608"/>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'[d986620d-3093-4712-aa28-051065fac6a0.xlsx]Data'!$D$3</c:f>
              <c:strCache>
                <c:ptCount val="1"/>
                <c:pt idx="0">
                  <c:v>GDP per capita (constant 2005 US$)</c:v>
                </c:pt>
              </c:strCache>
            </c:strRef>
          </c:tx>
          <c:spPr>
            <a:solidFill>
              <a:schemeClr val="accent2">
                <a:lumMod val="60000"/>
                <a:lumOff val="40000"/>
              </a:schemeClr>
            </a:solidFill>
            <a:ln>
              <a:noFill/>
            </a:ln>
            <a:effectLst/>
          </c:spPr>
          <c:invertIfNegative val="0"/>
          <c:cat>
            <c:strRef>
              <c:f>'[d986620d-3093-4712-aa28-051065fac6a0.xlsx]Data'!$E$1:$BG$1</c:f>
              <c:strCache>
                <c:ptCount val="55"/>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 [YR2014]</c:v>
                </c:pt>
              </c:strCache>
            </c:strRef>
          </c:cat>
          <c:val>
            <c:numRef>
              <c:f>'[d986620d-3093-4712-aa28-051065fac6a0.xlsx]Data'!$E$3:$BF$3</c:f>
              <c:numCache>
                <c:formatCode>General</c:formatCode>
                <c:ptCount val="54"/>
                <c:pt idx="0">
                  <c:v>272.52837940432909</c:v>
                </c:pt>
                <c:pt idx="1">
                  <c:v>302.43733621292279</c:v>
                </c:pt>
                <c:pt idx="2">
                  <c:v>310.88644181201698</c:v>
                </c:pt>
                <c:pt idx="3">
                  <c:v>322.62791414812523</c:v>
                </c:pt>
                <c:pt idx="4">
                  <c:v>361.99474333936939</c:v>
                </c:pt>
                <c:pt idx="5">
                  <c:v>406.56878700036242</c:v>
                </c:pt>
                <c:pt idx="6">
                  <c:v>428.42399674576359</c:v>
                </c:pt>
                <c:pt idx="7">
                  <c:v>432.15586077168678</c:v>
                </c:pt>
                <c:pt idx="8">
                  <c:v>432.794581615082</c:v>
                </c:pt>
                <c:pt idx="9">
                  <c:v>458.66068631219702</c:v>
                </c:pt>
                <c:pt idx="10">
                  <c:v>452.32020950015209</c:v>
                </c:pt>
                <c:pt idx="11">
                  <c:v>437.80481141493181</c:v>
                </c:pt>
                <c:pt idx="12">
                  <c:v>458.20828825188562</c:v>
                </c:pt>
                <c:pt idx="13">
                  <c:v>464.27179160875949</c:v>
                </c:pt>
                <c:pt idx="14">
                  <c:v>475.70593196779862</c:v>
                </c:pt>
                <c:pt idx="15">
                  <c:v>476.43442760362541</c:v>
                </c:pt>
                <c:pt idx="16">
                  <c:v>456.43257839679319</c:v>
                </c:pt>
                <c:pt idx="17">
                  <c:v>477.70693067930682</c:v>
                </c:pt>
                <c:pt idx="18">
                  <c:v>518.54965651147222</c:v>
                </c:pt>
                <c:pt idx="19">
                  <c:v>479.40184562576678</c:v>
                </c:pt>
                <c:pt idx="20">
                  <c:v>533.54039418728837</c:v>
                </c:pt>
                <c:pt idx="21">
                  <c:v>499.12010336871032</c:v>
                </c:pt>
                <c:pt idx="22">
                  <c:v>464.22807480163391</c:v>
                </c:pt>
                <c:pt idx="23">
                  <c:v>422.95898874115602</c:v>
                </c:pt>
                <c:pt idx="24">
                  <c:v>430.25086723043631</c:v>
                </c:pt>
                <c:pt idx="25">
                  <c:v>438.41980528391429</c:v>
                </c:pt>
                <c:pt idx="26">
                  <c:v>430.73817855034378</c:v>
                </c:pt>
                <c:pt idx="27">
                  <c:v>419.33251262050959</c:v>
                </c:pt>
                <c:pt idx="28">
                  <c:v>433.80066157894919</c:v>
                </c:pt>
                <c:pt idx="29">
                  <c:v>438.55235819120992</c:v>
                </c:pt>
                <c:pt idx="30">
                  <c:v>425.60766040097462</c:v>
                </c:pt>
                <c:pt idx="31">
                  <c:v>411.74528253198849</c:v>
                </c:pt>
                <c:pt idx="32">
                  <c:v>385.6681421027327</c:v>
                </c:pt>
                <c:pt idx="33">
                  <c:v>319.6633873083353</c:v>
                </c:pt>
                <c:pt idx="34">
                  <c:v>358.8492877821443</c:v>
                </c:pt>
                <c:pt idx="35">
                  <c:v>377.69891725217491</c:v>
                </c:pt>
                <c:pt idx="36">
                  <c:v>400.99519253872211</c:v>
                </c:pt>
                <c:pt idx="37">
                  <c:v>447.23181832194717</c:v>
                </c:pt>
                <c:pt idx="38">
                  <c:v>425.93716312718522</c:v>
                </c:pt>
                <c:pt idx="39">
                  <c:v>425.43499619723599</c:v>
                </c:pt>
                <c:pt idx="40">
                  <c:v>411.36182207476128</c:v>
                </c:pt>
                <c:pt idx="41">
                  <c:v>394.33688174009558</c:v>
                </c:pt>
                <c:pt idx="42">
                  <c:v>380.67699163871669</c:v>
                </c:pt>
                <c:pt idx="43">
                  <c:v>389.25950075024639</c:v>
                </c:pt>
                <c:pt idx="44">
                  <c:v>387.27966802115901</c:v>
                </c:pt>
                <c:pt idx="45">
                  <c:v>381.78201966759872</c:v>
                </c:pt>
                <c:pt idx="46">
                  <c:v>387.07858903837717</c:v>
                </c:pt>
                <c:pt idx="47">
                  <c:v>385.83609231987589</c:v>
                </c:pt>
                <c:pt idx="48">
                  <c:v>384.36475476386158</c:v>
                </c:pt>
                <c:pt idx="49">
                  <c:v>387.69345987577731</c:v>
                </c:pt>
                <c:pt idx="50">
                  <c:v>392.85505650149418</c:v>
                </c:pt>
                <c:pt idx="51">
                  <c:v>401.45478137246511</c:v>
                </c:pt>
                <c:pt idx="52">
                  <c:v>414.26970976898662</c:v>
                </c:pt>
                <c:pt idx="53">
                  <c:v>424.35185757842231</c:v>
                </c:pt>
              </c:numCache>
            </c:numRef>
          </c:val>
          <c:extLst xmlns:c16r2="http://schemas.microsoft.com/office/drawing/2015/06/chart">
            <c:ext xmlns:c16="http://schemas.microsoft.com/office/drawing/2014/chart" uri="{C3380CC4-5D6E-409C-BE32-E72D297353CC}">
              <c16:uniqueId val="{00000000-AB64-44A3-ACBD-169EAACBC06D}"/>
            </c:ext>
          </c:extLst>
        </c:ser>
        <c:dLbls>
          <c:showLegendKey val="0"/>
          <c:showVal val="0"/>
          <c:showCatName val="0"/>
          <c:showSerName val="0"/>
          <c:showPercent val="0"/>
          <c:showBubbleSize val="0"/>
        </c:dLbls>
        <c:gapWidth val="75"/>
        <c:overlap val="100"/>
        <c:axId val="404618992"/>
        <c:axId val="142438872"/>
      </c:barChart>
      <c:lineChart>
        <c:grouping val="standard"/>
        <c:varyColors val="0"/>
        <c:ser>
          <c:idx val="0"/>
          <c:order val="0"/>
          <c:tx>
            <c:strRef>
              <c:f>'[d986620d-3093-4712-aa28-051065fac6a0.xlsx]Data'!$D$2</c:f>
              <c:strCache>
                <c:ptCount val="1"/>
                <c:pt idx="0">
                  <c:v>GDP growth (annual %)</c:v>
                </c:pt>
              </c:strCache>
            </c:strRef>
          </c:tx>
          <c:spPr>
            <a:ln w="28575" cap="rnd">
              <a:solidFill>
                <a:schemeClr val="accent1"/>
              </a:solidFill>
              <a:round/>
            </a:ln>
            <a:effectLst/>
          </c:spPr>
          <c:marker>
            <c:symbol val="none"/>
          </c:marker>
          <c:cat>
            <c:strRef>
              <c:f>'[d986620d-3093-4712-aa28-051065fac6a0.xlsx]Data'!$E$1:$BG$1</c:f>
              <c:strCache>
                <c:ptCount val="55"/>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 [YR2014]</c:v>
                </c:pt>
              </c:strCache>
            </c:strRef>
          </c:cat>
          <c:val>
            <c:numRef>
              <c:f>'[d986620d-3093-4712-aa28-051065fac6a0.xlsx]Data'!$E$2:$BF$2</c:f>
              <c:numCache>
                <c:formatCode>General</c:formatCode>
                <c:ptCount val="54"/>
                <c:pt idx="1">
                  <c:v>12.1693174096589</c:v>
                </c:pt>
                <c:pt idx="2">
                  <c:v>3.7736528090343451</c:v>
                </c:pt>
                <c:pt idx="3">
                  <c:v>4.9996942754160472</c:v>
                </c:pt>
                <c:pt idx="4">
                  <c:v>14.286011280965299</c:v>
                </c:pt>
                <c:pt idx="5">
                  <c:v>15.45971270486544</c:v>
                </c:pt>
                <c:pt idx="6">
                  <c:v>9.4087190986260651</c:v>
                </c:pt>
                <c:pt idx="7">
                  <c:v>5.5003715436721601</c:v>
                </c:pt>
                <c:pt idx="8">
                  <c:v>5.0236918620330187</c:v>
                </c:pt>
                <c:pt idx="9">
                  <c:v>10.83086834056297</c:v>
                </c:pt>
                <c:pt idx="10">
                  <c:v>2.524302633113646</c:v>
                </c:pt>
                <c:pt idx="11">
                  <c:v>0</c:v>
                </c:pt>
                <c:pt idx="12">
                  <c:v>7.6251575697978016</c:v>
                </c:pt>
                <c:pt idx="13">
                  <c:v>3.837483984533796</c:v>
                </c:pt>
                <c:pt idx="14">
                  <c:v>4.8328491291313771</c:v>
                </c:pt>
                <c:pt idx="15">
                  <c:v>2.4405411826037242</c:v>
                </c:pt>
                <c:pt idx="16">
                  <c:v>-2.051522581351279</c:v>
                </c:pt>
                <c:pt idx="17">
                  <c:v>6.9590853560102346</c:v>
                </c:pt>
                <c:pt idx="18">
                  <c:v>11.045434519952639</c:v>
                </c:pt>
                <c:pt idx="19">
                  <c:v>-5.1677426521062646</c:v>
                </c:pt>
                <c:pt idx="20">
                  <c:v>14.576956119380659</c:v>
                </c:pt>
                <c:pt idx="21">
                  <c:v>-3.3151860873004608</c:v>
                </c:pt>
                <c:pt idx="22">
                  <c:v>-3.5824025449701371</c:v>
                </c:pt>
                <c:pt idx="23">
                  <c:v>-5.4140077813567729</c:v>
                </c:pt>
                <c:pt idx="24">
                  <c:v>5.555555044768715</c:v>
                </c:pt>
                <c:pt idx="25">
                  <c:v>5.5555521682320554</c:v>
                </c:pt>
                <c:pt idx="26">
                  <c:v>1.5865043037398721</c:v>
                </c:pt>
                <c:pt idx="27">
                  <c:v>0.51016218210501996</c:v>
                </c:pt>
                <c:pt idx="28">
                  <c:v>6.6423697686589662</c:v>
                </c:pt>
                <c:pt idx="29">
                  <c:v>4.0600216922502881</c:v>
                </c:pt>
                <c:pt idx="30">
                  <c:v>-0.243656142826609</c:v>
                </c:pt>
                <c:pt idx="31">
                  <c:v>-0.69996749108010203</c:v>
                </c:pt>
                <c:pt idx="32">
                  <c:v>-3.9806868143925271</c:v>
                </c:pt>
                <c:pt idx="33">
                  <c:v>-15.09582747914506</c:v>
                </c:pt>
                <c:pt idx="34">
                  <c:v>14.982414344044299</c:v>
                </c:pt>
                <c:pt idx="35">
                  <c:v>7.8458323199542797</c:v>
                </c:pt>
                <c:pt idx="36">
                  <c:v>8.8362116298840334</c:v>
                </c:pt>
                <c:pt idx="37">
                  <c:v>14.377377570746599</c:v>
                </c:pt>
                <c:pt idx="38">
                  <c:v>-2.299876557706753</c:v>
                </c:pt>
                <c:pt idx="39">
                  <c:v>2.48175142327031</c:v>
                </c:pt>
                <c:pt idx="40">
                  <c:v>-0.783479606821331</c:v>
                </c:pt>
                <c:pt idx="41">
                  <c:v>-1.6268062718186229</c:v>
                </c:pt>
                <c:pt idx="42">
                  <c:v>-0.92215101838414204</c:v>
                </c:pt>
                <c:pt idx="43">
                  <c:v>4.9543976568641597</c:v>
                </c:pt>
                <c:pt idx="44">
                  <c:v>2.119065322748142</c:v>
                </c:pt>
                <c:pt idx="45">
                  <c:v>1.1804069534446311</c:v>
                </c:pt>
                <c:pt idx="46">
                  <c:v>4.0524125487051794</c:v>
                </c:pt>
                <c:pt idx="47">
                  <c:v>2.2904538888142132</c:v>
                </c:pt>
                <c:pt idx="48">
                  <c:v>2.2254802280480712</c:v>
                </c:pt>
                <c:pt idx="49">
                  <c:v>3.5102966752256042</c:v>
                </c:pt>
                <c:pt idx="50">
                  <c:v>3.9956787703640231</c:v>
                </c:pt>
                <c:pt idx="51">
                  <c:v>4.8837639460034268</c:v>
                </c:pt>
                <c:pt idx="52">
                  <c:v>5.9124911195620484</c:v>
                </c:pt>
                <c:pt idx="53">
                  <c:v>5.1176224559852841</c:v>
                </c:pt>
              </c:numCache>
            </c:numRef>
          </c:val>
          <c:smooth val="0"/>
          <c:extLst xmlns:c16r2="http://schemas.microsoft.com/office/drawing/2015/06/chart">
            <c:ext xmlns:c16="http://schemas.microsoft.com/office/drawing/2014/chart" uri="{C3380CC4-5D6E-409C-BE32-E72D297353CC}">
              <c16:uniqueId val="{00000001-AB64-44A3-ACBD-169EAACBC06D}"/>
            </c:ext>
          </c:extLst>
        </c:ser>
        <c:dLbls>
          <c:showLegendKey val="0"/>
          <c:showVal val="0"/>
          <c:showCatName val="0"/>
          <c:showSerName val="0"/>
          <c:showPercent val="0"/>
          <c:showBubbleSize val="0"/>
        </c:dLbls>
        <c:marker val="1"/>
        <c:smooth val="0"/>
        <c:axId val="144129528"/>
        <c:axId val="144129136"/>
      </c:lineChart>
      <c:dateAx>
        <c:axId val="14412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44129136"/>
        <c:crosses val="autoZero"/>
        <c:auto val="0"/>
        <c:lblOffset val="100"/>
        <c:baseTimeUnit val="days"/>
      </c:dateAx>
      <c:valAx>
        <c:axId val="144129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US" b="0"/>
                  <a:t>Percent Real GDP Per Capita Growth</a:t>
                </a:r>
              </a:p>
            </c:rich>
          </c:tx>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sz="900"/>
            </a:pPr>
            <a:endParaRPr lang="en-US"/>
          </a:p>
        </c:txPr>
        <c:crossAx val="144129528"/>
        <c:crosses val="autoZero"/>
        <c:crossBetween val="midCat"/>
      </c:valAx>
      <c:valAx>
        <c:axId val="142438872"/>
        <c:scaling>
          <c:orientation val="minMax"/>
        </c:scaling>
        <c:delete val="0"/>
        <c:axPos val="r"/>
        <c:title>
          <c:tx>
            <c:rich>
              <a:bodyPr rot="-5400000" vert="horz"/>
              <a:lstStyle/>
              <a:p>
                <a:pPr>
                  <a:defRPr b="0"/>
                </a:pPr>
                <a:r>
                  <a:rPr lang="en-US" b="0"/>
                  <a:t>GDP per Capita </a:t>
                </a:r>
              </a:p>
            </c:rich>
          </c:tx>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sz="900"/>
            </a:pPr>
            <a:endParaRPr lang="en-US"/>
          </a:p>
        </c:txPr>
        <c:crossAx val="404618992"/>
        <c:crosses val="max"/>
        <c:crossBetween val="between"/>
      </c:valAx>
      <c:dateAx>
        <c:axId val="404618992"/>
        <c:scaling>
          <c:orientation val="minMax"/>
        </c:scaling>
        <c:delete val="1"/>
        <c:axPos val="b"/>
        <c:numFmt formatCode="General" sourceLinked="1"/>
        <c:majorTickMark val="none"/>
        <c:minorTickMark val="none"/>
        <c:tickLblPos val="nextTo"/>
        <c:crossAx val="142438872"/>
        <c:crosses val="autoZero"/>
        <c:auto val="0"/>
        <c:lblOffset val="100"/>
        <c:baseTimeUnit val="days"/>
      </c:dateAx>
      <c:spPr>
        <a:noFill/>
        <a:ln>
          <a:noFill/>
        </a:ln>
        <a:effectLst/>
      </c:spPr>
    </c:plotArea>
    <c:legend>
      <c:legendPos val="b"/>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ysClr val="windowText" lastClr="000000">
          <a:lumMod val="50000"/>
          <a:lumOff val="50000"/>
        </a:sys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Feuil2!$C$5</c:f>
              <c:strCache>
                <c:ptCount val="1"/>
                <c:pt idx="0">
                  <c:v>2006</c:v>
                </c:pt>
              </c:strCache>
            </c:strRef>
          </c:tx>
          <c:spPr>
            <a:solidFill>
              <a:schemeClr val="tx1"/>
            </a:solidFill>
            <a:ln>
              <a:noFill/>
            </a:ln>
            <a:effectLst/>
          </c:spPr>
          <c:invertIfNegative val="0"/>
          <c:dLbls>
            <c:dLbl>
              <c:idx val="1"/>
              <c:layout>
                <c:manualLayout>
                  <c:x val="0"/>
                  <c:y val="1.63398692810458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AC7-492F-AF48-513971AA09A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Feuil2!$A$6:$B$15</c:f>
              <c:multiLvlStrCache>
                <c:ptCount val="10"/>
                <c:lvl>
                  <c:pt idx="0">
                    <c:v>Plus pauvre</c:v>
                  </c:pt>
                  <c:pt idx="1">
                    <c:v>Deuxième</c:v>
                  </c:pt>
                  <c:pt idx="2">
                    <c:v>Troisième</c:v>
                  </c:pt>
                  <c:pt idx="3">
                    <c:v>Quatrième</c:v>
                  </c:pt>
                  <c:pt idx="4">
                    <c:v>Plus riche</c:v>
                  </c:pt>
                  <c:pt idx="5">
                    <c:v>Plus pauvre</c:v>
                  </c:pt>
                  <c:pt idx="6">
                    <c:v>Deuxième</c:v>
                  </c:pt>
                  <c:pt idx="7">
                    <c:v>Troisième</c:v>
                  </c:pt>
                  <c:pt idx="8">
                    <c:v>Quatrième</c:v>
                  </c:pt>
                  <c:pt idx="9">
                    <c:v>Plus riche</c:v>
                  </c:pt>
                </c:lvl>
                <c:lvl>
                  <c:pt idx="0">
                    <c:v>URBAIN</c:v>
                  </c:pt>
                  <c:pt idx="5">
                    <c:v>RURAL</c:v>
                  </c:pt>
                </c:lvl>
              </c:multiLvlStrCache>
            </c:multiLvlStrRef>
          </c:cat>
          <c:val>
            <c:numRef>
              <c:f>Feuil2!$C$6:$C$15</c:f>
              <c:numCache>
                <c:formatCode>0.0</c:formatCode>
                <c:ptCount val="10"/>
                <c:pt idx="0">
                  <c:v>43</c:v>
                </c:pt>
                <c:pt idx="1">
                  <c:v>30</c:v>
                </c:pt>
                <c:pt idx="2">
                  <c:v>39</c:v>
                </c:pt>
                <c:pt idx="3">
                  <c:v>51</c:v>
                </c:pt>
                <c:pt idx="4">
                  <c:v>57</c:v>
                </c:pt>
                <c:pt idx="5">
                  <c:v>15</c:v>
                </c:pt>
                <c:pt idx="6">
                  <c:v>16</c:v>
                </c:pt>
                <c:pt idx="7">
                  <c:v>16</c:v>
                </c:pt>
                <c:pt idx="8">
                  <c:v>26</c:v>
                </c:pt>
                <c:pt idx="9">
                  <c:v>23</c:v>
                </c:pt>
              </c:numCache>
            </c:numRef>
          </c:val>
          <c:extLst xmlns:c16r2="http://schemas.microsoft.com/office/drawing/2015/06/chart">
            <c:ext xmlns:c16="http://schemas.microsoft.com/office/drawing/2014/chart" uri="{C3380CC4-5D6E-409C-BE32-E72D297353CC}">
              <c16:uniqueId val="{00000001-9AC7-492F-AF48-513971AA09A8}"/>
            </c:ext>
          </c:extLst>
        </c:ser>
        <c:ser>
          <c:idx val="1"/>
          <c:order val="1"/>
          <c:tx>
            <c:strRef>
              <c:f>Feuil2!$D$5</c:f>
              <c:strCache>
                <c:ptCount val="1"/>
                <c:pt idx="0">
                  <c:v>2011</c:v>
                </c:pt>
              </c:strCache>
            </c:strRef>
          </c:tx>
          <c:spPr>
            <a:solidFill>
              <a:srgbClr val="00B0F0"/>
            </a:solidFill>
            <a:ln>
              <a:noFill/>
            </a:ln>
            <a:effectLst/>
          </c:spPr>
          <c:invertIfNegative val="0"/>
          <c:dLbls>
            <c:dLbl>
              <c:idx val="2"/>
              <c:layout>
                <c:manualLayout>
                  <c:x val="8.3333333333333297E-3"/>
                  <c:y val="1.63398692810458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AC7-492F-AF48-513971AA09A8}"/>
                </c:ext>
                <c:ext xmlns:c15="http://schemas.microsoft.com/office/drawing/2012/chart" uri="{CE6537A1-D6FC-4f65-9D91-7224C49458BB}">
                  <c15:layout/>
                </c:ext>
              </c:extLst>
            </c:dLbl>
            <c:dLbl>
              <c:idx val="3"/>
              <c:layout>
                <c:manualLayout>
                  <c:x val="8.3333333333333297E-3"/>
                  <c:y val="1.96078431372549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AC7-492F-AF48-513971AA09A8}"/>
                </c:ext>
                <c:ext xmlns:c15="http://schemas.microsoft.com/office/drawing/2012/chart" uri="{CE6537A1-D6FC-4f65-9D91-7224C49458BB}">
                  <c15:layout/>
                </c:ext>
              </c:extLst>
            </c:dLbl>
            <c:dLbl>
              <c:idx val="4"/>
              <c:layout>
                <c:manualLayout>
                  <c:x val="8.3333333333333297E-3"/>
                  <c:y val="1.307189542483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AC7-492F-AF48-513971AA09A8}"/>
                </c:ext>
                <c:ext xmlns:c15="http://schemas.microsoft.com/office/drawing/2012/chart" uri="{CE6537A1-D6FC-4f65-9D91-7224C49458BB}">
                  <c15:layout/>
                </c:ext>
              </c:extLst>
            </c:dLbl>
            <c:dLbl>
              <c:idx val="6"/>
              <c:layout>
                <c:manualLayout>
                  <c:x val="8.3333333333333297E-3"/>
                  <c:y val="2.28758169934640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AC7-492F-AF48-513971AA09A8}"/>
                </c:ext>
                <c:ext xmlns:c15="http://schemas.microsoft.com/office/drawing/2012/chart" uri="{CE6537A1-D6FC-4f65-9D91-7224C49458BB}">
                  <c15:layout/>
                </c:ext>
              </c:extLst>
            </c:dLbl>
            <c:dLbl>
              <c:idx val="7"/>
              <c:layout>
                <c:manualLayout>
                  <c:x val="2.7777777777777801E-3"/>
                  <c:y val="2.61437908496730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AC7-492F-AF48-513971AA09A8}"/>
                </c:ext>
                <c:ext xmlns:c15="http://schemas.microsoft.com/office/drawing/2012/chart" uri="{CE6537A1-D6FC-4f65-9D91-7224C49458BB}">
                  <c15:layout/>
                </c:ext>
              </c:extLst>
            </c:dLbl>
            <c:dLbl>
              <c:idx val="8"/>
              <c:layout>
                <c:manualLayout>
                  <c:x val="2.7777777777777801E-3"/>
                  <c:y val="1.96078431372549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AC7-492F-AF48-513971AA09A8}"/>
                </c:ext>
                <c:ext xmlns:c15="http://schemas.microsoft.com/office/drawing/2012/chart" uri="{CE6537A1-D6FC-4f65-9D91-7224C49458BB}">
                  <c15:layout/>
                </c:ext>
              </c:extLst>
            </c:dLbl>
            <c:dLbl>
              <c:idx val="9"/>
              <c:layout>
                <c:manualLayout>
                  <c:x val="2.7777777777777801E-3"/>
                  <c:y val="2.614379084967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AC7-492F-AF48-513971AA09A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Feuil2!$A$6:$B$15</c:f>
              <c:multiLvlStrCache>
                <c:ptCount val="10"/>
                <c:lvl>
                  <c:pt idx="0">
                    <c:v>Plus pauvre</c:v>
                  </c:pt>
                  <c:pt idx="1">
                    <c:v>Deuxième</c:v>
                  </c:pt>
                  <c:pt idx="2">
                    <c:v>Troisième</c:v>
                  </c:pt>
                  <c:pt idx="3">
                    <c:v>Quatrième</c:v>
                  </c:pt>
                  <c:pt idx="4">
                    <c:v>Plus riche</c:v>
                  </c:pt>
                  <c:pt idx="5">
                    <c:v>Plus pauvre</c:v>
                  </c:pt>
                  <c:pt idx="6">
                    <c:v>Deuxième</c:v>
                  </c:pt>
                  <c:pt idx="7">
                    <c:v>Troisième</c:v>
                  </c:pt>
                  <c:pt idx="8">
                    <c:v>Quatrième</c:v>
                  </c:pt>
                  <c:pt idx="9">
                    <c:v>Plus riche</c:v>
                  </c:pt>
                </c:lvl>
                <c:lvl>
                  <c:pt idx="0">
                    <c:v>URBAIN</c:v>
                  </c:pt>
                  <c:pt idx="5">
                    <c:v>RURAL</c:v>
                  </c:pt>
                </c:lvl>
              </c:multiLvlStrCache>
            </c:multiLvlStrRef>
          </c:cat>
          <c:val>
            <c:numRef>
              <c:f>Feuil2!$D$6:$D$15</c:f>
              <c:numCache>
                <c:formatCode>0.0</c:formatCode>
                <c:ptCount val="10"/>
                <c:pt idx="0">
                  <c:v>12</c:v>
                </c:pt>
                <c:pt idx="1">
                  <c:v>34</c:v>
                </c:pt>
                <c:pt idx="2">
                  <c:v>37</c:v>
                </c:pt>
                <c:pt idx="3">
                  <c:v>49</c:v>
                </c:pt>
                <c:pt idx="4">
                  <c:v>51</c:v>
                </c:pt>
                <c:pt idx="5">
                  <c:v>9</c:v>
                </c:pt>
                <c:pt idx="6">
                  <c:v>15</c:v>
                </c:pt>
                <c:pt idx="7">
                  <c:v>16</c:v>
                </c:pt>
                <c:pt idx="8">
                  <c:v>18</c:v>
                </c:pt>
                <c:pt idx="9">
                  <c:v>32</c:v>
                </c:pt>
              </c:numCache>
            </c:numRef>
          </c:val>
          <c:extLst xmlns:c16r2="http://schemas.microsoft.com/office/drawing/2015/06/chart">
            <c:ext xmlns:c16="http://schemas.microsoft.com/office/drawing/2014/chart" uri="{C3380CC4-5D6E-409C-BE32-E72D297353CC}">
              <c16:uniqueId val="{00000009-9AC7-492F-AF48-513971AA09A8}"/>
            </c:ext>
          </c:extLst>
        </c:ser>
        <c:ser>
          <c:idx val="2"/>
          <c:order val="2"/>
          <c:tx>
            <c:strRef>
              <c:f>Feuil2!$E$5</c:f>
              <c:strCache>
                <c:ptCount val="1"/>
                <c:pt idx="0">
                  <c:v>2015</c:v>
                </c:pt>
              </c:strCache>
            </c:strRef>
          </c:tx>
          <c:spPr>
            <a:solidFill>
              <a:schemeClr val="bg1">
                <a:lumMod val="65000"/>
              </a:schemeClr>
            </a:solidFill>
            <a:ln>
              <a:noFill/>
            </a:ln>
            <a:effectLst/>
          </c:spPr>
          <c:invertIfNegative val="0"/>
          <c:dLbls>
            <c:dLbl>
              <c:idx val="0"/>
              <c:layout>
                <c:manualLayout>
                  <c:x val="0"/>
                  <c:y val="2.61437908496730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AC7-492F-AF48-513971AA09A8}"/>
                </c:ext>
                <c:ext xmlns:c15="http://schemas.microsoft.com/office/drawing/2012/chart" uri="{CE6537A1-D6FC-4f65-9D91-7224C49458BB}">
                  <c15:layout/>
                </c:ext>
              </c:extLst>
            </c:dLbl>
            <c:dLbl>
              <c:idx val="1"/>
              <c:layout>
                <c:manualLayout>
                  <c:x val="8.3333333333333297E-3"/>
                  <c:y val="3.26797385620914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AC7-492F-AF48-513971AA09A8}"/>
                </c:ext>
                <c:ext xmlns:c15="http://schemas.microsoft.com/office/drawing/2012/chart" uri="{CE6537A1-D6FC-4f65-9D91-7224C49458BB}">
                  <c15:layout/>
                </c:ext>
              </c:extLst>
            </c:dLbl>
            <c:dLbl>
              <c:idx val="2"/>
              <c:layout>
                <c:manualLayout>
                  <c:x val="5.5555555555555003E-3"/>
                  <c:y val="3.9215686274509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AC7-492F-AF48-513971AA09A8}"/>
                </c:ext>
                <c:ext xmlns:c15="http://schemas.microsoft.com/office/drawing/2012/chart" uri="{CE6537A1-D6FC-4f65-9D91-7224C49458BB}">
                  <c15:layout/>
                </c:ext>
              </c:extLst>
            </c:dLbl>
            <c:dLbl>
              <c:idx val="3"/>
              <c:layout>
                <c:manualLayout>
                  <c:x val="1.38888888888888E-2"/>
                  <c:y val="3.5947712418300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AC7-492F-AF48-513971AA09A8}"/>
                </c:ext>
                <c:ext xmlns:c15="http://schemas.microsoft.com/office/drawing/2012/chart" uri="{CE6537A1-D6FC-4f65-9D91-7224C49458BB}">
                  <c15:layout/>
                </c:ext>
              </c:extLst>
            </c:dLbl>
            <c:dLbl>
              <c:idx val="8"/>
              <c:layout>
                <c:manualLayout>
                  <c:x val="2.7777777777777801E-3"/>
                  <c:y val="2.614379084967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AC7-492F-AF48-513971AA09A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Feuil2!$A$6:$B$15</c:f>
              <c:multiLvlStrCache>
                <c:ptCount val="10"/>
                <c:lvl>
                  <c:pt idx="0">
                    <c:v>Plus pauvre</c:v>
                  </c:pt>
                  <c:pt idx="1">
                    <c:v>Deuxième</c:v>
                  </c:pt>
                  <c:pt idx="2">
                    <c:v>Troisième</c:v>
                  </c:pt>
                  <c:pt idx="3">
                    <c:v>Quatrième</c:v>
                  </c:pt>
                  <c:pt idx="4">
                    <c:v>Plus riche</c:v>
                  </c:pt>
                  <c:pt idx="5">
                    <c:v>Plus pauvre</c:v>
                  </c:pt>
                  <c:pt idx="6">
                    <c:v>Deuxième</c:v>
                  </c:pt>
                  <c:pt idx="7">
                    <c:v>Troisième</c:v>
                  </c:pt>
                  <c:pt idx="8">
                    <c:v>Quatrième</c:v>
                  </c:pt>
                  <c:pt idx="9">
                    <c:v>Plus riche</c:v>
                  </c:pt>
                </c:lvl>
                <c:lvl>
                  <c:pt idx="0">
                    <c:v>URBAIN</c:v>
                  </c:pt>
                  <c:pt idx="5">
                    <c:v>RURAL</c:v>
                  </c:pt>
                </c:lvl>
              </c:multiLvlStrCache>
            </c:multiLvlStrRef>
          </c:cat>
          <c:val>
            <c:numRef>
              <c:f>Feuil2!$E$6:$E$15</c:f>
              <c:numCache>
                <c:formatCode>0.0</c:formatCode>
                <c:ptCount val="10"/>
                <c:pt idx="0">
                  <c:v>26.67</c:v>
                </c:pt>
                <c:pt idx="1">
                  <c:v>29.89</c:v>
                </c:pt>
                <c:pt idx="2">
                  <c:v>34.840000000000003</c:v>
                </c:pt>
                <c:pt idx="3">
                  <c:v>47.46</c:v>
                </c:pt>
                <c:pt idx="4">
                  <c:v>45.48</c:v>
                </c:pt>
                <c:pt idx="5">
                  <c:v>7.17</c:v>
                </c:pt>
                <c:pt idx="6">
                  <c:v>5.46</c:v>
                </c:pt>
                <c:pt idx="7">
                  <c:v>7.74</c:v>
                </c:pt>
                <c:pt idx="8">
                  <c:v>10.95</c:v>
                </c:pt>
                <c:pt idx="9">
                  <c:v>8.19</c:v>
                </c:pt>
              </c:numCache>
            </c:numRef>
          </c:val>
          <c:extLst xmlns:c16r2="http://schemas.microsoft.com/office/drawing/2015/06/chart">
            <c:ext xmlns:c16="http://schemas.microsoft.com/office/drawing/2014/chart" uri="{C3380CC4-5D6E-409C-BE32-E72D297353CC}">
              <c16:uniqueId val="{0000000F-9AC7-492F-AF48-513971AA09A8}"/>
            </c:ext>
          </c:extLst>
        </c:ser>
        <c:dLbls>
          <c:showLegendKey val="0"/>
          <c:showVal val="0"/>
          <c:showCatName val="0"/>
          <c:showSerName val="0"/>
          <c:showPercent val="0"/>
          <c:showBubbleSize val="0"/>
        </c:dLbls>
        <c:gapWidth val="199"/>
        <c:axId val="404619776"/>
        <c:axId val="404620168"/>
      </c:barChart>
      <c:catAx>
        <c:axId val="40461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4620168"/>
        <c:crosses val="autoZero"/>
        <c:auto val="1"/>
        <c:lblAlgn val="ctr"/>
        <c:lblOffset val="100"/>
        <c:noMultiLvlLbl val="0"/>
      </c:catAx>
      <c:valAx>
        <c:axId val="4046201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461977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ECENTER-17-1298</_dlc_DocId>
    <_dlc_DocIdUrl xmlns="abd7fad0-8e9a-4f24-82a0-e4a690a7a66d">
      <Url>https://ispan.worldbank.org/sites/BOS/_layouts/15/DocIdRedir.aspx?ID=ECENTER-17-1298</Url>
      <Description>ECENTER-17-1298</Description>
    </_dlc_DocIdUrl>
    <DocumentDate xmlns="1e565efc-c76f-4e3a-ad62-733aa42cc28d">2017-05-01T04:00:00+00:00</DocumentDate>
    <unid xmlns="1e565efc-c76f-4e3a-ad62-733aa42cc28d" xsi:nil="true"/>
    <Volume_x0020_Title xmlns="1e565efc-c76f-4e3a-ad62-733aa42cc28d">Togo - Country Partnership Framework</Volume_x0020_Title>
    <Disclosure_x0020_Type xmlns="1e565efc-c76f-4e3a-ad62-733aa42cc28d" xsi:nil="true"/>
    <Unit_x0020_Owning_x0020_or_x0020_Responsible xmlns="1e565efc-c76f-4e3a-ad62-733aa42cc28d">AFCCI</Unit_x0020_Owning_x0020_or_x0020_Responsible>
    <RObjectID xmlns="1e565efc-c76f-4e3a-ad62-733aa42cc28d">090224b084b3b830</RObjectID>
    <Document_x0020_Type xmlns="1e565efc-c76f-4e3a-ad62-733aa42cc28d">Board Report</Document_x0020_Type>
    <Bank_x0020_Group_x0020_Institution xmlns="1e565efc-c76f-4e3a-ad62-733aa42cc28d">IDA,IFC,MIGA</Bank_x0020_Group_x0020_Institution>
    <Project_x0020_ID xmlns="1e565efc-c76f-4e3a-ad62-733aa42cc28d" xsi:nil="true"/>
    <Report_x0020_Number xmlns="1e565efc-c76f-4e3a-ad62-733aa42cc28d">112965-TG</Report_x0020_Number>
    <Other_x0020_Meeting_x0020_Date xmlns="1e565efc-c76f-4e3a-ad62-733aa42cc28d" xsi:nil="true"/>
    <Version_x0020_Type xmlns="1e565efc-c76f-4e3a-ad62-733aa42cc28d">Final</Version_x0020_Type>
    <Board_x0020_Document_x0020_Number xmlns="1e565efc-c76f-4e3a-ad62-733aa42cc28d">IDA/R2017-0122,IFC/R2017-0089,MIGA/R2017-0027</Board_x0020_Document_x0020_Number>
    <Disclosure_x0020_Date xmlns="1e565efc-c76f-4e3a-ad62-733aa42cc28d" xsi:nil="true"/>
    <Board_x0020_Meeting_x0020_Type xmlns="1e565efc-c76f-4e3a-ad62-733aa42cc28d">Board Meeting</Board_x0020_Meeting_x0020_Type>
    <UpdateEntityID xmlns="1e565efc-c76f-4e3a-ad62-733aa42cc28d">dd09e0f2-bc26-e711-94af-005056953af8</UpdateEntityID>
    <ImageBankURL xmlns="1e565efc-c76f-4e3a-ad62-733aa42cc28d" xsi:nil="true"/>
    <RejectedDate xmlns="1e565efc-c76f-4e3a-ad62-733aa42cc28d" xsi:nil="true"/>
    <Sec_x0020_Organization xmlns="1e565efc-c76f-4e3a-ad62-733aa42cc28d" xsi:nil="true"/>
    <ReportDate xmlns="1e565efc-c76f-4e3a-ad62-733aa42cc28d" xsi:nil="true"/>
    <IsRepublished xmlns="1e565efc-c76f-4e3a-ad62-733aa42cc28d">No</IsRepublished>
    <Country_x0020_Region xmlns="1e565efc-c76f-4e3a-ad62-733aa42cc28d">Togo</Country_x0020_Region>
    <IsImageBankURLUpdated xmlns="1e565efc-c76f-4e3a-ad62-733aa42cc28d">No</IsImageBankURLUpdated>
    <UpdateEntityName xmlns="1e565efc-c76f-4e3a-ad62-733aa42cc28d">wbg_documentprofile</UpdateEntityName>
    <Disclosure_x0020_Status xmlns="1e565efc-c76f-4e3a-ad62-733aa42cc28d">Eligible for disclosure</Disclosure_x0020_Status>
    <Language xmlns="1e565efc-c76f-4e3a-ad62-733aa42cc28d">English</Language>
    <Board_x0020_Meeting_x0020_Date xmlns="1e565efc-c76f-4e3a-ad62-733aa42cc28d">2017-05-16T04:00:00+00:00</Board_x0020_Meeting_x0020_Date>
    <Archive xmlns="1e565efc-c76f-4e3a-ad62-733aa42cc28d">true</Archive>
    <ArchivedDate xmlns="1e565efc-c76f-4e3a-ad62-733aa42cc28d">2017-05-04T17:29:43+00:00</ArchivedDate>
    <PublicClassificationDecidedby xmlns="1e565efc-c76f-4e3a-ad62-733aa42cc28d">Nathalie Ramanivosoa</PublicClassificationDecidedby>
    <Information_x0020_Classification xmlns="1e565efc-c76f-4e3a-ad62-733aa42cc28d">Official Use Only</Information_x0020_Classification>
    <AccessToInfoComments xmlns="1e565efc-c76f-4e3a-ad62-733aa42cc28d">6. Other Disclosure Regimes;</AccessToInfoComments>
    <RejectedDocuments xmlns="1e565efc-c76f-4e3a-ad62-733aa42cc28d">false</RejectedDocuments>
    <ServiceContentURL xmlns="1e565efc-c76f-4e3a-ad62-733aa42cc28d" xsi:nil="true"/>
    <Closing_x0020_Date xmlns="1e565efc-c76f-4e3a-ad62-733aa42cc28d" xsi:nil="true"/>
    <Volume_x0020_No xmlns="1e565efc-c76f-4e3a-ad62-733aa42cc28d">1</Volume_x0020_No>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1" ma:contentTypeDescription="Create a new document." ma:contentTypeScope="" ma:versionID="75b4cdd1f18822cafd7605444111725a">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49c729e895b4e939852acae82af35e65"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2D087-88B9-4948-A2EC-172624C0F8FA}"/>
</file>

<file path=customXml/itemProps2.xml><?xml version="1.0" encoding="utf-8"?>
<ds:datastoreItem xmlns:ds="http://schemas.openxmlformats.org/officeDocument/2006/customXml" ds:itemID="{5DF06173-B4E1-4CD7-BF29-70C81B2F9DC1}"/>
</file>

<file path=customXml/itemProps3.xml><?xml version="1.0" encoding="utf-8"?>
<ds:datastoreItem xmlns:ds="http://schemas.openxmlformats.org/officeDocument/2006/customXml" ds:itemID="{00D1D907-7E99-454D-9899-2BF44190772F}"/>
</file>

<file path=customXml/itemProps4.xml><?xml version="1.0" encoding="utf-8"?>
<ds:datastoreItem xmlns:ds="http://schemas.openxmlformats.org/officeDocument/2006/customXml" ds:itemID="{6181012B-9A73-4B75-B028-E7753CE3F2B3}"/>
</file>

<file path=customXml/itemProps5.xml><?xml version="1.0" encoding="utf-8"?>
<ds:datastoreItem xmlns:ds="http://schemas.openxmlformats.org/officeDocument/2006/customXml" ds:itemID="{67E8EE88-6375-4900-8966-0EDD3C6DC2A0}"/>
</file>

<file path=docProps/app.xml><?xml version="1.0" encoding="utf-8"?>
<Properties xmlns="http://schemas.openxmlformats.org/officeDocument/2006/extended-properties" xmlns:vt="http://schemas.openxmlformats.org/officeDocument/2006/docPropsVTypes">
  <Template>Normal.dotm</Template>
  <TotalTime>116</TotalTime>
  <Pages>88</Pages>
  <Words>35561</Words>
  <Characters>202700</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Togo - Country Partnership Framework</dc:title>
  <dc:subject/>
  <dc:creator>Joelle Dehasse Businger</dc:creator>
  <cp:keywords/>
  <dc:description/>
  <cp:lastModifiedBy>Nathalie Ramanivosoa</cp:lastModifiedBy>
  <cp:revision>26</cp:revision>
  <cp:lastPrinted>2017-04-21T15:10:00Z</cp:lastPrinted>
  <dcterms:created xsi:type="dcterms:W3CDTF">2017-04-20T19:44:00Z</dcterms:created>
  <dcterms:modified xsi:type="dcterms:W3CDTF">2017-04-21T16:36:00Z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0x0101008B7ED80168BFC54D8B2E9A470A96603D</vt:lpwstr>
  </property>
  <property fmtid="{D5CDD505-2E9C-101B-9397-08002B2CF9AE}" pid="3" name="_dlc_DocIdItemGuid">
    <vt:lpwstr>7cacba10-20da-4f10-bbae-d3b0389dead1</vt:lpwstr>
  </property>
</Properties>
</file>