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4E" w:rsidRPr="001C5F48" w:rsidRDefault="00292763" w:rsidP="00D0204E">
      <w:pPr>
        <w:pStyle w:val="BodyText"/>
        <w:rPr>
          <w:b/>
          <w:u w:val="single"/>
        </w:rPr>
      </w:pPr>
      <w:bookmarkStart w:id="0" w:name="_GoBack"/>
      <w:bookmarkEnd w:id="0"/>
      <w:r>
        <w:rPr>
          <w:b/>
          <w:noProof/>
          <w:u w:val="single"/>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-676275</wp:posOffset>
                </wp:positionV>
                <wp:extent cx="1695450" cy="523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763" w:rsidRPr="00292763" w:rsidRDefault="00292763">
                            <w:pPr>
                              <w:rPr>
                                <w:rFonts w:ascii="Arial" w:hAnsi="Arial" w:cs="Arial"/>
                                <w:sz w:val="44"/>
                                <w:szCs w:val="44"/>
                              </w:rPr>
                            </w:pPr>
                            <w:r>
                              <w:rPr>
                                <w:rFonts w:ascii="Arial" w:hAnsi="Arial" w:cs="Arial"/>
                                <w:sz w:val="44"/>
                                <w:szCs w:val="44"/>
                              </w:rPr>
                              <w:t>76573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5pt;margin-top:-53.25pt;width:133.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" fillcolor="white [3201]" stroked="f" strokeweight=".5pt">
                <v:textbox>
                  <w:txbxContent>
                    <w:p w:rsidR="00292763" w:rsidRPr="00292763" w:rsidRDefault="00292763">
                      <w:pPr>
                        <w:rPr>
                          <w:rFonts w:ascii="Arial" w:hAnsi="Arial" w:cs="Arial"/>
                          <w:sz w:val="44"/>
                          <w:szCs w:val="44"/>
                        </w:rPr>
                      </w:pPr>
                      <w:r>
                        <w:rPr>
                          <w:rFonts w:ascii="Arial" w:hAnsi="Arial" w:cs="Arial"/>
                          <w:sz w:val="44"/>
                          <w:szCs w:val="44"/>
                        </w:rPr>
                        <w:t>76573</w:t>
                      </w:r>
                    </w:p>
                  </w:txbxContent>
                </v:textbox>
              </v:shape>
            </w:pict>
          </mc:Fallback>
        </mc:AlternateContent>
      </w:r>
    </w:p>
    <w:p w:rsidR="00D0204E" w:rsidRPr="001C5F48" w:rsidRDefault="00D0204E" w:rsidP="00D0204E">
      <w:pPr>
        <w:pStyle w:val="BodyText"/>
        <w:rPr>
          <w:b/>
        </w:rPr>
      </w:pPr>
    </w:p>
    <w:tbl>
      <w:tblPr>
        <w:tblpPr w:leftFromText="187" w:rightFromText="187" w:vertAnchor="page" w:horzAnchor="margin" w:tblpXSpec="center" w:tblpY="2311"/>
        <w:tblW w:w="4000" w:type="pct"/>
        <w:tblBorders>
          <w:left w:val="single" w:sz="18" w:space="0" w:color="4F81BD"/>
        </w:tblBorders>
        <w:tblLook w:val="00A0" w:firstRow="1" w:lastRow="0" w:firstColumn="1" w:lastColumn="0" w:noHBand="0" w:noVBand="0"/>
      </w:tblPr>
      <w:tblGrid>
        <w:gridCol w:w="7672"/>
      </w:tblGrid>
      <w:tr w:rsidR="00A62C68" w:rsidRPr="0027225E" w:rsidTr="00A62C68">
        <w:tc>
          <w:tcPr>
            <w:tcW w:w="7672" w:type="dxa"/>
            <w:tcMar>
              <w:top w:w="216" w:type="dxa"/>
              <w:left w:w="115" w:type="dxa"/>
              <w:bottom w:w="216" w:type="dxa"/>
              <w:right w:w="115" w:type="dxa"/>
            </w:tcMar>
          </w:tcPr>
          <w:p w:rsidR="00A62C68" w:rsidRPr="0027225E" w:rsidRDefault="00A62C68" w:rsidP="00A62C68">
            <w:pPr>
              <w:pStyle w:val="NoSpacing"/>
              <w:rPr>
                <w:rFonts w:asciiTheme="minorHAnsi" w:hAnsiTheme="minorHAnsi"/>
                <w:sz w:val="56"/>
              </w:rPr>
            </w:pPr>
          </w:p>
        </w:tc>
      </w:tr>
      <w:tr w:rsidR="00A62C68" w:rsidRPr="0027225E" w:rsidTr="00A62C68">
        <w:tc>
          <w:tcPr>
            <w:tcW w:w="7672" w:type="dxa"/>
          </w:tcPr>
          <w:p w:rsidR="00A62C68" w:rsidRPr="0027225E" w:rsidRDefault="00A62C68" w:rsidP="00A62C68">
            <w:pPr>
              <w:pStyle w:val="NoSpacing"/>
              <w:rPr>
                <w:rFonts w:asciiTheme="minorHAnsi" w:hAnsiTheme="minorHAnsi"/>
                <w:b/>
                <w:color w:val="000000" w:themeColor="text1"/>
                <w:sz w:val="56"/>
                <w:szCs w:val="80"/>
              </w:rPr>
            </w:pPr>
            <w:r w:rsidRPr="0027225E">
              <w:rPr>
                <w:rFonts w:asciiTheme="minorHAnsi" w:hAnsiTheme="minorHAnsi"/>
                <w:b/>
                <w:color w:val="000000" w:themeColor="text1"/>
                <w:sz w:val="56"/>
                <w:szCs w:val="80"/>
              </w:rPr>
              <w:t xml:space="preserve">Regional welfare disparities in the Kyrgyz Republic </w:t>
            </w:r>
          </w:p>
          <w:p w:rsidR="00622293" w:rsidRPr="0027225E" w:rsidRDefault="00622293" w:rsidP="00A62C68">
            <w:pPr>
              <w:pStyle w:val="NoSpacing"/>
              <w:rPr>
                <w:rFonts w:asciiTheme="minorHAnsi" w:hAnsiTheme="minorHAnsi"/>
                <w:color w:val="000000" w:themeColor="text1"/>
                <w:sz w:val="56"/>
                <w:szCs w:val="80"/>
              </w:rPr>
            </w:pPr>
          </w:p>
        </w:tc>
      </w:tr>
      <w:tr w:rsidR="00A62C68" w:rsidRPr="0027225E" w:rsidTr="00A62C68">
        <w:tc>
          <w:tcPr>
            <w:tcW w:w="7672" w:type="dxa"/>
            <w:tcMar>
              <w:top w:w="216" w:type="dxa"/>
              <w:left w:w="115" w:type="dxa"/>
              <w:bottom w:w="216" w:type="dxa"/>
              <w:right w:w="115" w:type="dxa"/>
            </w:tcMar>
          </w:tcPr>
          <w:p w:rsidR="00A62C68" w:rsidRPr="0027225E" w:rsidRDefault="00A62C68" w:rsidP="00A62C68">
            <w:pPr>
              <w:pStyle w:val="NoSpacing"/>
              <w:rPr>
                <w:rFonts w:asciiTheme="minorHAnsi" w:hAnsiTheme="minorHAnsi"/>
                <w:color w:val="000000" w:themeColor="text1"/>
                <w:sz w:val="56"/>
              </w:rPr>
            </w:pPr>
            <w:r w:rsidRPr="0027225E">
              <w:rPr>
                <w:rFonts w:asciiTheme="minorHAnsi" w:hAnsiTheme="minorHAnsi"/>
                <w:color w:val="000000" w:themeColor="text1"/>
                <w:sz w:val="32"/>
              </w:rPr>
              <w:t xml:space="preserve">Aziz </w:t>
            </w:r>
            <w:proofErr w:type="spellStart"/>
            <w:r w:rsidRPr="0027225E">
              <w:rPr>
                <w:rFonts w:asciiTheme="minorHAnsi" w:hAnsiTheme="minorHAnsi"/>
                <w:color w:val="000000" w:themeColor="text1"/>
                <w:sz w:val="32"/>
              </w:rPr>
              <w:t>Atamanov</w:t>
            </w:r>
            <w:proofErr w:type="spellEnd"/>
            <w:r w:rsidRPr="0027225E">
              <w:rPr>
                <w:rFonts w:asciiTheme="minorHAnsi" w:hAnsiTheme="minorHAnsi"/>
                <w:color w:val="000000" w:themeColor="text1"/>
                <w:sz w:val="32"/>
              </w:rPr>
              <w:t xml:space="preserve"> (World Bank)</w:t>
            </w:r>
          </w:p>
        </w:tc>
      </w:tr>
    </w:tbl>
    <w:p w:rsidR="00D0204E" w:rsidRPr="001C5F48" w:rsidRDefault="00D0204E" w:rsidP="00D0204E">
      <w:pPr>
        <w:pStyle w:val="BodyText"/>
        <w:rPr>
          <w:b/>
        </w:rPr>
      </w:pPr>
    </w:p>
    <w:p w:rsidR="00D0204E" w:rsidRPr="001C5F48" w:rsidRDefault="00D0204E" w:rsidP="00D0204E">
      <w:pPr>
        <w:pStyle w:val="BodyText"/>
        <w:rPr>
          <w:b/>
        </w:rPr>
      </w:pPr>
    </w:p>
    <w:p w:rsidR="00D0204E" w:rsidRDefault="00D0204E" w:rsidP="00D0204E">
      <w:pPr>
        <w:rPr>
          <w:b/>
          <w:sz w:val="28"/>
        </w:rPr>
      </w:pPr>
    </w:p>
    <w:p w:rsidR="00D0204E" w:rsidRDefault="00D0204E" w:rsidP="00D0204E">
      <w:pPr>
        <w:rPr>
          <w:b/>
          <w:sz w:val="28"/>
        </w:rPr>
      </w:pPr>
    </w:p>
    <w:p w:rsidR="00D0204E" w:rsidRDefault="00D0204E" w:rsidP="00D0204E">
      <w:pPr>
        <w:rPr>
          <w:b/>
          <w:sz w:val="28"/>
        </w:rPr>
      </w:pPr>
    </w:p>
    <w:p w:rsidR="00D0204E" w:rsidRDefault="00D0204E" w:rsidP="00D0204E">
      <w:pPr>
        <w:rPr>
          <w:b/>
          <w:sz w:val="28"/>
        </w:rPr>
      </w:pPr>
    </w:p>
    <w:p w:rsidR="00A62C68" w:rsidRDefault="00A62C68" w:rsidP="00D0204E">
      <w:pPr>
        <w:rPr>
          <w:b/>
          <w:sz w:val="28"/>
        </w:rPr>
      </w:pPr>
    </w:p>
    <w:p w:rsidR="00A62C68" w:rsidRDefault="00A62C68" w:rsidP="00D0204E">
      <w:pPr>
        <w:rPr>
          <w:b/>
          <w:sz w:val="28"/>
        </w:rPr>
      </w:pPr>
    </w:p>
    <w:p w:rsidR="0043690E" w:rsidRDefault="0043690E" w:rsidP="00D0204E">
      <w:pPr>
        <w:rPr>
          <w:b/>
          <w:sz w:val="24"/>
        </w:rPr>
      </w:pPr>
    </w:p>
    <w:p w:rsidR="00622293" w:rsidRPr="00622293" w:rsidRDefault="00622293" w:rsidP="0043690E">
      <w:pPr>
        <w:ind w:firstLine="720"/>
        <w:rPr>
          <w:b/>
          <w:sz w:val="24"/>
        </w:rPr>
      </w:pPr>
      <w:r w:rsidRPr="00622293">
        <w:rPr>
          <w:b/>
          <w:sz w:val="24"/>
        </w:rPr>
        <w:t>April 2013</w:t>
      </w:r>
    </w:p>
    <w:p w:rsidR="00622293" w:rsidRDefault="00622293" w:rsidP="00D0204E">
      <w:pPr>
        <w:rPr>
          <w:b/>
          <w:sz w:val="28"/>
        </w:rPr>
      </w:pPr>
    </w:p>
    <w:p w:rsidR="00622293" w:rsidRDefault="00622293" w:rsidP="00D0204E">
      <w:pPr>
        <w:rPr>
          <w:b/>
          <w:sz w:val="28"/>
        </w:rPr>
      </w:pPr>
    </w:p>
    <w:p w:rsidR="00622293" w:rsidRDefault="0043690E" w:rsidP="00D0204E">
      <w:pPr>
        <w:rPr>
          <w:b/>
          <w:sz w:val="28"/>
        </w:rPr>
      </w:pPr>
      <w:r>
        <w:rPr>
          <w:b/>
          <w:noProof/>
          <w:sz w:val="28"/>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380365</wp:posOffset>
            </wp:positionV>
            <wp:extent cx="704850" cy="704850"/>
            <wp:effectExtent l="19050" t="0" r="0" b="0"/>
            <wp:wrapSquare wrapText="bothSides"/>
            <wp:docPr id="6" name="Picture 9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
                    <pic:cNvPicPr>
                      <a:picLocks noChangeAspect="1" noChangeArrowheads="1"/>
                    </pic:cNvPicPr>
                  </pic:nvPicPr>
                  <pic:blipFill>
                    <a:blip r:embed="rId9"/>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D0204E" w:rsidRPr="001C5F48" w:rsidRDefault="00D0204E" w:rsidP="00D0204E">
      <w:pPr>
        <w:rPr>
          <w:b/>
          <w:sz w:val="28"/>
        </w:rPr>
      </w:pPr>
      <w:r w:rsidRPr="001C5F48">
        <w:rPr>
          <w:b/>
          <w:sz w:val="28"/>
        </w:rPr>
        <w:t>Poverty Reduction and Economic Management Unit</w:t>
      </w:r>
    </w:p>
    <w:p w:rsidR="00D0204E" w:rsidRPr="001C5F48" w:rsidRDefault="00D0204E" w:rsidP="00D0204E">
      <w:pPr>
        <w:rPr>
          <w:b/>
          <w:sz w:val="28"/>
        </w:rPr>
      </w:pPr>
      <w:r w:rsidRPr="001C5F48">
        <w:rPr>
          <w:b/>
          <w:sz w:val="28"/>
        </w:rPr>
        <w:t xml:space="preserve">Europe and </w:t>
      </w:r>
      <w:smartTag w:uri="urn:schemas-microsoft-com:office:smarttags" w:element="place">
        <w:r w:rsidRPr="001C5F48">
          <w:rPr>
            <w:b/>
            <w:sz w:val="28"/>
          </w:rPr>
          <w:t>Central Asia</w:t>
        </w:r>
      </w:smartTag>
      <w:r w:rsidRPr="001C5F48">
        <w:rPr>
          <w:b/>
          <w:sz w:val="28"/>
        </w:rPr>
        <w:t xml:space="preserve"> Region</w:t>
      </w:r>
    </w:p>
    <w:p w:rsidR="00D0204E" w:rsidRPr="001C5F48" w:rsidRDefault="00D0204E" w:rsidP="00D0204E">
      <w:pPr>
        <w:pStyle w:val="BodyText"/>
        <w:jc w:val="left"/>
      </w:pPr>
    </w:p>
    <w:p w:rsidR="00D0204E" w:rsidRPr="001C5F48" w:rsidRDefault="00D0204E" w:rsidP="00D0204E">
      <w:pPr>
        <w:rPr>
          <w:rFonts w:ascii="Arial" w:hAnsi="Arial"/>
          <w:b/>
          <w:sz w:val="17"/>
        </w:rPr>
      </w:pPr>
    </w:p>
    <w:p w:rsidR="00D0204E" w:rsidRPr="001C5F48" w:rsidRDefault="00D0204E" w:rsidP="00D0204E">
      <w:pPr>
        <w:rPr>
          <w:b/>
        </w:rPr>
      </w:pPr>
    </w:p>
    <w:p w:rsidR="00D0204E" w:rsidRPr="009C0D32" w:rsidRDefault="00D0204E" w:rsidP="00D0204E"/>
    <w:p w:rsidR="00D0204E" w:rsidRPr="009C0D32" w:rsidRDefault="00D0204E" w:rsidP="00D0204E"/>
    <w:p w:rsidR="00D0204E" w:rsidRPr="009C0D32" w:rsidRDefault="00D0204E" w:rsidP="00D0204E"/>
    <w:p w:rsidR="00D0204E" w:rsidRPr="009C0D32" w:rsidRDefault="00D0204E" w:rsidP="00D0204E">
      <w:pPr>
        <w:rPr>
          <w:b/>
          <w:bCs/>
        </w:rPr>
      </w:pPr>
      <w:r w:rsidRPr="009C0D32">
        <w:rPr>
          <w:b/>
          <w:bCs/>
        </w:rPr>
        <w:t>Document of the World Bank</w:t>
      </w:r>
    </w:p>
    <w:p w:rsidR="00D0204E" w:rsidRPr="009C0D32" w:rsidRDefault="00D0204E" w:rsidP="00D0204E"/>
    <w:p w:rsidR="00D0204E" w:rsidRPr="009C0D32" w:rsidRDefault="00D0204E" w:rsidP="00D0204E"/>
    <w:tbl>
      <w:tblPr>
        <w:tblpPr w:leftFromText="187" w:rightFromText="187" w:horzAnchor="margin" w:tblpXSpec="center" w:tblpYSpec="bottom"/>
        <w:tblW w:w="4000" w:type="pct"/>
        <w:tblLook w:val="00A0" w:firstRow="1" w:lastRow="0" w:firstColumn="1" w:lastColumn="0" w:noHBand="0" w:noVBand="0"/>
      </w:tblPr>
      <w:tblGrid>
        <w:gridCol w:w="7672"/>
      </w:tblGrid>
      <w:tr w:rsidR="00F15235" w:rsidRPr="001520FF">
        <w:tc>
          <w:tcPr>
            <w:tcW w:w="7672" w:type="dxa"/>
            <w:tcMar>
              <w:top w:w="216" w:type="dxa"/>
              <w:left w:w="115" w:type="dxa"/>
              <w:bottom w:w="216" w:type="dxa"/>
              <w:right w:w="115" w:type="dxa"/>
            </w:tcMar>
          </w:tcPr>
          <w:p w:rsidR="00F15235" w:rsidRPr="001520FF" w:rsidRDefault="00C274C9">
            <w:pPr>
              <w:pStyle w:val="NoSpacing"/>
              <w:rPr>
                <w:rFonts w:eastAsia="Times New Roman"/>
                <w:color w:val="4F81BD"/>
              </w:rPr>
            </w:pPr>
            <w:r>
              <w:rPr>
                <w:rFonts w:eastAsia="Times New Roman" w:hAnsi="PMingLiU"/>
                <w:color w:val="4F81BD"/>
              </w:rPr>
              <w:lastRenderedPageBreak/>
              <w:t>0</w:t>
            </w:r>
            <w:r>
              <w:rPr>
                <w:rFonts w:asciiTheme="minorHAnsi" w:eastAsia="Times New Roman" w:hAnsiTheme="minorHAnsi"/>
                <w:color w:val="4F81BD"/>
                <w:lang w:val="ru-RU"/>
              </w:rPr>
              <w:t>9</w:t>
            </w:r>
            <w:r w:rsidR="00000367">
              <w:rPr>
                <w:rFonts w:eastAsia="Times New Roman" w:hAnsi="PMingLiU"/>
                <w:color w:val="4F81BD"/>
              </w:rPr>
              <w:t>/0</w:t>
            </w:r>
            <w:r w:rsidR="00000367" w:rsidRPr="00000367">
              <w:rPr>
                <w:rFonts w:eastAsia="Times New Roman" w:hAnsi="PMingLiU"/>
                <w:color w:val="4F81BD"/>
              </w:rPr>
              <w:t>4</w:t>
            </w:r>
            <w:r w:rsidR="00F15235">
              <w:rPr>
                <w:rFonts w:eastAsia="Times New Roman" w:hAnsi="PMingLiU"/>
                <w:color w:val="4F81BD"/>
              </w:rPr>
              <w:t>/2013</w:t>
            </w:r>
          </w:p>
          <w:p w:rsidR="00F15235" w:rsidRPr="001520FF" w:rsidRDefault="00F15235">
            <w:pPr>
              <w:pStyle w:val="NoSpacing"/>
              <w:rPr>
                <w:rFonts w:eastAsia="Times New Roman"/>
                <w:color w:val="4F81BD"/>
              </w:rPr>
            </w:pPr>
          </w:p>
        </w:tc>
      </w:tr>
    </w:tbl>
    <w:p w:rsidR="00F15235" w:rsidRDefault="00F15235" w:rsidP="001B3CD1">
      <w:pPr>
        <w:pStyle w:val="Heading1"/>
      </w:pPr>
      <w:bookmarkStart w:id="1" w:name="_Toc353273021"/>
      <w:r>
        <w:t>Regional</w:t>
      </w:r>
      <w:r w:rsidR="00852B0F" w:rsidRPr="00C274C9">
        <w:t xml:space="preserve"> </w:t>
      </w:r>
      <w:r w:rsidR="00852B0F">
        <w:t>welfare</w:t>
      </w:r>
      <w:r>
        <w:t xml:space="preserve"> disparities in the Kyrgyz Republic</w:t>
      </w:r>
      <w:bookmarkEnd w:id="1"/>
    </w:p>
    <w:p w:rsidR="00F15235" w:rsidRDefault="00F15235" w:rsidP="00ED72B2">
      <w:pPr>
        <w:pStyle w:val="Heading2"/>
      </w:pPr>
      <w:bookmarkStart w:id="2" w:name="_Toc353273022"/>
      <w:r>
        <w:t>Acknowledgments</w:t>
      </w:r>
      <w:bookmarkEnd w:id="2"/>
    </w:p>
    <w:p w:rsidR="008311DA" w:rsidRPr="008311DA" w:rsidRDefault="008311DA" w:rsidP="008311DA">
      <w:r w:rsidRPr="008311DA">
        <w:t xml:space="preserve">Aziz </w:t>
      </w:r>
      <w:proofErr w:type="spellStart"/>
      <w:r w:rsidRPr="008311DA">
        <w:t>Atamanov</w:t>
      </w:r>
      <w:proofErr w:type="spellEnd"/>
      <w:r w:rsidRPr="008311DA">
        <w:t xml:space="preserve"> </w:t>
      </w:r>
      <w:r w:rsidR="00641841" w:rsidRPr="008311DA">
        <w:t>prepared this</w:t>
      </w:r>
      <w:r w:rsidRPr="008311DA">
        <w:t xml:space="preserve"> note under the guidance of </w:t>
      </w:r>
      <w:proofErr w:type="spellStart"/>
      <w:r w:rsidRPr="008311DA">
        <w:t>Sarosh</w:t>
      </w:r>
      <w:proofErr w:type="spellEnd"/>
      <w:r w:rsidRPr="008311DA">
        <w:t xml:space="preserve"> </w:t>
      </w:r>
      <w:proofErr w:type="spellStart"/>
      <w:r w:rsidRPr="008311DA">
        <w:t>Sattar</w:t>
      </w:r>
      <w:proofErr w:type="spellEnd"/>
      <w:r w:rsidRPr="008311DA">
        <w:t>. The cooperation of the National Statistical Committee of the Kyrgyz Republic made this report possible. The author extends special appre</w:t>
      </w:r>
      <w:r w:rsidR="007014B4">
        <w:t xml:space="preserve">ciation to </w:t>
      </w:r>
      <w:proofErr w:type="spellStart"/>
      <w:r w:rsidR="007014B4">
        <w:t>Osmonaliev</w:t>
      </w:r>
      <w:proofErr w:type="spellEnd"/>
      <w:r w:rsidR="007014B4">
        <w:t xml:space="preserve"> </w:t>
      </w:r>
      <w:proofErr w:type="spellStart"/>
      <w:r w:rsidR="007014B4">
        <w:t>Akylbek</w:t>
      </w:r>
      <w:proofErr w:type="spellEnd"/>
      <w:r w:rsidR="007014B4">
        <w:t xml:space="preserve"> (C</w:t>
      </w:r>
      <w:r w:rsidRPr="008311DA">
        <w:t xml:space="preserve">hairman of the National Statistical Committee) and Galina </w:t>
      </w:r>
      <w:proofErr w:type="spellStart"/>
      <w:r w:rsidRPr="008311DA">
        <w:t>Samohleb</w:t>
      </w:r>
      <w:proofErr w:type="spellEnd"/>
      <w:r w:rsidRPr="008311DA">
        <w:t xml:space="preserve"> and Larisa </w:t>
      </w:r>
      <w:proofErr w:type="spellStart"/>
      <w:r w:rsidRPr="008311DA">
        <w:t>Praslova</w:t>
      </w:r>
      <w:proofErr w:type="spellEnd"/>
      <w:r w:rsidRPr="008311DA">
        <w:t xml:space="preserve"> (Household Survey Department). Emmanuel </w:t>
      </w:r>
      <w:proofErr w:type="spellStart"/>
      <w:r w:rsidRPr="008311DA">
        <w:t>Skoufias</w:t>
      </w:r>
      <w:proofErr w:type="spellEnd"/>
      <w:r w:rsidRPr="008311DA">
        <w:t xml:space="preserve"> and Nobuo Yoshida provided </w:t>
      </w:r>
      <w:r w:rsidR="00954EAD" w:rsidRPr="008311DA">
        <w:t xml:space="preserve">assistance through </w:t>
      </w:r>
      <w:r w:rsidR="007014B4">
        <w:t>productive</w:t>
      </w:r>
      <w:r w:rsidRPr="008311DA">
        <w:t xml:space="preserve"> discussions concerning the note. </w:t>
      </w:r>
    </w:p>
    <w:p w:rsidR="008311DA" w:rsidRPr="008311DA" w:rsidRDefault="008311DA" w:rsidP="008311DA"/>
    <w:p w:rsidR="008311DA" w:rsidRDefault="008311DA">
      <w:pPr>
        <w:spacing w:after="0" w:line="240" w:lineRule="auto"/>
        <w:jc w:val="left"/>
        <w:rPr>
          <w:rFonts w:ascii="Cambria" w:eastAsia="Times New Roman" w:hAnsi="Cambria"/>
          <w:b/>
          <w:bCs/>
          <w:color w:val="365F91"/>
          <w:sz w:val="28"/>
          <w:szCs w:val="28"/>
        </w:rPr>
      </w:pPr>
      <w:r>
        <w:br w:type="page"/>
      </w:r>
    </w:p>
    <w:p w:rsidR="00F15235" w:rsidRDefault="000F01AE">
      <w:pPr>
        <w:pStyle w:val="TOCHeading"/>
      </w:pPr>
      <w:r>
        <w:lastRenderedPageBreak/>
        <w:t>Content</w:t>
      </w:r>
    </w:p>
    <w:p w:rsidR="00F15235" w:rsidRPr="002145E5" w:rsidRDefault="00F15235" w:rsidP="002145E5"/>
    <w:p w:rsidR="00852B0F" w:rsidRDefault="00C12176">
      <w:pPr>
        <w:pStyle w:val="TOC1"/>
        <w:tabs>
          <w:tab w:val="right" w:leader="dot" w:pos="9350"/>
        </w:tabs>
        <w:rPr>
          <w:rFonts w:asciiTheme="minorHAnsi" w:eastAsiaTheme="minorEastAsia" w:hAnsiTheme="minorHAnsi" w:cstheme="minorBidi"/>
          <w:noProof/>
        </w:rPr>
      </w:pPr>
      <w:r>
        <w:fldChar w:fldCharType="begin"/>
      </w:r>
      <w:r w:rsidR="00F15235">
        <w:instrText xml:space="preserve"> TOC \o "1-3" \h \z \u </w:instrText>
      </w:r>
      <w:r>
        <w:fldChar w:fldCharType="separate"/>
      </w:r>
      <w:hyperlink w:anchor="_Toc353273021" w:history="1">
        <w:r w:rsidR="00852B0F" w:rsidRPr="00E658BE">
          <w:rPr>
            <w:rStyle w:val="Hyperlink"/>
            <w:noProof/>
          </w:rPr>
          <w:t>Regional disparities in the Kyrgyz Republic</w:t>
        </w:r>
        <w:r w:rsidR="00852B0F">
          <w:rPr>
            <w:noProof/>
            <w:webHidden/>
          </w:rPr>
          <w:tab/>
        </w:r>
        <w:r>
          <w:rPr>
            <w:noProof/>
            <w:webHidden/>
          </w:rPr>
          <w:fldChar w:fldCharType="begin"/>
        </w:r>
        <w:r w:rsidR="00852B0F">
          <w:rPr>
            <w:noProof/>
            <w:webHidden/>
          </w:rPr>
          <w:instrText xml:space="preserve"> PAGEREF _Toc353273021 \h </w:instrText>
        </w:r>
        <w:r>
          <w:rPr>
            <w:noProof/>
            <w:webHidden/>
          </w:rPr>
        </w:r>
        <w:r>
          <w:rPr>
            <w:noProof/>
            <w:webHidden/>
          </w:rPr>
          <w:fldChar w:fldCharType="separate"/>
        </w:r>
        <w:r w:rsidR="00292763">
          <w:rPr>
            <w:noProof/>
            <w:webHidden/>
          </w:rPr>
          <w:t>2</w:t>
        </w:r>
        <w:r>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22" w:history="1">
        <w:r w:rsidR="00852B0F" w:rsidRPr="00E658BE">
          <w:rPr>
            <w:rStyle w:val="Hyperlink"/>
            <w:noProof/>
          </w:rPr>
          <w:t>Acknowledgments</w:t>
        </w:r>
        <w:r w:rsidR="00852B0F">
          <w:rPr>
            <w:noProof/>
            <w:webHidden/>
          </w:rPr>
          <w:tab/>
        </w:r>
        <w:r w:rsidR="00C12176">
          <w:rPr>
            <w:noProof/>
            <w:webHidden/>
          </w:rPr>
          <w:fldChar w:fldCharType="begin"/>
        </w:r>
        <w:r w:rsidR="00852B0F">
          <w:rPr>
            <w:noProof/>
            <w:webHidden/>
          </w:rPr>
          <w:instrText xml:space="preserve"> PAGEREF _Toc353273022 \h </w:instrText>
        </w:r>
        <w:r w:rsidR="00C12176">
          <w:rPr>
            <w:noProof/>
            <w:webHidden/>
          </w:rPr>
        </w:r>
        <w:r w:rsidR="00C12176">
          <w:rPr>
            <w:noProof/>
            <w:webHidden/>
          </w:rPr>
          <w:fldChar w:fldCharType="separate"/>
        </w:r>
        <w:r>
          <w:rPr>
            <w:noProof/>
            <w:webHidden/>
          </w:rPr>
          <w:t>2</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23" w:history="1">
        <w:r w:rsidR="00852B0F" w:rsidRPr="00E658BE">
          <w:rPr>
            <w:rStyle w:val="Hyperlink"/>
            <w:noProof/>
          </w:rPr>
          <w:t>Introduction</w:t>
        </w:r>
        <w:r w:rsidR="00852B0F">
          <w:rPr>
            <w:noProof/>
            <w:webHidden/>
          </w:rPr>
          <w:tab/>
        </w:r>
        <w:r w:rsidR="00C12176">
          <w:rPr>
            <w:noProof/>
            <w:webHidden/>
          </w:rPr>
          <w:fldChar w:fldCharType="begin"/>
        </w:r>
        <w:r w:rsidR="00852B0F">
          <w:rPr>
            <w:noProof/>
            <w:webHidden/>
          </w:rPr>
          <w:instrText xml:space="preserve"> PAGEREF _Toc353273023 \h </w:instrText>
        </w:r>
        <w:r w:rsidR="00C12176">
          <w:rPr>
            <w:noProof/>
            <w:webHidden/>
          </w:rPr>
        </w:r>
        <w:r w:rsidR="00C12176">
          <w:rPr>
            <w:noProof/>
            <w:webHidden/>
          </w:rPr>
          <w:fldChar w:fldCharType="separate"/>
        </w:r>
        <w:r>
          <w:rPr>
            <w:noProof/>
            <w:webHidden/>
          </w:rPr>
          <w:t>4</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24" w:history="1">
        <w:r w:rsidR="00852B0F" w:rsidRPr="00E658BE">
          <w:rPr>
            <w:rStyle w:val="Hyperlink"/>
            <w:noProof/>
          </w:rPr>
          <w:t>Background information</w:t>
        </w:r>
        <w:r w:rsidR="00852B0F">
          <w:rPr>
            <w:noProof/>
            <w:webHidden/>
          </w:rPr>
          <w:tab/>
        </w:r>
        <w:r w:rsidR="00C12176">
          <w:rPr>
            <w:noProof/>
            <w:webHidden/>
          </w:rPr>
          <w:fldChar w:fldCharType="begin"/>
        </w:r>
        <w:r w:rsidR="00852B0F">
          <w:rPr>
            <w:noProof/>
            <w:webHidden/>
          </w:rPr>
          <w:instrText xml:space="preserve"> PAGEREF _Toc353273024 \h </w:instrText>
        </w:r>
        <w:r w:rsidR="00C12176">
          <w:rPr>
            <w:noProof/>
            <w:webHidden/>
          </w:rPr>
        </w:r>
        <w:r w:rsidR="00C12176">
          <w:rPr>
            <w:noProof/>
            <w:webHidden/>
          </w:rPr>
          <w:fldChar w:fldCharType="separate"/>
        </w:r>
        <w:r>
          <w:rPr>
            <w:noProof/>
            <w:webHidden/>
          </w:rPr>
          <w:t>5</w:t>
        </w:r>
        <w:r w:rsidR="00C12176">
          <w:rPr>
            <w:noProof/>
            <w:webHidden/>
          </w:rPr>
          <w:fldChar w:fldCharType="end"/>
        </w:r>
      </w:hyperlink>
    </w:p>
    <w:p w:rsidR="00852B0F" w:rsidRDefault="00292763">
      <w:pPr>
        <w:pStyle w:val="TOC3"/>
        <w:tabs>
          <w:tab w:val="right" w:leader="dot" w:pos="9350"/>
        </w:tabs>
        <w:rPr>
          <w:rFonts w:asciiTheme="minorHAnsi" w:eastAsiaTheme="minorEastAsia" w:hAnsiTheme="minorHAnsi" w:cstheme="minorBidi"/>
          <w:noProof/>
        </w:rPr>
      </w:pPr>
      <w:hyperlink w:anchor="_Toc353273025" w:history="1">
        <w:r w:rsidR="00852B0F" w:rsidRPr="00E658BE">
          <w:rPr>
            <w:rStyle w:val="Hyperlink"/>
            <w:noProof/>
          </w:rPr>
          <w:t>Poverty and economic growth</w:t>
        </w:r>
        <w:r w:rsidR="00852B0F">
          <w:rPr>
            <w:noProof/>
            <w:webHidden/>
          </w:rPr>
          <w:tab/>
        </w:r>
        <w:r w:rsidR="00C12176">
          <w:rPr>
            <w:noProof/>
            <w:webHidden/>
          </w:rPr>
          <w:fldChar w:fldCharType="begin"/>
        </w:r>
        <w:r w:rsidR="00852B0F">
          <w:rPr>
            <w:noProof/>
            <w:webHidden/>
          </w:rPr>
          <w:instrText xml:space="preserve"> PAGEREF _Toc353273025 \h </w:instrText>
        </w:r>
        <w:r w:rsidR="00C12176">
          <w:rPr>
            <w:noProof/>
            <w:webHidden/>
          </w:rPr>
        </w:r>
        <w:r w:rsidR="00C12176">
          <w:rPr>
            <w:noProof/>
            <w:webHidden/>
          </w:rPr>
          <w:fldChar w:fldCharType="separate"/>
        </w:r>
        <w:r>
          <w:rPr>
            <w:noProof/>
            <w:webHidden/>
          </w:rPr>
          <w:t>5</w:t>
        </w:r>
        <w:r w:rsidR="00C12176">
          <w:rPr>
            <w:noProof/>
            <w:webHidden/>
          </w:rPr>
          <w:fldChar w:fldCharType="end"/>
        </w:r>
      </w:hyperlink>
    </w:p>
    <w:p w:rsidR="00852B0F" w:rsidRDefault="00292763">
      <w:pPr>
        <w:pStyle w:val="TOC3"/>
        <w:tabs>
          <w:tab w:val="right" w:leader="dot" w:pos="9350"/>
        </w:tabs>
        <w:rPr>
          <w:rFonts w:asciiTheme="minorHAnsi" w:eastAsiaTheme="minorEastAsia" w:hAnsiTheme="minorHAnsi" w:cstheme="minorBidi"/>
          <w:noProof/>
        </w:rPr>
      </w:pPr>
      <w:hyperlink w:anchor="_Toc353273026" w:history="1">
        <w:r w:rsidR="00852B0F" w:rsidRPr="00E658BE">
          <w:rPr>
            <w:rStyle w:val="Hyperlink"/>
            <w:noProof/>
          </w:rPr>
          <w:t>Structural differences between areas</w:t>
        </w:r>
        <w:r w:rsidR="00852B0F">
          <w:rPr>
            <w:noProof/>
            <w:webHidden/>
          </w:rPr>
          <w:tab/>
        </w:r>
        <w:r w:rsidR="00C12176">
          <w:rPr>
            <w:noProof/>
            <w:webHidden/>
          </w:rPr>
          <w:fldChar w:fldCharType="begin"/>
        </w:r>
        <w:r w:rsidR="00852B0F">
          <w:rPr>
            <w:noProof/>
            <w:webHidden/>
          </w:rPr>
          <w:instrText xml:space="preserve"> PAGEREF _Toc353273026 \h </w:instrText>
        </w:r>
        <w:r w:rsidR="00C12176">
          <w:rPr>
            <w:noProof/>
            <w:webHidden/>
          </w:rPr>
        </w:r>
        <w:r w:rsidR="00C12176">
          <w:rPr>
            <w:noProof/>
            <w:webHidden/>
          </w:rPr>
          <w:fldChar w:fldCharType="separate"/>
        </w:r>
        <w:r>
          <w:rPr>
            <w:noProof/>
            <w:webHidden/>
          </w:rPr>
          <w:t>7</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27" w:history="1">
        <w:r w:rsidR="00852B0F" w:rsidRPr="00E658BE">
          <w:rPr>
            <w:rStyle w:val="Hyperlink"/>
            <w:noProof/>
          </w:rPr>
          <w:t>Methodology</w:t>
        </w:r>
        <w:r w:rsidR="00852B0F">
          <w:rPr>
            <w:noProof/>
            <w:webHidden/>
          </w:rPr>
          <w:tab/>
        </w:r>
        <w:r w:rsidR="00C12176">
          <w:rPr>
            <w:noProof/>
            <w:webHidden/>
          </w:rPr>
          <w:fldChar w:fldCharType="begin"/>
        </w:r>
        <w:r w:rsidR="00852B0F">
          <w:rPr>
            <w:noProof/>
            <w:webHidden/>
          </w:rPr>
          <w:instrText xml:space="preserve"> PAGEREF _Toc353273027 \h </w:instrText>
        </w:r>
        <w:r w:rsidR="00C12176">
          <w:rPr>
            <w:noProof/>
            <w:webHidden/>
          </w:rPr>
        </w:r>
        <w:r w:rsidR="00C12176">
          <w:rPr>
            <w:noProof/>
            <w:webHidden/>
          </w:rPr>
          <w:fldChar w:fldCharType="separate"/>
        </w:r>
        <w:r>
          <w:rPr>
            <w:noProof/>
            <w:webHidden/>
          </w:rPr>
          <w:t>8</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28" w:history="1">
        <w:r w:rsidR="00852B0F" w:rsidRPr="00E658BE">
          <w:rPr>
            <w:rStyle w:val="Hyperlink"/>
            <w:noProof/>
          </w:rPr>
          <w:t>Results of decomposition</w:t>
        </w:r>
        <w:r w:rsidR="00852B0F">
          <w:rPr>
            <w:noProof/>
            <w:webHidden/>
          </w:rPr>
          <w:tab/>
        </w:r>
        <w:r w:rsidR="00C12176">
          <w:rPr>
            <w:noProof/>
            <w:webHidden/>
          </w:rPr>
          <w:fldChar w:fldCharType="begin"/>
        </w:r>
        <w:r w:rsidR="00852B0F">
          <w:rPr>
            <w:noProof/>
            <w:webHidden/>
          </w:rPr>
          <w:instrText xml:space="preserve"> PAGEREF _Toc353273028 \h </w:instrText>
        </w:r>
        <w:r w:rsidR="00C12176">
          <w:rPr>
            <w:noProof/>
            <w:webHidden/>
          </w:rPr>
        </w:r>
        <w:r w:rsidR="00C12176">
          <w:rPr>
            <w:noProof/>
            <w:webHidden/>
          </w:rPr>
          <w:fldChar w:fldCharType="separate"/>
        </w:r>
        <w:r>
          <w:rPr>
            <w:noProof/>
            <w:webHidden/>
          </w:rPr>
          <w:t>11</w:t>
        </w:r>
        <w:r w:rsidR="00C12176">
          <w:rPr>
            <w:noProof/>
            <w:webHidden/>
          </w:rPr>
          <w:fldChar w:fldCharType="end"/>
        </w:r>
      </w:hyperlink>
    </w:p>
    <w:p w:rsidR="00852B0F" w:rsidRDefault="00292763">
      <w:pPr>
        <w:pStyle w:val="TOC3"/>
        <w:tabs>
          <w:tab w:val="right" w:leader="dot" w:pos="9350"/>
        </w:tabs>
        <w:rPr>
          <w:rFonts w:asciiTheme="minorHAnsi" w:eastAsiaTheme="minorEastAsia" w:hAnsiTheme="minorHAnsi" w:cstheme="minorBidi"/>
          <w:noProof/>
        </w:rPr>
      </w:pPr>
      <w:hyperlink w:anchor="_Toc353273029" w:history="1">
        <w:r w:rsidR="00852B0F" w:rsidRPr="00E658BE">
          <w:rPr>
            <w:rStyle w:val="Hyperlink"/>
            <w:noProof/>
          </w:rPr>
          <w:t>Oaxaca-Blinder Decomposition at the Mean of Distribution</w:t>
        </w:r>
        <w:r w:rsidR="00852B0F">
          <w:rPr>
            <w:noProof/>
            <w:webHidden/>
          </w:rPr>
          <w:tab/>
        </w:r>
        <w:r w:rsidR="00C12176">
          <w:rPr>
            <w:noProof/>
            <w:webHidden/>
          </w:rPr>
          <w:fldChar w:fldCharType="begin"/>
        </w:r>
        <w:r w:rsidR="00852B0F">
          <w:rPr>
            <w:noProof/>
            <w:webHidden/>
          </w:rPr>
          <w:instrText xml:space="preserve"> PAGEREF _Toc353273029 \h </w:instrText>
        </w:r>
        <w:r w:rsidR="00C12176">
          <w:rPr>
            <w:noProof/>
            <w:webHidden/>
          </w:rPr>
        </w:r>
        <w:r w:rsidR="00C12176">
          <w:rPr>
            <w:noProof/>
            <w:webHidden/>
          </w:rPr>
          <w:fldChar w:fldCharType="separate"/>
        </w:r>
        <w:r>
          <w:rPr>
            <w:noProof/>
            <w:webHidden/>
          </w:rPr>
          <w:t>11</w:t>
        </w:r>
        <w:r w:rsidR="00C12176">
          <w:rPr>
            <w:noProof/>
            <w:webHidden/>
          </w:rPr>
          <w:fldChar w:fldCharType="end"/>
        </w:r>
      </w:hyperlink>
    </w:p>
    <w:p w:rsidR="00852B0F" w:rsidRDefault="00292763">
      <w:pPr>
        <w:pStyle w:val="TOC3"/>
        <w:tabs>
          <w:tab w:val="right" w:leader="dot" w:pos="9350"/>
        </w:tabs>
        <w:rPr>
          <w:rFonts w:asciiTheme="minorHAnsi" w:eastAsiaTheme="minorEastAsia" w:hAnsiTheme="minorHAnsi" w:cstheme="minorBidi"/>
          <w:noProof/>
        </w:rPr>
      </w:pPr>
      <w:hyperlink w:anchor="_Toc353273030" w:history="1">
        <w:r w:rsidR="00852B0F" w:rsidRPr="00E658BE">
          <w:rPr>
            <w:rStyle w:val="Hyperlink"/>
            <w:noProof/>
          </w:rPr>
          <w:t>Oaxaca-Blinder Decomposition across the Distribution</w:t>
        </w:r>
        <w:r w:rsidR="00852B0F">
          <w:rPr>
            <w:noProof/>
            <w:webHidden/>
          </w:rPr>
          <w:tab/>
        </w:r>
        <w:r w:rsidR="00C12176">
          <w:rPr>
            <w:noProof/>
            <w:webHidden/>
          </w:rPr>
          <w:fldChar w:fldCharType="begin"/>
        </w:r>
        <w:r w:rsidR="00852B0F">
          <w:rPr>
            <w:noProof/>
            <w:webHidden/>
          </w:rPr>
          <w:instrText xml:space="preserve"> PAGEREF _Toc353273030 \h </w:instrText>
        </w:r>
        <w:r w:rsidR="00C12176">
          <w:rPr>
            <w:noProof/>
            <w:webHidden/>
          </w:rPr>
        </w:r>
        <w:r w:rsidR="00C12176">
          <w:rPr>
            <w:noProof/>
            <w:webHidden/>
          </w:rPr>
          <w:fldChar w:fldCharType="separate"/>
        </w:r>
        <w:r>
          <w:rPr>
            <w:noProof/>
            <w:webHidden/>
          </w:rPr>
          <w:t>14</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31" w:history="1">
        <w:r w:rsidR="00852B0F" w:rsidRPr="00E658BE">
          <w:rPr>
            <w:rStyle w:val="Hyperlink"/>
            <w:noProof/>
          </w:rPr>
          <w:t>Conclusion</w:t>
        </w:r>
        <w:r w:rsidR="00852B0F">
          <w:rPr>
            <w:noProof/>
            <w:webHidden/>
          </w:rPr>
          <w:tab/>
        </w:r>
        <w:r w:rsidR="00C12176">
          <w:rPr>
            <w:noProof/>
            <w:webHidden/>
          </w:rPr>
          <w:fldChar w:fldCharType="begin"/>
        </w:r>
        <w:r w:rsidR="00852B0F">
          <w:rPr>
            <w:noProof/>
            <w:webHidden/>
          </w:rPr>
          <w:instrText xml:space="preserve"> PAGEREF _Toc353273031 \h </w:instrText>
        </w:r>
        <w:r w:rsidR="00C12176">
          <w:rPr>
            <w:noProof/>
            <w:webHidden/>
          </w:rPr>
        </w:r>
        <w:r w:rsidR="00C12176">
          <w:rPr>
            <w:noProof/>
            <w:webHidden/>
          </w:rPr>
          <w:fldChar w:fldCharType="separate"/>
        </w:r>
        <w:r>
          <w:rPr>
            <w:noProof/>
            <w:webHidden/>
          </w:rPr>
          <w:t>16</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32" w:history="1">
        <w:r w:rsidR="00852B0F" w:rsidRPr="00E658BE">
          <w:rPr>
            <w:rStyle w:val="Hyperlink"/>
            <w:noProof/>
          </w:rPr>
          <w:t>References</w:t>
        </w:r>
        <w:r w:rsidR="00852B0F">
          <w:rPr>
            <w:noProof/>
            <w:webHidden/>
          </w:rPr>
          <w:tab/>
        </w:r>
        <w:r w:rsidR="00C12176">
          <w:rPr>
            <w:noProof/>
            <w:webHidden/>
          </w:rPr>
          <w:fldChar w:fldCharType="begin"/>
        </w:r>
        <w:r w:rsidR="00852B0F">
          <w:rPr>
            <w:noProof/>
            <w:webHidden/>
          </w:rPr>
          <w:instrText xml:space="preserve"> PAGEREF _Toc353273032 \h </w:instrText>
        </w:r>
        <w:r w:rsidR="00C12176">
          <w:rPr>
            <w:noProof/>
            <w:webHidden/>
          </w:rPr>
        </w:r>
        <w:r w:rsidR="00C12176">
          <w:rPr>
            <w:noProof/>
            <w:webHidden/>
          </w:rPr>
          <w:fldChar w:fldCharType="separate"/>
        </w:r>
        <w:r>
          <w:rPr>
            <w:noProof/>
            <w:webHidden/>
          </w:rPr>
          <w:t>18</w:t>
        </w:r>
        <w:r w:rsidR="00C12176">
          <w:rPr>
            <w:noProof/>
            <w:webHidden/>
          </w:rPr>
          <w:fldChar w:fldCharType="end"/>
        </w:r>
      </w:hyperlink>
    </w:p>
    <w:p w:rsidR="00852B0F" w:rsidRDefault="00292763">
      <w:pPr>
        <w:pStyle w:val="TOC2"/>
        <w:tabs>
          <w:tab w:val="right" w:leader="dot" w:pos="9350"/>
        </w:tabs>
        <w:rPr>
          <w:rFonts w:asciiTheme="minorHAnsi" w:eastAsiaTheme="minorEastAsia" w:hAnsiTheme="minorHAnsi" w:cstheme="minorBidi"/>
          <w:noProof/>
        </w:rPr>
      </w:pPr>
      <w:hyperlink w:anchor="_Toc353273033" w:history="1">
        <w:r w:rsidR="00852B0F" w:rsidRPr="00E658BE">
          <w:rPr>
            <w:rStyle w:val="Hyperlink"/>
            <w:noProof/>
          </w:rPr>
          <w:t>Appendix</w:t>
        </w:r>
        <w:r w:rsidR="00852B0F">
          <w:rPr>
            <w:noProof/>
            <w:webHidden/>
          </w:rPr>
          <w:tab/>
        </w:r>
        <w:r w:rsidR="00C12176">
          <w:rPr>
            <w:noProof/>
            <w:webHidden/>
          </w:rPr>
          <w:fldChar w:fldCharType="begin"/>
        </w:r>
        <w:r w:rsidR="00852B0F">
          <w:rPr>
            <w:noProof/>
            <w:webHidden/>
          </w:rPr>
          <w:instrText xml:space="preserve"> PAGEREF _Toc353273033 \h </w:instrText>
        </w:r>
        <w:r w:rsidR="00C12176">
          <w:rPr>
            <w:noProof/>
            <w:webHidden/>
          </w:rPr>
        </w:r>
        <w:r w:rsidR="00C12176">
          <w:rPr>
            <w:noProof/>
            <w:webHidden/>
          </w:rPr>
          <w:fldChar w:fldCharType="separate"/>
        </w:r>
        <w:r>
          <w:rPr>
            <w:noProof/>
            <w:webHidden/>
          </w:rPr>
          <w:t>19</w:t>
        </w:r>
        <w:r w:rsidR="00C12176">
          <w:rPr>
            <w:noProof/>
            <w:webHidden/>
          </w:rPr>
          <w:fldChar w:fldCharType="end"/>
        </w:r>
      </w:hyperlink>
    </w:p>
    <w:p w:rsidR="00F15235" w:rsidRDefault="00C12176">
      <w:r>
        <w:fldChar w:fldCharType="end"/>
      </w:r>
    </w:p>
    <w:p w:rsidR="00F15235" w:rsidRDefault="00F15235" w:rsidP="006B36BD">
      <w:pPr>
        <w:pStyle w:val="Heading2"/>
      </w:pPr>
    </w:p>
    <w:p w:rsidR="00F15235" w:rsidRDefault="00F15235" w:rsidP="002145E5"/>
    <w:p w:rsidR="00F15235" w:rsidRDefault="00F15235" w:rsidP="002145E5"/>
    <w:p w:rsidR="00F15235" w:rsidRDefault="00F15235" w:rsidP="002145E5"/>
    <w:p w:rsidR="00F15235" w:rsidRDefault="00F15235" w:rsidP="002145E5"/>
    <w:p w:rsidR="00F15235" w:rsidRPr="002145E5" w:rsidRDefault="00F15235" w:rsidP="002145E5"/>
    <w:p w:rsidR="00F15235" w:rsidRPr="00422024" w:rsidRDefault="00F15235" w:rsidP="00422024">
      <w:pPr>
        <w:sectPr w:rsidR="00F15235" w:rsidRPr="00422024" w:rsidSect="001B3CD1">
          <w:headerReference w:type="default" r:id="rId10"/>
          <w:footerReference w:type="even" r:id="rId11"/>
          <w:footerReference w:type="default" r:id="rId12"/>
          <w:pgSz w:w="12240" w:h="15840"/>
          <w:pgMar w:top="1440" w:right="1440" w:bottom="1440" w:left="1440" w:header="720" w:footer="720" w:gutter="0"/>
          <w:cols w:space="720"/>
          <w:titlePg/>
          <w:docGrid w:linePitch="360"/>
        </w:sectPr>
      </w:pPr>
    </w:p>
    <w:p w:rsidR="00F15235" w:rsidRDefault="00F15235" w:rsidP="00212A5A">
      <w:pPr>
        <w:pStyle w:val="Heading2"/>
        <w:spacing w:after="120"/>
        <w:ind w:left="360"/>
      </w:pPr>
      <w:bookmarkStart w:id="3" w:name="_Toc345521057"/>
      <w:bookmarkStart w:id="4" w:name="_Toc353273023"/>
      <w:r>
        <w:lastRenderedPageBreak/>
        <w:t>Introduction</w:t>
      </w:r>
      <w:bookmarkEnd w:id="3"/>
      <w:bookmarkEnd w:id="4"/>
    </w:p>
    <w:p w:rsidR="00F15235" w:rsidRDefault="00F15235" w:rsidP="00F6020A">
      <w:r>
        <w:t>Every country has places where living standards are lower than the national</w:t>
      </w:r>
      <w:r w:rsidR="00AD0AAC">
        <w:t xml:space="preserve"> average</w:t>
      </w:r>
      <w:r>
        <w:t>. The welfare disparities between and within regions may stem from the concentration of people with better demographic and human capital characteristics (concentration</w:t>
      </w:r>
      <w:r w:rsidR="00AD0AAC">
        <w:t xml:space="preserve"> hypothesis</w:t>
      </w:r>
      <w:r>
        <w:t>) or due to the differences in returns to these characteristics (geography</w:t>
      </w:r>
      <w:r w:rsidR="00AD0AAC">
        <w:t xml:space="preserve"> hypothesis</w:t>
      </w:r>
      <w:r>
        <w:t xml:space="preserve">). The concentration of people with more favorable characteristics is possible due to migration, while differences in returns and </w:t>
      </w:r>
      <w:r w:rsidR="00AD0AAC">
        <w:t>productivity</w:t>
      </w:r>
      <w:r>
        <w:t xml:space="preserve"> stem from specific geographic factors, such as the quality of institutions, access to infrastructure, distance, and size of the</w:t>
      </w:r>
      <w:r w:rsidR="002867EF">
        <w:t xml:space="preserve"> markets (</w:t>
      </w:r>
      <w:proofErr w:type="spellStart"/>
      <w:r w:rsidR="002867EF">
        <w:t>Skoufias</w:t>
      </w:r>
      <w:proofErr w:type="spellEnd"/>
      <w:r w:rsidR="002867EF">
        <w:t xml:space="preserve"> and Katayama</w:t>
      </w:r>
      <w:r>
        <w:t xml:space="preserve"> 2011). Understanding whether people’</w:t>
      </w:r>
      <w:r w:rsidR="00AD0AAC">
        <w:t>s</w:t>
      </w:r>
      <w:r>
        <w:t xml:space="preserve"> characteristics or geography explain regional disparities has </w:t>
      </w:r>
      <w:r w:rsidR="00AD0AAC">
        <w:t>important</w:t>
      </w:r>
      <w:r>
        <w:t xml:space="preserve"> policy implications calling for programs either investing in people or </w:t>
      </w:r>
      <w:r w:rsidR="008311DA">
        <w:t xml:space="preserve">in </w:t>
      </w:r>
      <w:r>
        <w:t>particular lagging areas.</w:t>
      </w:r>
    </w:p>
    <w:p w:rsidR="00F15235" w:rsidRDefault="00F15235" w:rsidP="00F6020A">
      <w:r>
        <w:t xml:space="preserve"> High regional disparities are often considered as factors undermining economic growth, leading to inequality of opportunities and creating social tensions inhibiting further poverty reduction. However, according to the New Economic Geography</w:t>
      </w:r>
      <w:r w:rsidR="008311DA">
        <w:t>,</w:t>
      </w:r>
      <w:r>
        <w:t xml:space="preserve"> uneven regional development per se is not a problem</w:t>
      </w:r>
      <w:r w:rsidR="008311DA">
        <w:t xml:space="preserve">. </w:t>
      </w:r>
      <w:r>
        <w:t xml:space="preserve"> </w:t>
      </w:r>
      <w:r w:rsidR="008311DA">
        <w:t>This development merely indicates that</w:t>
      </w:r>
      <w:r>
        <w:t xml:space="preserve"> better infrastructure, market specialization, information exchange</w:t>
      </w:r>
      <w:r w:rsidR="008311DA">
        <w:t>,</w:t>
      </w:r>
      <w:r>
        <w:t xml:space="preserve"> and</w:t>
      </w:r>
      <w:r w:rsidR="008311DA">
        <w:t xml:space="preserve"> the</w:t>
      </w:r>
      <w:r>
        <w:t xml:space="preserve"> concentration of high</w:t>
      </w:r>
      <w:r w:rsidR="008311DA">
        <w:t>ly</w:t>
      </w:r>
      <w:r>
        <w:t xml:space="preserve"> skilled workers </w:t>
      </w:r>
      <w:r w:rsidR="008311DA">
        <w:t>reduces costs</w:t>
      </w:r>
      <w:r>
        <w:t xml:space="preserve"> and </w:t>
      </w:r>
      <w:r w:rsidR="008311DA">
        <w:t xml:space="preserve">increases </w:t>
      </w:r>
      <w:r>
        <w:t xml:space="preserve">returns in leading areas </w:t>
      </w:r>
      <w:r w:rsidR="008311DA">
        <w:t>despite</w:t>
      </w:r>
      <w:r>
        <w:t xml:space="preserve"> the context of incoming migration</w:t>
      </w:r>
      <w:r w:rsidR="00AD0AAC">
        <w:t xml:space="preserve"> creating </w:t>
      </w:r>
      <w:r w:rsidR="008311DA">
        <w:t xml:space="preserve">a </w:t>
      </w:r>
      <w:r w:rsidR="00AD0AAC">
        <w:t>so called agglomeration effect</w:t>
      </w:r>
      <w:r w:rsidR="002867EF">
        <w:t xml:space="preserve"> (</w:t>
      </w:r>
      <w:proofErr w:type="spellStart"/>
      <w:r w:rsidR="002867EF">
        <w:t>Krugman</w:t>
      </w:r>
      <w:proofErr w:type="spellEnd"/>
      <w:r>
        <w:t xml:space="preserve"> 1998). If this</w:t>
      </w:r>
      <w:r w:rsidR="008311DA">
        <w:t xml:space="preserve"> scenario</w:t>
      </w:r>
      <w:r>
        <w:t xml:space="preserve"> is the case, then migration from lagging areas to the leading areas should be facilitated in spite of the inequality in the living standards</w:t>
      </w:r>
      <w:r w:rsidR="008311DA">
        <w:t>. Such migration would generate</w:t>
      </w:r>
      <w:r>
        <w:t xml:space="preserve"> economic growth and enhance overall productivity</w:t>
      </w:r>
      <w:r w:rsidR="002A6EC8">
        <w:t xml:space="preserve"> (World Bank, 2008)</w:t>
      </w:r>
      <w:r>
        <w:t>. Exploring and quantifying the sources of regional inequality is an important academic and policy question which has not been extensively addressed in empirical li</w:t>
      </w:r>
      <w:r w:rsidR="002867EF">
        <w:t>terature (</w:t>
      </w:r>
      <w:proofErr w:type="spellStart"/>
      <w:r w:rsidR="002867EF">
        <w:t>Skoufias</w:t>
      </w:r>
      <w:proofErr w:type="spellEnd"/>
      <w:r w:rsidR="002867EF">
        <w:t xml:space="preserve"> and Katayama</w:t>
      </w:r>
      <w:r>
        <w:t xml:space="preserve"> 2011).</w:t>
      </w:r>
    </w:p>
    <w:p w:rsidR="00F15235" w:rsidRDefault="00F15235" w:rsidP="00F6020A">
      <w:r>
        <w:t xml:space="preserve"> Kyrgyz Republic is an interesting case to study welfare disparities because of pronounced and long existed differences across </w:t>
      </w:r>
      <w:r w:rsidR="008311DA">
        <w:t xml:space="preserve">various </w:t>
      </w:r>
      <w:r>
        <w:t>regions and rural and urban areas of the country in spite of economic growth and overal</w:t>
      </w:r>
      <w:r w:rsidR="002867EF">
        <w:t>l poverty reduction (World Bank</w:t>
      </w:r>
      <w:r>
        <w:t xml:space="preserve"> 2011). For instance urban poverty </w:t>
      </w:r>
      <w:r w:rsidR="008311DA">
        <w:t xml:space="preserve">stood at </w:t>
      </w:r>
      <w:r>
        <w:t>31 percent versus 40 percent in rural areas in 2011 (N</w:t>
      </w:r>
      <w:r w:rsidR="006527B8">
        <w:t xml:space="preserve">ational </w:t>
      </w:r>
      <w:r>
        <w:t>S</w:t>
      </w:r>
      <w:r w:rsidR="006527B8">
        <w:t>tatistical Committee</w:t>
      </w:r>
      <w:r>
        <w:t>). The welfare disparities are particular</w:t>
      </w:r>
      <w:r w:rsidR="008311DA">
        <w:t>ly</w:t>
      </w:r>
      <w:r>
        <w:t xml:space="preserve"> striking between</w:t>
      </w:r>
      <w:r w:rsidR="008311DA">
        <w:t xml:space="preserve"> the</w:t>
      </w:r>
      <w:r>
        <w:t xml:space="preserve"> growing capital Bishkek and </w:t>
      </w:r>
      <w:r w:rsidR="008311DA">
        <w:t xml:space="preserve">the </w:t>
      </w:r>
      <w:r>
        <w:t xml:space="preserve">other regions. Thus, for example, the poverty in </w:t>
      </w:r>
      <w:r w:rsidR="008311DA">
        <w:t xml:space="preserve">the </w:t>
      </w:r>
      <w:proofErr w:type="spellStart"/>
      <w:r>
        <w:t>Naryn</w:t>
      </w:r>
      <w:proofErr w:type="spellEnd"/>
      <w:r>
        <w:t xml:space="preserve"> region is 50 percent versus 18 percent in the capital.</w:t>
      </w:r>
    </w:p>
    <w:p w:rsidR="00F15235" w:rsidRDefault="00F15235" w:rsidP="00F6020A">
      <w:r>
        <w:t xml:space="preserve"> The main goal of this paper is, therefore, to analyze regional disparities in the Kyrgyz Republic by </w:t>
      </w:r>
      <w:r w:rsidR="00BB2FFD">
        <w:t>quantifying and separating the gap in welfare disparities in 2011 into two parts: the first part associated with observable characteristics of households and the second part associated with differences in marginal returns to these characteristics</w:t>
      </w:r>
      <w:r w:rsidR="002A26DF">
        <w:t xml:space="preserve"> (potentially related to geographic factors). </w:t>
      </w:r>
      <w:r>
        <w:t xml:space="preserve">Welfare disparities will be analyzed between and within the regions. </w:t>
      </w:r>
      <w:r w:rsidR="008311DA">
        <w:t>In addition,</w:t>
      </w:r>
      <w:r>
        <w:t xml:space="preserve"> the role of returns and characteristics in explaining welfare disparities both at the mean and across the distribution using Oaxaca-Blinder decomposition and its extensions</w:t>
      </w:r>
      <w:r w:rsidR="008311DA">
        <w:t xml:space="preserve"> is quantified</w:t>
      </w:r>
      <w:r>
        <w:t xml:space="preserve">. These methods have </w:t>
      </w:r>
      <w:r w:rsidR="008311DA">
        <w:t xml:space="preserve">recently </w:t>
      </w:r>
      <w:r>
        <w:t>been used to explain regional disparities in Latin American countr</w:t>
      </w:r>
      <w:r w:rsidR="002867EF">
        <w:t>ies (</w:t>
      </w:r>
      <w:proofErr w:type="spellStart"/>
      <w:r w:rsidR="002867EF">
        <w:t>Skoufias</w:t>
      </w:r>
      <w:proofErr w:type="spellEnd"/>
      <w:r w:rsidR="002867EF">
        <w:t xml:space="preserve"> and Lopez-Acevedo 2009; </w:t>
      </w:r>
      <w:proofErr w:type="spellStart"/>
      <w:r w:rsidR="002867EF">
        <w:t>Skoufias</w:t>
      </w:r>
      <w:proofErr w:type="spellEnd"/>
      <w:r w:rsidR="002867EF">
        <w:t xml:space="preserve"> and Katayama</w:t>
      </w:r>
      <w:r>
        <w:t xml:space="preserve"> 2</w:t>
      </w:r>
      <w:r w:rsidR="002867EF">
        <w:t>011) and Vietnam (</w:t>
      </w:r>
      <w:proofErr w:type="spellStart"/>
      <w:r w:rsidR="002867EF">
        <w:t>Ngyuen</w:t>
      </w:r>
      <w:proofErr w:type="spellEnd"/>
      <w:r w:rsidR="002867EF">
        <w:t xml:space="preserve"> et al.</w:t>
      </w:r>
      <w:r>
        <w:t xml:space="preserve"> 2007). </w:t>
      </w:r>
      <w:r w:rsidR="00B424B8">
        <w:t xml:space="preserve"> </w:t>
      </w:r>
    </w:p>
    <w:p w:rsidR="00F15235" w:rsidRDefault="00F15235" w:rsidP="00F6020A">
      <w:r>
        <w:t xml:space="preserve"> The proposed research can be an important source of empirical evidence testing the </w:t>
      </w:r>
      <w:r w:rsidR="00AD0AAC">
        <w:t>propositions</w:t>
      </w:r>
      <w:r>
        <w:t xml:space="preserve"> from the New Economic Geography. This is also the first empirical paper aimed at explaining</w:t>
      </w:r>
      <w:r w:rsidR="00056838" w:rsidRPr="00056838">
        <w:t xml:space="preserve"> </w:t>
      </w:r>
      <w:r w:rsidR="00056838">
        <w:t>regional</w:t>
      </w:r>
      <w:r>
        <w:t xml:space="preserve"> welfare </w:t>
      </w:r>
      <w:r>
        <w:lastRenderedPageBreak/>
        <w:t>disparities in</w:t>
      </w:r>
      <w:r w:rsidR="00AD0AAC">
        <w:t xml:space="preserve"> a country from</w:t>
      </w:r>
      <w:r>
        <w:t xml:space="preserve"> </w:t>
      </w:r>
      <w:r w:rsidR="008311DA">
        <w:t xml:space="preserve">the </w:t>
      </w:r>
      <w:r>
        <w:t>Central Asian region where the urban rural gap is an important component of inequality.</w:t>
      </w:r>
    </w:p>
    <w:p w:rsidR="00F15235" w:rsidRDefault="00F15235" w:rsidP="00F6020A">
      <w:r>
        <w:t>The paper is structure</w:t>
      </w:r>
      <w:r w:rsidR="00A160D9">
        <w:t>d</w:t>
      </w:r>
      <w:r>
        <w:t xml:space="preserve"> as follows. It starts from</w:t>
      </w:r>
      <w:r w:rsidR="006527B8">
        <w:t xml:space="preserve"> the</w:t>
      </w:r>
      <w:r>
        <w:t xml:space="preserve"> background information</w:t>
      </w:r>
      <w:r w:rsidR="00AD0AAC">
        <w:t xml:space="preserve"> describing</w:t>
      </w:r>
      <w:r>
        <w:t xml:space="preserve"> welfare disparities, economic growth and structural difference</w:t>
      </w:r>
      <w:r w:rsidR="006F554A">
        <w:t>s</w:t>
      </w:r>
      <w:r>
        <w:t xml:space="preserve"> across</w:t>
      </w:r>
      <w:r w:rsidR="006F554A">
        <w:t xml:space="preserve"> different</w:t>
      </w:r>
      <w:r>
        <w:t xml:space="preserve"> areas. The third section briefly discusses the methodology. </w:t>
      </w:r>
      <w:r w:rsidR="008311DA">
        <w:t>The r</w:t>
      </w:r>
      <w:r>
        <w:t>esults of</w:t>
      </w:r>
      <w:r w:rsidR="006F554A">
        <w:t xml:space="preserve"> the</w:t>
      </w:r>
      <w:r>
        <w:t xml:space="preserve"> decomposition are presented and discussed in the fourth section. The fifth section concludes.</w:t>
      </w:r>
    </w:p>
    <w:p w:rsidR="00F15235" w:rsidRDefault="00F15235" w:rsidP="00212A5A">
      <w:pPr>
        <w:pStyle w:val="Heading2"/>
        <w:spacing w:after="120"/>
        <w:ind w:left="360"/>
      </w:pPr>
      <w:bookmarkStart w:id="5" w:name="_Toc353273024"/>
      <w:r>
        <w:t>Background information</w:t>
      </w:r>
      <w:bookmarkEnd w:id="5"/>
    </w:p>
    <w:p w:rsidR="00F15235" w:rsidRDefault="00F15235" w:rsidP="004878FE">
      <w:pPr>
        <w:pStyle w:val="Heading3"/>
        <w:spacing w:after="120"/>
      </w:pPr>
      <w:bookmarkStart w:id="6" w:name="_Toc353273025"/>
      <w:r>
        <w:t>Poverty and economic growth</w:t>
      </w:r>
      <w:bookmarkEnd w:id="6"/>
    </w:p>
    <w:p w:rsidR="00F15235" w:rsidRDefault="00F15235" w:rsidP="006B61C3">
      <w:r w:rsidRPr="007624A8">
        <w:rPr>
          <w:b/>
        </w:rPr>
        <w:t xml:space="preserve">Poverty was </w:t>
      </w:r>
      <w:r w:rsidR="008311DA">
        <w:rPr>
          <w:b/>
        </w:rPr>
        <w:t xml:space="preserve">declining </w:t>
      </w:r>
      <w:r w:rsidRPr="007624A8">
        <w:rPr>
          <w:b/>
        </w:rPr>
        <w:t>rapidly in the Kyrgyz Republic during 2004-2009</w:t>
      </w:r>
      <w:r w:rsidR="006F554A">
        <w:rPr>
          <w:b/>
        </w:rPr>
        <w:t xml:space="preserve"> </w:t>
      </w:r>
      <w:r w:rsidRPr="007624A8">
        <w:rPr>
          <w:b/>
        </w:rPr>
        <w:t>until</w:t>
      </w:r>
      <w:r>
        <w:rPr>
          <w:b/>
        </w:rPr>
        <w:t xml:space="preserve"> the</w:t>
      </w:r>
      <w:r w:rsidRPr="007624A8">
        <w:rPr>
          <w:b/>
        </w:rPr>
        <w:t xml:space="preserve"> economic crisis, political instability and internal conflict reversed the trend. </w:t>
      </w:r>
      <w:r w:rsidR="000C7237" w:rsidRPr="002B200E">
        <w:t>The</w:t>
      </w:r>
      <w:r w:rsidR="000C7237">
        <w:rPr>
          <w:b/>
        </w:rPr>
        <w:t xml:space="preserve"> </w:t>
      </w:r>
      <w:r w:rsidR="000C7237">
        <w:t>p</w:t>
      </w:r>
      <w:r>
        <w:t>overty</w:t>
      </w:r>
      <w:r w:rsidR="00AD0AAC">
        <w:t xml:space="preserve"> headcount ratio</w:t>
      </w:r>
      <w:r>
        <w:t xml:space="preserve"> fell down by 14 percentage points </w:t>
      </w:r>
      <w:r w:rsidR="006F554A">
        <w:t xml:space="preserve">in </w:t>
      </w:r>
      <w:r>
        <w:t>the Kyrgyz</w:t>
      </w:r>
      <w:r w:rsidR="00AD0AAC">
        <w:t xml:space="preserve"> Republic from 46</w:t>
      </w:r>
      <w:r w:rsidR="006F554A">
        <w:t xml:space="preserve"> percent in 2004</w:t>
      </w:r>
      <w:r w:rsidR="00AD0AAC">
        <w:t xml:space="preserve"> to 32</w:t>
      </w:r>
      <w:r w:rsidR="006F554A">
        <w:t xml:space="preserve"> percent in 2009</w:t>
      </w:r>
      <w:r w:rsidR="00AD0AAC">
        <w:t xml:space="preserve"> following closely </w:t>
      </w:r>
      <w:r w:rsidR="006F554A">
        <w:t xml:space="preserve">the </w:t>
      </w:r>
      <w:r w:rsidR="00AD0AAC">
        <w:t>economic growth</w:t>
      </w:r>
      <w:r w:rsidR="006F554A">
        <w:t xml:space="preserve"> during this period</w:t>
      </w:r>
      <w:r w:rsidR="00AD0AAC">
        <w:t>.</w:t>
      </w:r>
      <w:r>
        <w:t xml:space="preserve"> </w:t>
      </w:r>
      <w:r w:rsidR="006F554A">
        <w:t>Decline in poverty</w:t>
      </w:r>
      <w:r w:rsidR="00AD0AAC">
        <w:t xml:space="preserve"> </w:t>
      </w:r>
      <w:r>
        <w:t xml:space="preserve">was more pronounced in rural areas, where the overall drop was </w:t>
      </w:r>
      <w:r w:rsidR="00AD0AAC">
        <w:t>20</w:t>
      </w:r>
      <w:r>
        <w:t xml:space="preserve"> percent compared to </w:t>
      </w:r>
      <w:r w:rsidR="00AD0AAC">
        <w:t>14</w:t>
      </w:r>
      <w:r>
        <w:t xml:space="preserve"> percent in urban areas. The reverse trend in poverty reduction has been observed </w:t>
      </w:r>
      <w:r w:rsidR="006F554A">
        <w:t xml:space="preserve">since </w:t>
      </w:r>
      <w:r>
        <w:t xml:space="preserve">2009, when poverty started growing again due </w:t>
      </w:r>
      <w:r w:rsidR="00930E6B">
        <w:t>to the</w:t>
      </w:r>
      <w:r w:rsidR="00AD0AAC">
        <w:t xml:space="preserve"> economic crisi</w:t>
      </w:r>
      <w:r>
        <w:t xml:space="preserve">s, political instability and civil conflict in 2010. </w:t>
      </w:r>
    </w:p>
    <w:tbl>
      <w:tblPr>
        <w:tblW w:w="0" w:type="auto"/>
        <w:tblBorders>
          <w:top w:val="single" w:sz="8" w:space="0" w:color="4F81BD"/>
        </w:tblBorders>
        <w:tblLook w:val="00A0" w:firstRow="1" w:lastRow="0" w:firstColumn="1" w:lastColumn="0" w:noHBand="0" w:noVBand="0"/>
      </w:tblPr>
      <w:tblGrid>
        <w:gridCol w:w="9576"/>
      </w:tblGrid>
      <w:tr w:rsidR="00F15235" w:rsidRPr="001520FF" w:rsidTr="004E1ED2">
        <w:tc>
          <w:tcPr>
            <w:tcW w:w="9576" w:type="dxa"/>
            <w:tcBorders>
              <w:top w:val="single" w:sz="8" w:space="0" w:color="4F81BD"/>
              <w:bottom w:val="single" w:sz="8" w:space="0" w:color="4F81BD"/>
            </w:tcBorders>
          </w:tcPr>
          <w:p w:rsidR="00F15235" w:rsidRPr="001520FF" w:rsidRDefault="00F15235" w:rsidP="00930E6B">
            <w:pPr>
              <w:spacing w:after="0" w:line="240" w:lineRule="auto"/>
              <w:rPr>
                <w:b/>
                <w:color w:val="1F497D"/>
              </w:rPr>
            </w:pPr>
            <w:r w:rsidRPr="001520FF">
              <w:rPr>
                <w:b/>
                <w:color w:val="1F497D"/>
              </w:rPr>
              <w:t xml:space="preserve">Figure </w:t>
            </w:r>
            <w:r w:rsidR="00930E6B">
              <w:rPr>
                <w:b/>
                <w:color w:val="1F497D"/>
              </w:rPr>
              <w:t>1</w:t>
            </w:r>
            <w:r w:rsidRPr="001520FF">
              <w:rPr>
                <w:b/>
                <w:color w:val="1F497D"/>
              </w:rPr>
              <w:t>.</w:t>
            </w:r>
            <w:r>
              <w:rPr>
                <w:b/>
                <w:color w:val="1F497D"/>
              </w:rPr>
              <w:t>Poverty and economic growth in 2004-2011</w:t>
            </w:r>
          </w:p>
        </w:tc>
      </w:tr>
      <w:tr w:rsidR="00F15235" w:rsidRPr="001520FF" w:rsidTr="004E1ED2">
        <w:tc>
          <w:tcPr>
            <w:tcW w:w="9576" w:type="dxa"/>
            <w:tcBorders>
              <w:bottom w:val="single" w:sz="4" w:space="0" w:color="4F81BD"/>
            </w:tcBorders>
          </w:tcPr>
          <w:p w:rsidR="00F15235" w:rsidRPr="008F3F2A" w:rsidRDefault="00C37E30" w:rsidP="004E1ED2">
            <w:pPr>
              <w:tabs>
                <w:tab w:val="left" w:pos="1425"/>
              </w:tabs>
              <w:spacing w:after="0" w:line="240" w:lineRule="auto"/>
              <w:jc w:val="center"/>
            </w:pPr>
            <w:r>
              <w:rPr>
                <w:noProof/>
              </w:rPr>
              <w:drawing>
                <wp:inline distT="0" distB="0" distL="0" distR="0">
                  <wp:extent cx="5143500"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143500" cy="3000375"/>
                          </a:xfrm>
                          <a:prstGeom prst="rect">
                            <a:avLst/>
                          </a:prstGeom>
                          <a:noFill/>
                          <a:ln w="9525">
                            <a:noFill/>
                            <a:miter lim="800000"/>
                            <a:headEnd/>
                            <a:tailEnd/>
                          </a:ln>
                        </pic:spPr>
                      </pic:pic>
                    </a:graphicData>
                  </a:graphic>
                </wp:inline>
              </w:drawing>
            </w:r>
          </w:p>
        </w:tc>
      </w:tr>
      <w:tr w:rsidR="00F15235" w:rsidRPr="001520FF" w:rsidTr="004E1ED2">
        <w:tc>
          <w:tcPr>
            <w:tcW w:w="9576" w:type="dxa"/>
            <w:tcBorders>
              <w:top w:val="single" w:sz="4" w:space="0" w:color="4F81BD"/>
              <w:bottom w:val="single" w:sz="4" w:space="0" w:color="4F81BD"/>
            </w:tcBorders>
          </w:tcPr>
          <w:p w:rsidR="00F15235" w:rsidRPr="001520FF" w:rsidRDefault="00F15235" w:rsidP="004E1ED2">
            <w:pPr>
              <w:spacing w:after="0" w:line="240" w:lineRule="auto"/>
              <w:rPr>
                <w:sz w:val="18"/>
              </w:rPr>
            </w:pPr>
            <w:r w:rsidRPr="001520FF">
              <w:rPr>
                <w:i/>
                <w:sz w:val="18"/>
              </w:rPr>
              <w:t>Source</w:t>
            </w:r>
            <w:r w:rsidRPr="001520FF">
              <w:rPr>
                <w:sz w:val="18"/>
              </w:rPr>
              <w:t xml:space="preserve">: </w:t>
            </w:r>
            <w:r w:rsidR="00C37E30">
              <w:rPr>
                <w:sz w:val="18"/>
              </w:rPr>
              <w:t>NSC.</w:t>
            </w:r>
          </w:p>
        </w:tc>
      </w:tr>
    </w:tbl>
    <w:p w:rsidR="00F15235" w:rsidRDefault="00F15235" w:rsidP="006B61C3"/>
    <w:p w:rsidR="00F15235" w:rsidRDefault="00F15235" w:rsidP="006B61C3">
      <w:r w:rsidRPr="008F3F2A">
        <w:rPr>
          <w:b/>
        </w:rPr>
        <w:t>Regional disparities</w:t>
      </w:r>
      <w:r>
        <w:rPr>
          <w:b/>
        </w:rPr>
        <w:t xml:space="preserve"> in poverty rates</w:t>
      </w:r>
      <w:r w:rsidRPr="008F3F2A">
        <w:rPr>
          <w:b/>
        </w:rPr>
        <w:t xml:space="preserve"> still remain </w:t>
      </w:r>
      <w:r>
        <w:rPr>
          <w:b/>
        </w:rPr>
        <w:t>an important</w:t>
      </w:r>
      <w:r w:rsidRPr="008F3F2A">
        <w:rPr>
          <w:b/>
        </w:rPr>
        <w:t xml:space="preserve"> issue in the Kyrgyz Republic </w:t>
      </w:r>
      <w:r w:rsidR="00AD0AAC">
        <w:rPr>
          <w:b/>
        </w:rPr>
        <w:t>due to a</w:t>
      </w:r>
      <w:r w:rsidRPr="008F3F2A">
        <w:rPr>
          <w:b/>
        </w:rPr>
        <w:t xml:space="preserve"> </w:t>
      </w:r>
      <w:r w:rsidR="00AD0AAC">
        <w:rPr>
          <w:b/>
        </w:rPr>
        <w:t>large gap</w:t>
      </w:r>
      <w:r w:rsidRPr="008F3F2A">
        <w:rPr>
          <w:b/>
        </w:rPr>
        <w:t xml:space="preserve"> between the capital and other areas. </w:t>
      </w:r>
      <w:r>
        <w:t xml:space="preserve">Welfare disparities in poverty rates were declining in the Kyrgyz Republic since 2004 mainly because of the sharp poverty decline in </w:t>
      </w:r>
      <w:r w:rsidR="000C7237">
        <w:t xml:space="preserve">the </w:t>
      </w:r>
      <w:r>
        <w:t xml:space="preserve">rural areas and </w:t>
      </w:r>
      <w:r w:rsidR="000C7237">
        <w:t xml:space="preserve">the </w:t>
      </w:r>
      <w:r>
        <w:t xml:space="preserve">slight increase in poverty in Bishkek. Nevertheless, the striking difference exists between the capital </w:t>
      </w:r>
      <w:r>
        <w:lastRenderedPageBreak/>
        <w:t xml:space="preserve">Bishkek and other areas in the country. Thus, 18 percent of the population </w:t>
      </w:r>
      <w:r w:rsidR="000C7237">
        <w:t xml:space="preserve">was </w:t>
      </w:r>
      <w:r>
        <w:t xml:space="preserve">below the poverty line in Bishkek versus 40 percent in </w:t>
      </w:r>
      <w:r w:rsidR="000C7237">
        <w:t xml:space="preserve">the </w:t>
      </w:r>
      <w:r>
        <w:t xml:space="preserve">urban and rural areas in 2011.   </w:t>
      </w:r>
    </w:p>
    <w:tbl>
      <w:tblPr>
        <w:tblW w:w="0" w:type="auto"/>
        <w:tblBorders>
          <w:top w:val="single" w:sz="8" w:space="0" w:color="4F81BD"/>
        </w:tblBorders>
        <w:tblLook w:val="00A0" w:firstRow="1" w:lastRow="0" w:firstColumn="1" w:lastColumn="0" w:noHBand="0" w:noVBand="0"/>
      </w:tblPr>
      <w:tblGrid>
        <w:gridCol w:w="9576"/>
      </w:tblGrid>
      <w:tr w:rsidR="00F15235" w:rsidRPr="00990E89" w:rsidTr="007E1843">
        <w:tc>
          <w:tcPr>
            <w:tcW w:w="9576" w:type="dxa"/>
            <w:tcBorders>
              <w:top w:val="single" w:sz="8" w:space="0" w:color="4F81BD"/>
              <w:bottom w:val="single" w:sz="8" w:space="0" w:color="4F81BD"/>
            </w:tcBorders>
          </w:tcPr>
          <w:p w:rsidR="00F15235" w:rsidRPr="00990E89" w:rsidRDefault="00930E6B" w:rsidP="00036BDA">
            <w:pPr>
              <w:spacing w:after="0" w:line="240" w:lineRule="auto"/>
              <w:rPr>
                <w:b/>
              </w:rPr>
            </w:pPr>
            <w:r>
              <w:rPr>
                <w:b/>
                <w:color w:val="1F497D"/>
              </w:rPr>
              <w:t>Figure 2</w:t>
            </w:r>
            <w:r w:rsidR="00F15235" w:rsidRPr="00795E1C">
              <w:rPr>
                <w:b/>
                <w:color w:val="1F497D"/>
              </w:rPr>
              <w:t>.Poverty rates in the capital</w:t>
            </w:r>
            <w:r w:rsidR="000C7237">
              <w:rPr>
                <w:b/>
                <w:color w:val="1F497D"/>
              </w:rPr>
              <w:t xml:space="preserve"> and</w:t>
            </w:r>
            <w:r w:rsidR="00F15235" w:rsidRPr="00795E1C">
              <w:rPr>
                <w:b/>
                <w:color w:val="1F497D"/>
              </w:rPr>
              <w:t xml:space="preserve"> urban and rural areas in 2004 and 2011, %</w:t>
            </w:r>
          </w:p>
        </w:tc>
      </w:tr>
      <w:tr w:rsidR="00F15235" w:rsidRPr="00990E89" w:rsidTr="007E1843">
        <w:tc>
          <w:tcPr>
            <w:tcW w:w="9576" w:type="dxa"/>
            <w:tcBorders>
              <w:bottom w:val="single" w:sz="4" w:space="0" w:color="4F81BD"/>
            </w:tcBorders>
          </w:tcPr>
          <w:p w:rsidR="00F15235" w:rsidRPr="00990E89" w:rsidRDefault="00C37E30" w:rsidP="00990E89">
            <w:pPr>
              <w:jc w:val="center"/>
            </w:pPr>
            <w:r>
              <w:rPr>
                <w:noProof/>
              </w:rPr>
              <w:drawing>
                <wp:inline distT="0" distB="0" distL="0" distR="0">
                  <wp:extent cx="4686300" cy="3028950"/>
                  <wp:effectExtent l="0" t="0" r="0" b="0"/>
                  <wp:docPr id="2"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15235" w:rsidRPr="00990E89" w:rsidTr="007E1843">
        <w:tc>
          <w:tcPr>
            <w:tcW w:w="9576" w:type="dxa"/>
            <w:tcBorders>
              <w:top w:val="single" w:sz="4" w:space="0" w:color="4F81BD"/>
              <w:bottom w:val="single" w:sz="4" w:space="0" w:color="4F81BD"/>
            </w:tcBorders>
          </w:tcPr>
          <w:p w:rsidR="00F15235" w:rsidRPr="006527B8" w:rsidRDefault="00F15235" w:rsidP="00990E89">
            <w:pPr>
              <w:spacing w:after="0" w:line="240" w:lineRule="auto"/>
              <w:rPr>
                <w:i/>
                <w:sz w:val="18"/>
              </w:rPr>
            </w:pPr>
            <w:r w:rsidRPr="00990E89">
              <w:rPr>
                <w:i/>
                <w:sz w:val="18"/>
              </w:rPr>
              <w:t xml:space="preserve">Source: </w:t>
            </w:r>
            <w:r w:rsidR="00C37E30" w:rsidRPr="00C37E30">
              <w:rPr>
                <w:sz w:val="18"/>
              </w:rPr>
              <w:t>NSC.</w:t>
            </w:r>
          </w:p>
        </w:tc>
      </w:tr>
    </w:tbl>
    <w:p w:rsidR="00F15235" w:rsidRDefault="00F15235" w:rsidP="006B61C3"/>
    <w:p w:rsidR="006F554A" w:rsidRDefault="00F15235" w:rsidP="006B61C3">
      <w:r w:rsidRPr="00EE731B">
        <w:rPr>
          <w:b/>
        </w:rPr>
        <w:t>Welfare disparities seem to be more pronounced between rather than within regions</w:t>
      </w:r>
      <w:r>
        <w:t xml:space="preserve">. </w:t>
      </w:r>
      <w:r w:rsidR="000C7237">
        <w:t>The</w:t>
      </w:r>
      <w:r>
        <w:t xml:space="preserve"> welfare ratio</w:t>
      </w:r>
      <w:r w:rsidR="004927EA">
        <w:t xml:space="preserve"> (W)</w:t>
      </w:r>
      <w:r>
        <w:t xml:space="preserve"> </w:t>
      </w:r>
      <w:r w:rsidR="000C7237">
        <w:t>was calculated to</w:t>
      </w:r>
      <w:r>
        <w:t xml:space="preserve"> measure welfare disparities. Following </w:t>
      </w:r>
      <w:proofErr w:type="spellStart"/>
      <w:r>
        <w:t>Skoufias</w:t>
      </w:r>
      <w:proofErr w:type="spellEnd"/>
      <w:r>
        <w:t xml:space="preserve"> and Lopez-Acevedo (2009), </w:t>
      </w:r>
      <w:r w:rsidR="000C7237">
        <w:t xml:space="preserve">the </w:t>
      </w:r>
      <w:r>
        <w:t>welfare ratio is calculated</w:t>
      </w:r>
      <w:r w:rsidR="006F554A">
        <w:t xml:space="preserve"> using the following formula:</w:t>
      </w:r>
    </w:p>
    <w:p w:rsidR="006F554A" w:rsidRPr="00615CDF" w:rsidRDefault="004927EA" w:rsidP="006B61C3">
      <w:r w:rsidRPr="006F554A">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15" o:title=""/>
          </v:shape>
          <o:OLEObject Type="Embed" ProgID="Equation.3" ShapeID="_x0000_i1025" DrawAspect="Content" ObjectID="_1427185313" r:id="rId16"/>
        </w:object>
      </w:r>
      <w:r w:rsidR="00000367" w:rsidRPr="00615CDF">
        <w:t xml:space="preserve"> </w:t>
      </w:r>
    </w:p>
    <w:p w:rsidR="00F15235" w:rsidRDefault="003D4353" w:rsidP="006B61C3">
      <w:r>
        <w:t xml:space="preserve">Where C </w:t>
      </w:r>
      <w:r w:rsidR="000C7237">
        <w:t>is the</w:t>
      </w:r>
      <w:r>
        <w:t xml:space="preserve"> daily per capita consumption adjusted for inter-regional differences in prices. PL is a daily poverty line for the whole Republic.</w:t>
      </w:r>
      <w:r>
        <w:rPr>
          <w:rStyle w:val="FootnoteReference"/>
        </w:rPr>
        <w:footnoteReference w:id="1"/>
      </w:r>
      <w:r>
        <w:t xml:space="preserve"> </w:t>
      </w:r>
      <w:r w:rsidR="00F15235">
        <w:t xml:space="preserve">This indicator reflects </w:t>
      </w:r>
      <w:r w:rsidR="00F15235" w:rsidRPr="00B06C84">
        <w:t>the standard</w:t>
      </w:r>
      <w:r w:rsidR="00F15235">
        <w:t>s</w:t>
      </w:r>
      <w:r w:rsidR="00F15235" w:rsidRPr="00B06C84">
        <w:t xml:space="preserve"> of living as a multiple of the poverty line</w:t>
      </w:r>
      <w:r w:rsidR="00F15235">
        <w:t>. If</w:t>
      </w:r>
      <w:r w:rsidR="000C7237">
        <w:t xml:space="preserve"> the</w:t>
      </w:r>
      <w:r w:rsidR="00F15235">
        <w:t xml:space="preserve"> welfare ratio is less than one</w:t>
      </w:r>
      <w:r w:rsidR="00AD0AAC">
        <w:t>, a</w:t>
      </w:r>
      <w:r w:rsidR="00F15235">
        <w:t xml:space="preserve"> household is poor. </w:t>
      </w:r>
      <w:r w:rsidR="000C7237">
        <w:t xml:space="preserve"> A h</w:t>
      </w:r>
      <w:r w:rsidR="00F15235">
        <w:t xml:space="preserve">igher welfare indicator implies </w:t>
      </w:r>
      <w:r w:rsidR="000C7237">
        <w:t>a higher standard of living</w:t>
      </w:r>
      <w:r w:rsidR="00AD0AAC">
        <w:t>. As shown in figure 3</w:t>
      </w:r>
      <w:r w:rsidR="00F15235">
        <w:t>, the gap in welfare ratios is larger between reg</w:t>
      </w:r>
      <w:r>
        <w:t>ions (namely between the capital</w:t>
      </w:r>
      <w:r w:rsidR="00F15235">
        <w:t xml:space="preserve"> and</w:t>
      </w:r>
      <w:r w:rsidR="000C7237">
        <w:t xml:space="preserve"> the</w:t>
      </w:r>
      <w:r w:rsidR="00F15235">
        <w:t xml:space="preserve"> other regions) than within </w:t>
      </w:r>
      <w:r w:rsidR="000C7237">
        <w:t xml:space="preserve">the </w:t>
      </w:r>
      <w:r w:rsidR="00F15235">
        <w:t xml:space="preserve">urban and rural areas of the same region. </w:t>
      </w:r>
    </w:p>
    <w:p w:rsidR="00E0686B" w:rsidRDefault="00E0686B" w:rsidP="006B61C3"/>
    <w:p w:rsidR="00E0686B" w:rsidRDefault="00E0686B" w:rsidP="006B61C3"/>
    <w:p w:rsidR="00E0686B" w:rsidRDefault="00E0686B" w:rsidP="006B61C3"/>
    <w:p w:rsidR="00E0686B" w:rsidRDefault="00E0686B" w:rsidP="006B61C3"/>
    <w:tbl>
      <w:tblPr>
        <w:tblW w:w="0" w:type="auto"/>
        <w:tblBorders>
          <w:top w:val="single" w:sz="8" w:space="0" w:color="4F81BD"/>
        </w:tblBorders>
        <w:tblLook w:val="00A0" w:firstRow="1" w:lastRow="0" w:firstColumn="1" w:lastColumn="0" w:noHBand="0" w:noVBand="0"/>
      </w:tblPr>
      <w:tblGrid>
        <w:gridCol w:w="4670"/>
        <w:gridCol w:w="4906"/>
      </w:tblGrid>
      <w:tr w:rsidR="00F15235" w:rsidRPr="001520FF" w:rsidTr="004E1ED2">
        <w:tc>
          <w:tcPr>
            <w:tcW w:w="9576" w:type="dxa"/>
            <w:gridSpan w:val="2"/>
            <w:tcBorders>
              <w:top w:val="single" w:sz="8" w:space="0" w:color="4F81BD"/>
              <w:bottom w:val="single" w:sz="8" w:space="0" w:color="4F81BD"/>
            </w:tcBorders>
          </w:tcPr>
          <w:p w:rsidR="00F15235" w:rsidRPr="001520FF" w:rsidRDefault="00F15235" w:rsidP="004E1ED2">
            <w:pPr>
              <w:spacing w:after="0" w:line="240" w:lineRule="auto"/>
              <w:rPr>
                <w:b/>
                <w:color w:val="1F497D"/>
              </w:rPr>
            </w:pPr>
            <w:r w:rsidRPr="00795E1C">
              <w:rPr>
                <w:b/>
                <w:color w:val="1F497D"/>
              </w:rPr>
              <w:t>Figure 3. Regional disparities in welfare ratio, 2011</w:t>
            </w:r>
          </w:p>
        </w:tc>
      </w:tr>
      <w:tr w:rsidR="00F15235" w:rsidRPr="001520FF" w:rsidTr="00100A42">
        <w:tc>
          <w:tcPr>
            <w:tcW w:w="4788" w:type="dxa"/>
            <w:tcBorders>
              <w:bottom w:val="single" w:sz="4" w:space="0" w:color="4F81BD"/>
            </w:tcBorders>
          </w:tcPr>
          <w:p w:rsidR="00F15235" w:rsidRPr="00F23138" w:rsidRDefault="00AD0AAC" w:rsidP="004E1ED2">
            <w:pPr>
              <w:tabs>
                <w:tab w:val="left" w:pos="1425"/>
              </w:tabs>
              <w:spacing w:after="0" w:line="240" w:lineRule="auto"/>
              <w:jc w:val="center"/>
            </w:pPr>
            <w:r w:rsidRPr="00AD0AAC">
              <w:rPr>
                <w:noProof/>
              </w:rPr>
              <w:drawing>
                <wp:inline distT="0" distB="0" distL="0" distR="0">
                  <wp:extent cx="3057525" cy="229552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788" w:type="dxa"/>
            <w:tcBorders>
              <w:bottom w:val="single" w:sz="4" w:space="0" w:color="4F81BD"/>
            </w:tcBorders>
          </w:tcPr>
          <w:p w:rsidR="00F15235" w:rsidRPr="00F23138" w:rsidRDefault="00AD0AAC" w:rsidP="004E1ED2">
            <w:pPr>
              <w:tabs>
                <w:tab w:val="left" w:pos="1425"/>
              </w:tabs>
              <w:spacing w:after="0" w:line="240" w:lineRule="auto"/>
              <w:jc w:val="center"/>
            </w:pPr>
            <w:r w:rsidRPr="00AD0AAC">
              <w:rPr>
                <w:noProof/>
              </w:rPr>
              <w:drawing>
                <wp:inline distT="0" distB="0" distL="0" distR="0">
                  <wp:extent cx="3219450" cy="232410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15235" w:rsidRPr="001520FF" w:rsidTr="004E1ED2">
        <w:tc>
          <w:tcPr>
            <w:tcW w:w="9576" w:type="dxa"/>
            <w:gridSpan w:val="2"/>
            <w:tcBorders>
              <w:top w:val="single" w:sz="4" w:space="0" w:color="4F81BD"/>
              <w:bottom w:val="single" w:sz="4" w:space="0" w:color="4F81BD"/>
            </w:tcBorders>
          </w:tcPr>
          <w:p w:rsidR="00F15235" w:rsidRPr="001520FF" w:rsidRDefault="00F15235" w:rsidP="004E1ED2">
            <w:pPr>
              <w:spacing w:after="0" w:line="240" w:lineRule="auto"/>
              <w:rPr>
                <w:sz w:val="18"/>
              </w:rPr>
            </w:pPr>
            <w:r w:rsidRPr="001520FF">
              <w:rPr>
                <w:i/>
                <w:sz w:val="18"/>
              </w:rPr>
              <w:t>Source</w:t>
            </w:r>
            <w:r w:rsidRPr="001520FF">
              <w:rPr>
                <w:sz w:val="18"/>
              </w:rPr>
              <w:t xml:space="preserve">: </w:t>
            </w:r>
            <w:r w:rsidR="00AD0AAC">
              <w:rPr>
                <w:sz w:val="18"/>
              </w:rPr>
              <w:t xml:space="preserve">KIHS-2011. </w:t>
            </w:r>
          </w:p>
        </w:tc>
      </w:tr>
    </w:tbl>
    <w:p w:rsidR="00F15235" w:rsidRPr="00B06C84" w:rsidRDefault="00F15235" w:rsidP="006B61C3"/>
    <w:p w:rsidR="00F15235" w:rsidRDefault="00F15235" w:rsidP="00196FD1">
      <w:pPr>
        <w:pStyle w:val="Heading3"/>
        <w:spacing w:after="120"/>
      </w:pPr>
      <w:bookmarkStart w:id="7" w:name="_Toc353273026"/>
      <w:r>
        <w:t>Structural differences between areas</w:t>
      </w:r>
      <w:bookmarkEnd w:id="7"/>
    </w:p>
    <w:p w:rsidR="00F15235" w:rsidRDefault="00F15235" w:rsidP="006B61C3">
      <w:r w:rsidRPr="00196FD1">
        <w:rPr>
          <w:b/>
        </w:rPr>
        <w:t>In spite of higher employment rates, the quality of</w:t>
      </w:r>
      <w:r>
        <w:rPr>
          <w:b/>
        </w:rPr>
        <w:t xml:space="preserve"> </w:t>
      </w:r>
      <w:r w:rsidRPr="00196FD1">
        <w:rPr>
          <w:b/>
        </w:rPr>
        <w:t>jobs do</w:t>
      </w:r>
      <w:r w:rsidR="003D4353">
        <w:rPr>
          <w:b/>
        </w:rPr>
        <w:t>es</w:t>
      </w:r>
      <w:r w:rsidRPr="00196FD1">
        <w:rPr>
          <w:b/>
        </w:rPr>
        <w:t xml:space="preserve"> not allow</w:t>
      </w:r>
      <w:r>
        <w:rPr>
          <w:b/>
        </w:rPr>
        <w:t xml:space="preserve"> rural</w:t>
      </w:r>
      <w:r w:rsidRPr="00196FD1">
        <w:rPr>
          <w:b/>
        </w:rPr>
        <w:t xml:space="preserve"> residents</w:t>
      </w:r>
      <w:r>
        <w:rPr>
          <w:b/>
        </w:rPr>
        <w:t xml:space="preserve"> generate sufficient income to catch up with the capital</w:t>
      </w:r>
      <w:r w:rsidRPr="00196FD1">
        <w:rPr>
          <w:b/>
        </w:rPr>
        <w:t xml:space="preserve">. </w:t>
      </w:r>
      <w:r>
        <w:t xml:space="preserve">Employment rates are slightly higher in rural areas than in Bishkek and </w:t>
      </w:r>
      <w:r w:rsidR="00A01763">
        <w:t xml:space="preserve">the </w:t>
      </w:r>
      <w:r>
        <w:t>urban areas. Nevertheless, the structure of employment differs substantially. Thus, self-employment accounts for 68 percent of total employment in rural areas, while</w:t>
      </w:r>
      <w:r w:rsidRPr="00E24533">
        <w:t xml:space="preserve"> </w:t>
      </w:r>
      <w:r>
        <w:t>self-employment is closely associated with higher poverty at the country level as shown in figure</w:t>
      </w:r>
      <w:r w:rsidR="006527B8">
        <w:t xml:space="preserve"> 4</w:t>
      </w:r>
      <w:r>
        <w:t xml:space="preserve">. </w:t>
      </w:r>
      <w:r w:rsidR="00A01763" w:rsidRPr="00A01763">
        <w:t xml:space="preserve">This finding probably reflects the fact that self-employment covers informal and low- paying jobs often in the agricultural sector. The importance of the agricultural sector also explains the high level of part-time work in rural areas. Thus, only 51 percent of rural workers had full-time jobs compared to 96 percent in the capital (more or equal to 38 hours per week).  </w:t>
      </w:r>
    </w:p>
    <w:p w:rsidR="00E0686B" w:rsidRDefault="00E0686B" w:rsidP="006B61C3"/>
    <w:p w:rsidR="00E0686B" w:rsidRDefault="00E0686B" w:rsidP="006B61C3"/>
    <w:p w:rsidR="00E0686B" w:rsidRDefault="00E0686B" w:rsidP="006B61C3"/>
    <w:p w:rsidR="00E0686B" w:rsidRDefault="00E0686B" w:rsidP="006B61C3"/>
    <w:p w:rsidR="00E0686B" w:rsidRDefault="00E0686B" w:rsidP="006B61C3"/>
    <w:p w:rsidR="00E0686B" w:rsidRDefault="00E0686B" w:rsidP="006B61C3"/>
    <w:p w:rsidR="00E0686B" w:rsidRDefault="00E0686B" w:rsidP="006B61C3"/>
    <w:p w:rsidR="00E0686B" w:rsidRDefault="00E0686B" w:rsidP="006B61C3"/>
    <w:p w:rsidR="00E0686B" w:rsidRDefault="00E0686B" w:rsidP="006B61C3"/>
    <w:tbl>
      <w:tblPr>
        <w:tblW w:w="0" w:type="auto"/>
        <w:tblBorders>
          <w:top w:val="single" w:sz="8" w:space="0" w:color="4F81BD"/>
        </w:tblBorders>
        <w:tblLook w:val="00A0" w:firstRow="1" w:lastRow="0" w:firstColumn="1" w:lastColumn="0" w:noHBand="0" w:noVBand="0"/>
      </w:tblPr>
      <w:tblGrid>
        <w:gridCol w:w="4310"/>
        <w:gridCol w:w="5266"/>
      </w:tblGrid>
      <w:tr w:rsidR="00F15235" w:rsidRPr="001520FF" w:rsidTr="00036BDA">
        <w:tc>
          <w:tcPr>
            <w:tcW w:w="4291" w:type="dxa"/>
            <w:tcBorders>
              <w:top w:val="single" w:sz="8" w:space="0" w:color="4F81BD"/>
              <w:bottom w:val="single" w:sz="8" w:space="0" w:color="4F81BD"/>
            </w:tcBorders>
          </w:tcPr>
          <w:p w:rsidR="00F15235" w:rsidRPr="001520FF" w:rsidRDefault="00F15235" w:rsidP="004E1ED2">
            <w:pPr>
              <w:spacing w:after="0" w:line="240" w:lineRule="auto"/>
              <w:rPr>
                <w:b/>
                <w:color w:val="1F497D"/>
              </w:rPr>
            </w:pPr>
            <w:r>
              <w:rPr>
                <w:b/>
                <w:color w:val="1F497D"/>
              </w:rPr>
              <w:t>Table</w:t>
            </w:r>
            <w:r w:rsidR="00930E6B">
              <w:rPr>
                <w:b/>
                <w:color w:val="1F497D"/>
              </w:rPr>
              <w:t xml:space="preserve"> 1</w:t>
            </w:r>
            <w:r>
              <w:rPr>
                <w:b/>
                <w:color w:val="1F497D"/>
              </w:rPr>
              <w:t>. Structural differences between areas</w:t>
            </w:r>
          </w:p>
        </w:tc>
        <w:tc>
          <w:tcPr>
            <w:tcW w:w="5285" w:type="dxa"/>
            <w:tcBorders>
              <w:top w:val="single" w:sz="8" w:space="0" w:color="4F81BD"/>
              <w:bottom w:val="single" w:sz="8" w:space="0" w:color="4F81BD"/>
            </w:tcBorders>
          </w:tcPr>
          <w:p w:rsidR="00F15235" w:rsidRPr="001520FF" w:rsidRDefault="00930E6B" w:rsidP="004E1ED2">
            <w:pPr>
              <w:spacing w:after="0" w:line="240" w:lineRule="auto"/>
              <w:rPr>
                <w:b/>
                <w:color w:val="1F497D"/>
              </w:rPr>
            </w:pPr>
            <w:r>
              <w:rPr>
                <w:b/>
                <w:color w:val="1F497D"/>
              </w:rPr>
              <w:t>Figure 4</w:t>
            </w:r>
            <w:r w:rsidR="00F15235">
              <w:rPr>
                <w:b/>
                <w:color w:val="1F497D"/>
              </w:rPr>
              <w:t>. Share of self-employment in total employment by consumption per capita quintiles across residence</w:t>
            </w:r>
          </w:p>
        </w:tc>
      </w:tr>
      <w:tr w:rsidR="00F15235" w:rsidRPr="001520FF" w:rsidTr="00036BDA">
        <w:tc>
          <w:tcPr>
            <w:tcW w:w="4291" w:type="dxa"/>
            <w:tcBorders>
              <w:bottom w:val="single" w:sz="4" w:space="0" w:color="4F81BD"/>
            </w:tcBorders>
          </w:tcPr>
          <w:tbl>
            <w:tblPr>
              <w:tblW w:w="4258" w:type="dxa"/>
              <w:tblBorders>
                <w:top w:val="single" w:sz="8" w:space="0" w:color="4F81BD"/>
                <w:bottom w:val="single" w:sz="8" w:space="0" w:color="4F81BD"/>
              </w:tblBorders>
              <w:tblLook w:val="0000" w:firstRow="0" w:lastRow="0" w:firstColumn="0" w:lastColumn="0" w:noHBand="0" w:noVBand="0"/>
            </w:tblPr>
            <w:tblGrid>
              <w:gridCol w:w="2141"/>
              <w:gridCol w:w="695"/>
              <w:gridCol w:w="605"/>
              <w:gridCol w:w="653"/>
            </w:tblGrid>
            <w:tr w:rsidR="00F15235" w:rsidRPr="00596CA0" w:rsidTr="00990E89">
              <w:trPr>
                <w:trHeight w:val="255"/>
              </w:trPr>
              <w:tc>
                <w:tcPr>
                  <w:tcW w:w="2230" w:type="dxa"/>
                  <w:tcBorders>
                    <w:top w:val="single" w:sz="8" w:space="0" w:color="4F81BD"/>
                  </w:tcBorders>
                  <w:noWrap/>
                  <w:tcMar>
                    <w:left w:w="28" w:type="dxa"/>
                    <w:right w:w="28" w:type="dxa"/>
                  </w:tcMar>
                  <w:vAlign w:val="bottom"/>
                </w:tcPr>
                <w:p w:rsidR="00F15235" w:rsidRPr="008E4B39" w:rsidRDefault="00F15235" w:rsidP="008E4B39">
                  <w:pPr>
                    <w:spacing w:after="0" w:line="240" w:lineRule="auto"/>
                    <w:jc w:val="left"/>
                    <w:rPr>
                      <w:sz w:val="18"/>
                    </w:rPr>
                  </w:pPr>
                </w:p>
              </w:tc>
              <w:tc>
                <w:tcPr>
                  <w:tcW w:w="722" w:type="dxa"/>
                  <w:tcBorders>
                    <w:top w:val="single" w:sz="8" w:space="0" w:color="4F81BD"/>
                  </w:tcBorders>
                  <w:noWrap/>
                  <w:tcMar>
                    <w:left w:w="28" w:type="dxa"/>
                    <w:right w:w="28" w:type="dxa"/>
                  </w:tcMar>
                  <w:vAlign w:val="bottom"/>
                </w:tcPr>
                <w:p w:rsidR="00F15235" w:rsidRPr="008E4B39" w:rsidRDefault="00F15235" w:rsidP="008E4B39">
                  <w:pPr>
                    <w:spacing w:after="0" w:line="240" w:lineRule="auto"/>
                    <w:jc w:val="center"/>
                    <w:rPr>
                      <w:b/>
                      <w:sz w:val="18"/>
                    </w:rPr>
                  </w:pPr>
                  <w:r w:rsidRPr="008E4B39">
                    <w:rPr>
                      <w:b/>
                      <w:sz w:val="18"/>
                    </w:rPr>
                    <w:t>capital</w:t>
                  </w:r>
                </w:p>
              </w:tc>
              <w:tc>
                <w:tcPr>
                  <w:tcW w:w="628" w:type="dxa"/>
                  <w:tcBorders>
                    <w:top w:val="single" w:sz="8" w:space="0" w:color="4F81BD"/>
                  </w:tcBorders>
                  <w:noWrap/>
                  <w:tcMar>
                    <w:left w:w="28" w:type="dxa"/>
                    <w:right w:w="28" w:type="dxa"/>
                  </w:tcMar>
                  <w:vAlign w:val="bottom"/>
                </w:tcPr>
                <w:p w:rsidR="00F15235" w:rsidRPr="008E4B39" w:rsidRDefault="00F15235" w:rsidP="008E4B39">
                  <w:pPr>
                    <w:spacing w:after="0" w:line="240" w:lineRule="auto"/>
                    <w:jc w:val="center"/>
                    <w:rPr>
                      <w:b/>
                      <w:sz w:val="18"/>
                    </w:rPr>
                  </w:pPr>
                  <w:r w:rsidRPr="008E4B39">
                    <w:rPr>
                      <w:b/>
                      <w:sz w:val="18"/>
                    </w:rPr>
                    <w:t>urban</w:t>
                  </w:r>
                </w:p>
              </w:tc>
              <w:tc>
                <w:tcPr>
                  <w:tcW w:w="678" w:type="dxa"/>
                  <w:tcBorders>
                    <w:top w:val="single" w:sz="8" w:space="0" w:color="4F81BD"/>
                  </w:tcBorders>
                  <w:noWrap/>
                  <w:tcMar>
                    <w:left w:w="28" w:type="dxa"/>
                    <w:right w:w="28" w:type="dxa"/>
                  </w:tcMar>
                  <w:vAlign w:val="bottom"/>
                </w:tcPr>
                <w:p w:rsidR="00F15235" w:rsidRPr="008E4B39" w:rsidRDefault="00F15235" w:rsidP="008E4B39">
                  <w:pPr>
                    <w:spacing w:after="0" w:line="240" w:lineRule="auto"/>
                    <w:jc w:val="center"/>
                    <w:rPr>
                      <w:b/>
                      <w:sz w:val="18"/>
                    </w:rPr>
                  </w:pPr>
                  <w:r w:rsidRPr="008E4B39">
                    <w:rPr>
                      <w:b/>
                      <w:sz w:val="18"/>
                    </w:rPr>
                    <w:t>rural</w:t>
                  </w:r>
                </w:p>
              </w:tc>
            </w:tr>
            <w:tr w:rsidR="00F15235" w:rsidRPr="00596CA0" w:rsidTr="00990E89">
              <w:trPr>
                <w:trHeight w:val="255"/>
              </w:trPr>
              <w:tc>
                <w:tcPr>
                  <w:tcW w:w="2230" w:type="dxa"/>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Employment rate</w:t>
                  </w:r>
                </w:p>
              </w:tc>
              <w:tc>
                <w:tcPr>
                  <w:tcW w:w="722"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58</w:t>
                  </w:r>
                </w:p>
              </w:tc>
              <w:tc>
                <w:tcPr>
                  <w:tcW w:w="62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55</w:t>
                  </w:r>
                </w:p>
              </w:tc>
              <w:tc>
                <w:tcPr>
                  <w:tcW w:w="67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61</w:t>
                  </w:r>
                </w:p>
              </w:tc>
            </w:tr>
            <w:tr w:rsidR="00F15235" w:rsidRPr="00596CA0" w:rsidTr="00990E89">
              <w:trPr>
                <w:trHeight w:val="255"/>
              </w:trPr>
              <w:tc>
                <w:tcPr>
                  <w:tcW w:w="2230" w:type="dxa"/>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Share of self-employed</w:t>
                  </w:r>
                </w:p>
              </w:tc>
              <w:tc>
                <w:tcPr>
                  <w:tcW w:w="722"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46</w:t>
                  </w:r>
                </w:p>
              </w:tc>
              <w:tc>
                <w:tcPr>
                  <w:tcW w:w="62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56</w:t>
                  </w:r>
                </w:p>
              </w:tc>
              <w:tc>
                <w:tcPr>
                  <w:tcW w:w="67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68</w:t>
                  </w:r>
                </w:p>
              </w:tc>
            </w:tr>
            <w:tr w:rsidR="00F15235" w:rsidRPr="00596CA0" w:rsidTr="00990E89">
              <w:trPr>
                <w:trHeight w:val="255"/>
              </w:trPr>
              <w:tc>
                <w:tcPr>
                  <w:tcW w:w="2230" w:type="dxa"/>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Share of individuals with higher education</w:t>
                  </w:r>
                </w:p>
              </w:tc>
              <w:tc>
                <w:tcPr>
                  <w:tcW w:w="722"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26</w:t>
                  </w:r>
                </w:p>
              </w:tc>
              <w:tc>
                <w:tcPr>
                  <w:tcW w:w="62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12</w:t>
                  </w:r>
                </w:p>
              </w:tc>
              <w:tc>
                <w:tcPr>
                  <w:tcW w:w="67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7</w:t>
                  </w:r>
                </w:p>
              </w:tc>
            </w:tr>
            <w:tr w:rsidR="00F15235" w:rsidRPr="00596CA0" w:rsidTr="00990E89">
              <w:trPr>
                <w:trHeight w:val="255"/>
              </w:trPr>
              <w:tc>
                <w:tcPr>
                  <w:tcW w:w="2230" w:type="dxa"/>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Employed full-time</w:t>
                  </w:r>
                </w:p>
              </w:tc>
              <w:tc>
                <w:tcPr>
                  <w:tcW w:w="722"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96</w:t>
                  </w:r>
                </w:p>
              </w:tc>
              <w:tc>
                <w:tcPr>
                  <w:tcW w:w="62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82</w:t>
                  </w:r>
                </w:p>
              </w:tc>
              <w:tc>
                <w:tcPr>
                  <w:tcW w:w="67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51</w:t>
                  </w:r>
                </w:p>
              </w:tc>
            </w:tr>
            <w:tr w:rsidR="00F15235" w:rsidRPr="00596CA0" w:rsidTr="00990E89">
              <w:trPr>
                <w:trHeight w:val="270"/>
              </w:trPr>
              <w:tc>
                <w:tcPr>
                  <w:tcW w:w="2230" w:type="dxa"/>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Size of household</w:t>
                  </w:r>
                </w:p>
              </w:tc>
              <w:tc>
                <w:tcPr>
                  <w:tcW w:w="722"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4.0</w:t>
                  </w:r>
                </w:p>
              </w:tc>
              <w:tc>
                <w:tcPr>
                  <w:tcW w:w="62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4.6</w:t>
                  </w:r>
                </w:p>
              </w:tc>
              <w:tc>
                <w:tcPr>
                  <w:tcW w:w="678" w:type="dxa"/>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5.0</w:t>
                  </w:r>
                </w:p>
              </w:tc>
            </w:tr>
            <w:tr w:rsidR="00F15235" w:rsidRPr="00596CA0" w:rsidTr="00990E89">
              <w:trPr>
                <w:trHeight w:val="270"/>
              </w:trPr>
              <w:tc>
                <w:tcPr>
                  <w:tcW w:w="2230" w:type="dxa"/>
                  <w:tcBorders>
                    <w:bottom w:val="single" w:sz="8" w:space="0" w:color="4F81BD"/>
                  </w:tcBorders>
                  <w:noWrap/>
                  <w:tcMar>
                    <w:left w:w="28" w:type="dxa"/>
                    <w:right w:w="28" w:type="dxa"/>
                  </w:tcMar>
                  <w:vAlign w:val="bottom"/>
                </w:tcPr>
                <w:p w:rsidR="00F15235" w:rsidRPr="008E4B39" w:rsidRDefault="00F15235" w:rsidP="008E4B39">
                  <w:pPr>
                    <w:spacing w:after="0" w:line="240" w:lineRule="auto"/>
                    <w:jc w:val="left"/>
                    <w:rPr>
                      <w:sz w:val="18"/>
                    </w:rPr>
                  </w:pPr>
                  <w:r w:rsidRPr="008E4B39">
                    <w:rPr>
                      <w:sz w:val="18"/>
                    </w:rPr>
                    <w:t>Average number of children below 14</w:t>
                  </w:r>
                </w:p>
              </w:tc>
              <w:tc>
                <w:tcPr>
                  <w:tcW w:w="722" w:type="dxa"/>
                  <w:tcBorders>
                    <w:bottom w:val="single" w:sz="8" w:space="0" w:color="4F81BD"/>
                  </w:tcBorders>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1.2</w:t>
                  </w:r>
                </w:p>
              </w:tc>
              <w:tc>
                <w:tcPr>
                  <w:tcW w:w="628" w:type="dxa"/>
                  <w:tcBorders>
                    <w:bottom w:val="single" w:sz="8" w:space="0" w:color="4F81BD"/>
                  </w:tcBorders>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1.5</w:t>
                  </w:r>
                </w:p>
              </w:tc>
              <w:tc>
                <w:tcPr>
                  <w:tcW w:w="678" w:type="dxa"/>
                  <w:tcBorders>
                    <w:bottom w:val="single" w:sz="8" w:space="0" w:color="4F81BD"/>
                  </w:tcBorders>
                  <w:noWrap/>
                  <w:tcMar>
                    <w:left w:w="28" w:type="dxa"/>
                    <w:right w:w="28" w:type="dxa"/>
                  </w:tcMar>
                  <w:vAlign w:val="bottom"/>
                </w:tcPr>
                <w:p w:rsidR="00F15235" w:rsidRPr="008E4B39" w:rsidRDefault="00F15235" w:rsidP="008E4B39">
                  <w:pPr>
                    <w:spacing w:after="0" w:line="240" w:lineRule="auto"/>
                    <w:jc w:val="center"/>
                    <w:rPr>
                      <w:sz w:val="18"/>
                    </w:rPr>
                  </w:pPr>
                  <w:r w:rsidRPr="008E4B39">
                    <w:rPr>
                      <w:sz w:val="18"/>
                    </w:rPr>
                    <w:t>1.7</w:t>
                  </w:r>
                </w:p>
              </w:tc>
            </w:tr>
          </w:tbl>
          <w:p w:rsidR="00F15235" w:rsidRPr="0006038F" w:rsidRDefault="00F15235" w:rsidP="004E1ED2">
            <w:pPr>
              <w:tabs>
                <w:tab w:val="left" w:pos="1425"/>
              </w:tabs>
              <w:spacing w:after="0" w:line="240" w:lineRule="auto"/>
              <w:jc w:val="center"/>
            </w:pPr>
          </w:p>
        </w:tc>
        <w:tc>
          <w:tcPr>
            <w:tcW w:w="5285" w:type="dxa"/>
            <w:tcBorders>
              <w:bottom w:val="single" w:sz="4" w:space="0" w:color="4F81BD"/>
            </w:tcBorders>
          </w:tcPr>
          <w:p w:rsidR="00F15235" w:rsidRPr="00596CA0" w:rsidRDefault="00C37E30" w:rsidP="004E1ED2">
            <w:pPr>
              <w:tabs>
                <w:tab w:val="left" w:pos="1425"/>
              </w:tabs>
              <w:spacing w:after="0" w:line="240" w:lineRule="auto"/>
              <w:jc w:val="center"/>
            </w:pPr>
            <w:r>
              <w:rPr>
                <w:noProof/>
              </w:rPr>
              <w:drawing>
                <wp:inline distT="0" distB="0" distL="0" distR="0">
                  <wp:extent cx="3343275" cy="2581275"/>
                  <wp:effectExtent l="0" t="0" r="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15235" w:rsidRPr="001520FF" w:rsidTr="004E1ED2">
        <w:tc>
          <w:tcPr>
            <w:tcW w:w="9576" w:type="dxa"/>
            <w:gridSpan w:val="2"/>
            <w:tcBorders>
              <w:top w:val="single" w:sz="4" w:space="0" w:color="4F81BD"/>
              <w:bottom w:val="single" w:sz="4" w:space="0" w:color="4F81BD"/>
            </w:tcBorders>
          </w:tcPr>
          <w:p w:rsidR="00F15235" w:rsidRDefault="00F15235" w:rsidP="004E1ED2">
            <w:pPr>
              <w:spacing w:after="0" w:line="240" w:lineRule="auto"/>
              <w:rPr>
                <w:sz w:val="18"/>
              </w:rPr>
            </w:pPr>
            <w:r w:rsidRPr="001520FF">
              <w:rPr>
                <w:i/>
                <w:sz w:val="18"/>
              </w:rPr>
              <w:t>Source</w:t>
            </w:r>
            <w:r w:rsidRPr="001520FF">
              <w:rPr>
                <w:sz w:val="18"/>
              </w:rPr>
              <w:t xml:space="preserve">: </w:t>
            </w:r>
            <w:r w:rsidR="00DF50D7">
              <w:rPr>
                <w:sz w:val="18"/>
              </w:rPr>
              <w:t>KIHS-2011. World Bank staff calculations.</w:t>
            </w:r>
          </w:p>
          <w:p w:rsidR="00F15235" w:rsidRPr="001520FF" w:rsidRDefault="00F15235" w:rsidP="004E1ED2">
            <w:pPr>
              <w:spacing w:after="0" w:line="240" w:lineRule="auto"/>
              <w:rPr>
                <w:sz w:val="18"/>
              </w:rPr>
            </w:pPr>
            <w:r w:rsidRPr="001520FF">
              <w:rPr>
                <w:i/>
                <w:sz w:val="18"/>
              </w:rPr>
              <w:t>Notes</w:t>
            </w:r>
            <w:r w:rsidRPr="001520FF">
              <w:rPr>
                <w:sz w:val="18"/>
              </w:rPr>
              <w:t xml:space="preserve">: </w:t>
            </w:r>
            <w:r w:rsidR="00AD0AAC">
              <w:rPr>
                <w:sz w:val="18"/>
              </w:rPr>
              <w:t>Self-employment includes employment at farms, individual employment, and entrepreneurship without registering</w:t>
            </w:r>
            <w:r w:rsidR="00DF50D7">
              <w:rPr>
                <w:sz w:val="18"/>
              </w:rPr>
              <w:t xml:space="preserve"> as a</w:t>
            </w:r>
            <w:r w:rsidR="00AD0AAC">
              <w:rPr>
                <w:sz w:val="18"/>
              </w:rPr>
              <w:t xml:space="preserve"> legal entity. </w:t>
            </w:r>
          </w:p>
        </w:tc>
      </w:tr>
    </w:tbl>
    <w:p w:rsidR="00F15235" w:rsidRDefault="00F15235" w:rsidP="006B61C3"/>
    <w:p w:rsidR="00F15235" w:rsidRPr="008E4B39" w:rsidRDefault="00F15235" w:rsidP="006B61C3">
      <w:r w:rsidRPr="008E4B39">
        <w:rPr>
          <w:b/>
        </w:rPr>
        <w:t xml:space="preserve">Better educated people are concentrated in the capital while </w:t>
      </w:r>
      <w:r w:rsidR="00DF50D7">
        <w:rPr>
          <w:b/>
        </w:rPr>
        <w:t xml:space="preserve">households in </w:t>
      </w:r>
      <w:r w:rsidR="00A01763">
        <w:rPr>
          <w:b/>
        </w:rPr>
        <w:t xml:space="preserve">the </w:t>
      </w:r>
      <w:r w:rsidRPr="008E4B39">
        <w:rPr>
          <w:b/>
        </w:rPr>
        <w:t xml:space="preserve">urban and rural areas </w:t>
      </w:r>
      <w:r w:rsidR="00DF50D7">
        <w:rPr>
          <w:b/>
        </w:rPr>
        <w:t xml:space="preserve">have </w:t>
      </w:r>
      <w:r w:rsidRPr="008E4B39">
        <w:rPr>
          <w:b/>
        </w:rPr>
        <w:t xml:space="preserve">higher household size and higher number of children. </w:t>
      </w:r>
      <w:r w:rsidR="00A01763">
        <w:t>A sizable</w:t>
      </w:r>
      <w:r>
        <w:t xml:space="preserve"> gap</w:t>
      </w:r>
      <w:r w:rsidR="00A01763">
        <w:t xml:space="preserve"> </w:t>
      </w:r>
      <w:r w:rsidR="00F01D27">
        <w:t xml:space="preserve">in the human capital </w:t>
      </w:r>
      <w:r w:rsidR="00A01763">
        <w:t>exists</w:t>
      </w:r>
      <w:r>
        <w:t xml:space="preserve"> between areas. Thus, people with higher education are concentrated in Bishkek where their skills are more likely to match </w:t>
      </w:r>
      <w:r w:rsidR="00A01763">
        <w:t xml:space="preserve">the </w:t>
      </w:r>
      <w:r w:rsidR="00F01D27">
        <w:t>labor market</w:t>
      </w:r>
      <w:r>
        <w:t xml:space="preserve">. </w:t>
      </w:r>
      <w:r w:rsidR="00DF50D7">
        <w:t>Thus, the share of individuals with higher education in Bishkek is twice higher than in</w:t>
      </w:r>
      <w:r w:rsidR="00A01763">
        <w:t xml:space="preserve"> the</w:t>
      </w:r>
      <w:r w:rsidR="00DF50D7">
        <w:t xml:space="preserve"> other urban areas and almost four times higher than in rural areas.</w:t>
      </w:r>
      <w:r>
        <w:t xml:space="preserve"> Households in</w:t>
      </w:r>
      <w:r w:rsidR="0072125A">
        <w:t xml:space="preserve"> the</w:t>
      </w:r>
      <w:r>
        <w:t xml:space="preserve"> urban and rural areas have unfavorable demographics with larger household</w:t>
      </w:r>
      <w:r w:rsidR="0072125A">
        <w:t>s</w:t>
      </w:r>
      <w:r>
        <w:t xml:space="preserve"> </w:t>
      </w:r>
      <w:r w:rsidR="0072125A">
        <w:t xml:space="preserve">that include </w:t>
      </w:r>
      <w:r>
        <w:t>more children</w:t>
      </w:r>
      <w:r w:rsidR="0072125A">
        <w:t>. Such conditions are</w:t>
      </w:r>
      <w:r>
        <w:t xml:space="preserve"> also associated with higher poverty.</w:t>
      </w:r>
    </w:p>
    <w:p w:rsidR="00F15235" w:rsidRDefault="00F15235" w:rsidP="009170AB">
      <w:pPr>
        <w:pStyle w:val="Heading2"/>
        <w:spacing w:after="120"/>
        <w:ind w:left="360"/>
      </w:pPr>
      <w:bookmarkStart w:id="8" w:name="_Toc353273027"/>
      <w:r>
        <w:t>Methodology</w:t>
      </w:r>
      <w:bookmarkEnd w:id="8"/>
    </w:p>
    <w:p w:rsidR="00F15235" w:rsidRDefault="00F15235" w:rsidP="005713A4">
      <w:r>
        <w:t xml:space="preserve">This section briefly describes the data used for the analysis. It also explains dependent and explanatory variables along with </w:t>
      </w:r>
      <w:r w:rsidR="0072125A">
        <w:t xml:space="preserve">a </w:t>
      </w:r>
      <w:r>
        <w:t>discussion of</w:t>
      </w:r>
      <w:r w:rsidR="00DF50D7">
        <w:t xml:space="preserve"> the</w:t>
      </w:r>
      <w:r>
        <w:t xml:space="preserve"> Oaxaca-Blinder decomposition. </w:t>
      </w:r>
    </w:p>
    <w:p w:rsidR="00F15235" w:rsidRPr="0030504E" w:rsidRDefault="00F15235" w:rsidP="005713A4">
      <w:pPr>
        <w:rPr>
          <w:b/>
        </w:rPr>
      </w:pPr>
      <w:r w:rsidRPr="0030504E">
        <w:rPr>
          <w:b/>
        </w:rPr>
        <w:t>Data and variables</w:t>
      </w:r>
    </w:p>
    <w:p w:rsidR="00F15235" w:rsidRDefault="00F15235" w:rsidP="005713A4">
      <w:r>
        <w:t xml:space="preserve">The analysis in this report </w:t>
      </w:r>
      <w:r w:rsidRPr="00505909">
        <w:t>is based on the data from the Kyrgyz Integrated Household Survey (KIHS) for 201</w:t>
      </w:r>
      <w:r>
        <w:t>1</w:t>
      </w:r>
      <w:r w:rsidRPr="00505909">
        <w:t>, which was collected and made available to the World Bank by the National Statistical Committee (NSC) of the Kyrgyz Republic.</w:t>
      </w:r>
      <w:r>
        <w:t xml:space="preserve"> </w:t>
      </w:r>
      <w:r w:rsidR="0072125A">
        <w:t xml:space="preserve">A </w:t>
      </w:r>
      <w:r>
        <w:t xml:space="preserve">sample of the survey is drawn using stratified two-stage random sampling ensuring representativeness of the urban and rural dimensions of seven regions and Bishkek. </w:t>
      </w:r>
    </w:p>
    <w:p w:rsidR="00DF50D7" w:rsidRPr="00DF50D7" w:rsidRDefault="00F15235" w:rsidP="00DF50D7">
      <w:r w:rsidRPr="005713A4">
        <w:lastRenderedPageBreak/>
        <w:t>The measure of</w:t>
      </w:r>
      <w:r w:rsidR="0072125A">
        <w:t xml:space="preserve"> </w:t>
      </w:r>
      <w:r w:rsidR="00F01D27">
        <w:t>the</w:t>
      </w:r>
      <w:r w:rsidRPr="005713A4">
        <w:t xml:space="preserve"> standard</w:t>
      </w:r>
      <w:r>
        <w:t>s</w:t>
      </w:r>
      <w:r w:rsidRPr="005713A4">
        <w:t xml:space="preserve"> of living used in this paper is the natural logarithm of </w:t>
      </w:r>
      <w:r w:rsidR="00F01D27">
        <w:t>the</w:t>
      </w:r>
      <w:r w:rsidR="0072125A">
        <w:t xml:space="preserve"> </w:t>
      </w:r>
      <w:r w:rsidRPr="005713A4">
        <w:t xml:space="preserve">“welfare ratio”. </w:t>
      </w:r>
      <w:r w:rsidR="0072125A">
        <w:t>The w</w:t>
      </w:r>
      <w:r w:rsidRPr="005713A4">
        <w:t xml:space="preserve">elfare </w:t>
      </w:r>
      <w:r w:rsidR="00ED4E8C">
        <w:t>ratio</w:t>
      </w:r>
      <w:r w:rsidR="004927EA">
        <w:t xml:space="preserve"> (W) </w:t>
      </w:r>
      <w:r w:rsidR="00DF50D7" w:rsidRPr="00DF50D7">
        <w:t>is calculated using the following formula:</w:t>
      </w:r>
    </w:p>
    <w:p w:rsidR="00DF50D7" w:rsidRPr="00DF50D7" w:rsidRDefault="004927EA" w:rsidP="00DF50D7">
      <w:r w:rsidRPr="004927EA">
        <w:rPr>
          <w:position w:val="-24"/>
        </w:rPr>
        <w:object w:dxaOrig="999" w:dyaOrig="620">
          <v:shape id="_x0000_i1026" type="#_x0000_t75" style="width:50.25pt;height:30.75pt" o:ole="">
            <v:imagedata r:id="rId20" o:title=""/>
          </v:shape>
          <o:OLEObject Type="Embed" ProgID="Equation.3" ShapeID="_x0000_i1026" DrawAspect="Content" ObjectID="_1427185314" r:id="rId21"/>
        </w:object>
      </w:r>
    </w:p>
    <w:p w:rsidR="00F15235" w:rsidRDefault="00DF50D7" w:rsidP="005713A4">
      <w:r w:rsidRPr="00DF50D7">
        <w:t xml:space="preserve">Where C is daily per capita consumption adjusted for inter-regional differences in prices. PL is a daily poverty line for the </w:t>
      </w:r>
      <w:r w:rsidR="0072125A">
        <w:t>entire</w:t>
      </w:r>
      <w:r w:rsidR="0072125A" w:rsidRPr="00DF50D7">
        <w:t xml:space="preserve"> </w:t>
      </w:r>
      <w:r w:rsidRPr="00DF50D7">
        <w:t>Republic</w:t>
      </w:r>
      <w:r w:rsidR="00AC4D78">
        <w:t xml:space="preserve">. </w:t>
      </w:r>
      <w:r w:rsidR="0072125A">
        <w:t>A h</w:t>
      </w:r>
      <w:r w:rsidR="006527B8">
        <w:t>igher welfare ratio means higher living standards.</w:t>
      </w:r>
      <w:r w:rsidR="00F15235">
        <w:t xml:space="preserve"> Consumption was chosen over total expenditures and income because it is generally viewed as a more accurate measure in developing countries for</w:t>
      </w:r>
      <w:r w:rsidR="0072125A">
        <w:t xml:space="preserve"> the</w:t>
      </w:r>
      <w:r w:rsidR="00F15235">
        <w:t xml:space="preserve"> poverty analysis.  </w:t>
      </w:r>
    </w:p>
    <w:p w:rsidR="00F15235" w:rsidRPr="009170AB" w:rsidRDefault="00F15235" w:rsidP="00AA159D">
      <w:r>
        <w:t xml:space="preserve">Explanatory variables </w:t>
      </w:r>
      <w:r w:rsidR="004927EA">
        <w:t>to explain</w:t>
      </w:r>
      <w:r w:rsidR="0072125A">
        <w:t xml:space="preserve"> the</w:t>
      </w:r>
      <w:r>
        <w:t xml:space="preserve"> welfare ratio are grouped into demographics, employment,</w:t>
      </w:r>
      <w:r w:rsidR="0072125A">
        <w:t xml:space="preserve"> and</w:t>
      </w:r>
      <w:r>
        <w:t xml:space="preserve"> education categories and include only portable household characteristics.</w:t>
      </w:r>
      <w:r>
        <w:rPr>
          <w:rStyle w:val="FootnoteReference"/>
        </w:rPr>
        <w:footnoteReference w:id="2"/>
      </w:r>
      <w:r>
        <w:t xml:space="preserve"> The group of demographic variables includes household composition (number of household members by age group), gender, age and marital status of the head of household (live together, widow or single). The group of employment variables includes</w:t>
      </w:r>
      <w:r w:rsidR="006527B8">
        <w:t xml:space="preserve"> the</w:t>
      </w:r>
      <w:r>
        <w:t xml:space="preserve"> share of household members </w:t>
      </w:r>
      <w:r w:rsidR="00E015EB">
        <w:t xml:space="preserve">employed locally and abroad </w:t>
      </w:r>
      <w:r>
        <w:t>in</w:t>
      </w:r>
      <w:r w:rsidR="0072125A">
        <w:t xml:space="preserve"> the</w:t>
      </w:r>
      <w:r>
        <w:t xml:space="preserve"> total household size, dummy for the head of household having full time employment, dummies for the primary occupation of the head of household (manager, high qualification, medium qualification, clerk, worker of services sector and unqualified worker or not working). </w:t>
      </w:r>
      <w:r w:rsidR="003A7E29" w:rsidRPr="003A7E29">
        <w:t>Education of the head of household is categorized into four groups: higher, secondary vocational, basic vocational and secondary and below</w:t>
      </w:r>
      <w:r>
        <w:t>.</w:t>
      </w:r>
      <w:r>
        <w:rPr>
          <w:rStyle w:val="FootnoteReference"/>
        </w:rPr>
        <w:footnoteReference w:id="3"/>
      </w:r>
    </w:p>
    <w:p w:rsidR="00F15235" w:rsidRDefault="00F15235" w:rsidP="00AA159D">
      <w:r>
        <w:t xml:space="preserve">The decomposition analysis at the mean of the distribution consists of three parts. Firstly, welfare disparities </w:t>
      </w:r>
      <w:r w:rsidR="0072125A">
        <w:t xml:space="preserve">are decomposed </w:t>
      </w:r>
      <w:r>
        <w:t>between urban</w:t>
      </w:r>
      <w:r w:rsidR="004927EA">
        <w:t>,</w:t>
      </w:r>
      <w:r w:rsidR="004927EA">
        <w:rPr>
          <w:rStyle w:val="FootnoteReference"/>
        </w:rPr>
        <w:footnoteReference w:id="4"/>
      </w:r>
      <w:r w:rsidR="004927EA">
        <w:t xml:space="preserve"> </w:t>
      </w:r>
      <w:r>
        <w:t>rural areas and the capital of the country (</w:t>
      </w:r>
      <w:r w:rsidR="006527B8">
        <w:t>Figure 5</w:t>
      </w:r>
      <w:r>
        <w:t>). Secondly, welfare disparities</w:t>
      </w:r>
      <w:r w:rsidR="0072125A">
        <w:t xml:space="preserve"> are decomposed</w:t>
      </w:r>
      <w:r>
        <w:t xml:space="preserve"> between regions. In order to keep the number of pairs manageable, welfare disparities</w:t>
      </w:r>
      <w:r w:rsidR="0072125A">
        <w:t xml:space="preserve"> are decomposed</w:t>
      </w:r>
      <w:r>
        <w:t xml:space="preserve"> between the urban and rural areas of the leading region with </w:t>
      </w:r>
      <w:r w:rsidR="0072125A">
        <w:t>comparable areas</w:t>
      </w:r>
      <w:r>
        <w:t xml:space="preserve"> of </w:t>
      </w:r>
      <w:r w:rsidR="0072125A">
        <w:t xml:space="preserve">the </w:t>
      </w:r>
      <w:r>
        <w:t>other lagging regions. Namely, Bishkek</w:t>
      </w:r>
      <w:r w:rsidR="0072125A">
        <w:t xml:space="preserve"> is compared with</w:t>
      </w:r>
      <w:r>
        <w:t xml:space="preserve"> urban </w:t>
      </w:r>
      <w:r w:rsidR="006576CD">
        <w:t xml:space="preserve">and rural </w:t>
      </w:r>
      <w:r>
        <w:t>areas of other regions</w:t>
      </w:r>
      <w:r w:rsidR="0072125A">
        <w:t>. The</w:t>
      </w:r>
      <w:r>
        <w:t xml:space="preserve"> rural areas of </w:t>
      </w:r>
      <w:r w:rsidR="00F33B61">
        <w:t xml:space="preserve">a </w:t>
      </w:r>
      <w:r>
        <w:t xml:space="preserve">leading Chui region </w:t>
      </w:r>
      <w:r w:rsidR="0072125A">
        <w:t xml:space="preserve">are compared </w:t>
      </w:r>
      <w:r>
        <w:t xml:space="preserve">with </w:t>
      </w:r>
      <w:r w:rsidR="0072125A">
        <w:t xml:space="preserve">the </w:t>
      </w:r>
      <w:r>
        <w:t>rural areas of other regions (</w:t>
      </w:r>
      <w:r w:rsidR="006527B8">
        <w:t>Figures 6, 7</w:t>
      </w:r>
      <w:r>
        <w:t>). Finally, welfare disparities</w:t>
      </w:r>
      <w:r w:rsidR="0072125A">
        <w:t xml:space="preserve"> are explored</w:t>
      </w:r>
      <w:r>
        <w:t xml:space="preserve"> within regions: urban versus rural areas for each particular region</w:t>
      </w:r>
      <w:r w:rsidR="004927EA">
        <w:t xml:space="preserve"> (Figure 8)</w:t>
      </w:r>
      <w:r>
        <w:t>. For the decomposition analysis across the welfare distribution, welfare disparities</w:t>
      </w:r>
      <w:r w:rsidR="0072125A">
        <w:t xml:space="preserve"> are decomposed</w:t>
      </w:r>
      <w:r>
        <w:t xml:space="preserve"> between urban, rural areas and the capital of the country. </w:t>
      </w:r>
    </w:p>
    <w:p w:rsidR="00FE4820" w:rsidRDefault="00FE4820" w:rsidP="00244674">
      <w:pPr>
        <w:rPr>
          <w:b/>
        </w:rPr>
      </w:pPr>
    </w:p>
    <w:p w:rsidR="00FE4820" w:rsidRDefault="00FE4820" w:rsidP="00244674">
      <w:pPr>
        <w:rPr>
          <w:b/>
        </w:rPr>
      </w:pPr>
    </w:p>
    <w:p w:rsidR="00F15235" w:rsidRDefault="00F15235" w:rsidP="00244674">
      <w:pPr>
        <w:rPr>
          <w:b/>
        </w:rPr>
      </w:pPr>
      <w:r>
        <w:rPr>
          <w:b/>
        </w:rPr>
        <w:lastRenderedPageBreak/>
        <w:t>Oaxaca-Blinder decomposition</w:t>
      </w:r>
    </w:p>
    <w:p w:rsidR="00F15235" w:rsidRDefault="00F15235" w:rsidP="00C97EC2">
      <w:r>
        <w:t>Traditionally</w:t>
      </w:r>
      <w:r w:rsidR="0072125A">
        <w:t>, the</w:t>
      </w:r>
      <w:r>
        <w:t xml:space="preserve"> Oaxaca-Blinder method is used to decompose group difference</w:t>
      </w:r>
      <w:r w:rsidR="00F33B61">
        <w:t>s</w:t>
      </w:r>
      <w:r w:rsidR="002867EF">
        <w:t xml:space="preserve"> in mean wages (Oaxaca 1973; Blinder</w:t>
      </w:r>
      <w:r>
        <w:t xml:space="preserve"> 1973). Afterwards, the method was extended to decompose changes in the entire</w:t>
      </w:r>
      <w:r w:rsidR="002867EF">
        <w:t xml:space="preserve"> wage distribution (</w:t>
      </w:r>
      <w:proofErr w:type="spellStart"/>
      <w:r w:rsidR="002867EF">
        <w:t>Juhn</w:t>
      </w:r>
      <w:proofErr w:type="spellEnd"/>
      <w:r w:rsidR="002867EF">
        <w:t xml:space="preserve"> et al.</w:t>
      </w:r>
      <w:r>
        <w:t xml:space="preserve"> 1993</w:t>
      </w:r>
      <w:r w:rsidR="002867EF">
        <w:t>;</w:t>
      </w:r>
      <w:r w:rsidR="002867EF" w:rsidRPr="002867EF">
        <w:t xml:space="preserve"> </w:t>
      </w:r>
      <w:proofErr w:type="spellStart"/>
      <w:r w:rsidR="002867EF" w:rsidRPr="002867EF">
        <w:t>Firpo</w:t>
      </w:r>
      <w:proofErr w:type="spellEnd"/>
      <w:r w:rsidR="002867EF">
        <w:t xml:space="preserve"> et al. 2007</w:t>
      </w:r>
      <w:r>
        <w:t>).</w:t>
      </w:r>
    </w:p>
    <w:p w:rsidR="00F15235" w:rsidRPr="009D2DFE" w:rsidRDefault="00F15235" w:rsidP="00C97EC2">
      <w:r>
        <w:t xml:space="preserve">Given two </w:t>
      </w:r>
      <w:r w:rsidRPr="009D2DFE">
        <w:t xml:space="preserve">regions (A) and (B), </w:t>
      </w:r>
      <w:r w:rsidR="0072125A">
        <w:t>it is assumed</w:t>
      </w:r>
      <w:r w:rsidRPr="009D2DFE">
        <w:t xml:space="preserve"> that the natural logarithm of welfare ratio, denoted </w:t>
      </w:r>
      <w:proofErr w:type="spellStart"/>
      <w:r w:rsidRPr="009D2DFE">
        <w:t>LnW</w:t>
      </w:r>
      <w:proofErr w:type="spellEnd"/>
      <w:r w:rsidRPr="009D2DFE">
        <w:t xml:space="preserve"> can be summarized by linear regressions:</w:t>
      </w:r>
    </w:p>
    <w:p w:rsidR="00F15235" w:rsidRDefault="00F15235" w:rsidP="00C97EC2">
      <w:r w:rsidRPr="00B23194">
        <w:rPr>
          <w:position w:val="-12"/>
        </w:rPr>
        <w:object w:dxaOrig="1860" w:dyaOrig="380">
          <v:shape id="_x0000_i1027" type="#_x0000_t75" style="width:93pt;height:18.75pt" o:ole="">
            <v:imagedata r:id="rId22" o:title=""/>
          </v:shape>
          <o:OLEObject Type="Embed" ProgID="Equation.3" ShapeID="_x0000_i1027" DrawAspect="Content" ObjectID="_1427185315" r:id="rId23"/>
        </w:object>
      </w:r>
      <w:r>
        <w:t xml:space="preserve">  </w:t>
      </w:r>
      <w:r>
        <w:tab/>
      </w:r>
      <w:r>
        <w:tab/>
      </w:r>
      <w:r>
        <w:tab/>
      </w:r>
      <w:r>
        <w:tab/>
      </w:r>
      <w:r>
        <w:tab/>
      </w:r>
      <w:r>
        <w:tab/>
      </w:r>
      <w:r>
        <w:tab/>
      </w:r>
      <w:r>
        <w:tab/>
      </w:r>
      <w:r>
        <w:tab/>
        <w:t>(1)</w:t>
      </w:r>
      <w:r>
        <w:tab/>
      </w:r>
      <w:r>
        <w:tab/>
      </w:r>
    </w:p>
    <w:p w:rsidR="00F15235" w:rsidRPr="009D2DFE" w:rsidRDefault="00F15235" w:rsidP="00C97EC2">
      <w:r w:rsidRPr="00323999">
        <w:rPr>
          <w:position w:val="-12"/>
        </w:rPr>
        <w:object w:dxaOrig="1719" w:dyaOrig="360">
          <v:shape id="_x0000_i1028" type="#_x0000_t75" style="width:86.25pt;height:18pt" o:ole="">
            <v:imagedata r:id="rId24" o:title=""/>
          </v:shape>
          <o:OLEObject Type="Embed" ProgID="Equation.3" ShapeID="_x0000_i1028" DrawAspect="Content" ObjectID="_1427185316" r:id="rId25"/>
        </w:object>
      </w:r>
      <w:r>
        <w:tab/>
      </w:r>
      <w:r>
        <w:tab/>
      </w:r>
      <w:r>
        <w:tab/>
      </w:r>
      <w:r>
        <w:tab/>
      </w:r>
      <w:r>
        <w:tab/>
      </w:r>
      <w:r>
        <w:tab/>
      </w:r>
      <w:r>
        <w:tab/>
      </w:r>
      <w:r>
        <w:tab/>
      </w:r>
      <w:r>
        <w:tab/>
        <w:t>(2)</w:t>
      </w:r>
    </w:p>
    <w:p w:rsidR="00F15235" w:rsidRPr="009D2DFE" w:rsidRDefault="00F15235" w:rsidP="00C97EC2">
      <w:r w:rsidRPr="009D2DFE">
        <w:t xml:space="preserve">In this specification, </w:t>
      </w:r>
      <w:r w:rsidRPr="004C23F5">
        <w:rPr>
          <w:position w:val="-10"/>
        </w:rPr>
        <w:object w:dxaOrig="240" w:dyaOrig="320">
          <v:shape id="_x0000_i1029" type="#_x0000_t75" style="width:12pt;height:15.75pt" o:ole="">
            <v:imagedata r:id="rId26" o:title=""/>
          </v:shape>
          <o:OLEObject Type="Embed" ProgID="Equation.3" ShapeID="_x0000_i1029" DrawAspect="Content" ObjectID="_1427185317" r:id="rId27"/>
        </w:object>
      </w:r>
      <w:r w:rsidR="00F33B61">
        <w:t xml:space="preserve"> </w:t>
      </w:r>
      <w:r w:rsidRPr="009D2DFE">
        <w:t xml:space="preserve">is the vector of </w:t>
      </w:r>
      <w:r w:rsidR="0072125A">
        <w:t xml:space="preserve">the </w:t>
      </w:r>
      <w:r w:rsidRPr="009D2DFE">
        <w:t>coefficients associated with the household characteristics included in the vector X</w:t>
      </w:r>
      <w:r>
        <w:t xml:space="preserve"> and </w:t>
      </w:r>
      <w:r w:rsidRPr="004C23F5">
        <w:rPr>
          <w:position w:val="-6"/>
        </w:rPr>
        <w:object w:dxaOrig="200" w:dyaOrig="220">
          <v:shape id="_x0000_i1030" type="#_x0000_t75" style="width:9.75pt;height:11.25pt" o:ole="">
            <v:imagedata r:id="rId28" o:title=""/>
          </v:shape>
          <o:OLEObject Type="Embed" ProgID="Equation.3" ShapeID="_x0000_i1030" DrawAspect="Content" ObjectID="_1427185318" r:id="rId29"/>
        </w:object>
      </w:r>
      <w:r>
        <w:t xml:space="preserve"> </w:t>
      </w:r>
      <w:r w:rsidRPr="009D2DFE">
        <w:t>is a random disturbance term. The coefficient</w:t>
      </w:r>
      <w:r w:rsidR="003A4110">
        <w:t>s</w:t>
      </w:r>
      <w:r w:rsidRPr="009D2DFE">
        <w:t xml:space="preserve"> </w:t>
      </w:r>
      <w:r w:rsidR="003A4110">
        <w:t>in this specification summarize</w:t>
      </w:r>
      <w:r w:rsidRPr="009D2DFE">
        <w:t xml:space="preserve"> the marginal welfare gain</w:t>
      </w:r>
      <w:r w:rsidR="003A4110">
        <w:t>s</w:t>
      </w:r>
      <w:r w:rsidRPr="009D2DFE">
        <w:t xml:space="preserve"> in terms of consumption for each particular explanatory variable. The marginal welfare gains to household characteristics are also influenced by </w:t>
      </w:r>
      <w:r w:rsidR="003A4110">
        <w:t xml:space="preserve">the </w:t>
      </w:r>
      <w:r w:rsidRPr="009D2DFE">
        <w:t>variety of other geographic factors of a particular region, such as access to markets, infrastructure, social customs,</w:t>
      </w:r>
      <w:r>
        <w:t xml:space="preserve"> and</w:t>
      </w:r>
      <w:r w:rsidRPr="009D2DFE">
        <w:t xml:space="preserve"> cultural factors</w:t>
      </w:r>
      <w:r>
        <w:t xml:space="preserve"> which are not included in the vector of explanatory variables</w:t>
      </w:r>
      <w:r w:rsidRPr="009D2DFE">
        <w:t xml:space="preserve">. </w:t>
      </w:r>
    </w:p>
    <w:p w:rsidR="00F15235" w:rsidRPr="009D2DFE" w:rsidRDefault="00F15235" w:rsidP="00C97EC2">
      <w:r w:rsidRPr="009D2DFE">
        <w:t>The difference in the mean (log) welfare ratios, or in other words standards of living, between two regions can be expressed as</w:t>
      </w:r>
    </w:p>
    <w:p w:rsidR="00F15235" w:rsidRPr="009D2DFE" w:rsidRDefault="00F15235" w:rsidP="00C97EC2">
      <w:r w:rsidRPr="00B23194">
        <w:rPr>
          <w:position w:val="-12"/>
        </w:rPr>
        <w:object w:dxaOrig="2940" w:dyaOrig="400">
          <v:shape id="_x0000_i1031" type="#_x0000_t75" style="width:147pt;height:20.25pt" o:ole="">
            <v:imagedata r:id="rId30" o:title=""/>
          </v:shape>
          <o:OLEObject Type="Embed" ProgID="Equation.3" ShapeID="_x0000_i1031" DrawAspect="Content" ObjectID="_1427185319" r:id="rId31"/>
        </w:object>
      </w:r>
      <w:r>
        <w:t xml:space="preserve">   </w:t>
      </w:r>
      <w:r>
        <w:tab/>
      </w:r>
      <w:r>
        <w:tab/>
      </w:r>
      <w:r>
        <w:tab/>
      </w:r>
      <w:r>
        <w:tab/>
      </w:r>
      <w:r>
        <w:tab/>
      </w:r>
      <w:r>
        <w:tab/>
      </w:r>
      <w:r>
        <w:tab/>
        <w:t>(3)</w:t>
      </w:r>
    </w:p>
    <w:p w:rsidR="00F15235" w:rsidRDefault="00F15235" w:rsidP="00C97EC2">
      <w:r w:rsidRPr="009D2DFE">
        <w:t xml:space="preserve">Where the bar over variables denotes the sample mean values. </w:t>
      </w:r>
      <w:r w:rsidR="0072125A">
        <w:t>It is also</w:t>
      </w:r>
      <w:r w:rsidRPr="009D2DFE">
        <w:t xml:space="preserve"> assumed </w:t>
      </w:r>
      <w:proofErr w:type="gramStart"/>
      <w:r w:rsidRPr="009D2DFE">
        <w:t xml:space="preserve">that </w:t>
      </w:r>
      <w:proofErr w:type="gramEnd"/>
      <w:r w:rsidR="003A4110" w:rsidRPr="003A4110">
        <w:rPr>
          <w:position w:val="-14"/>
        </w:rPr>
        <w:object w:dxaOrig="2439" w:dyaOrig="380">
          <v:shape id="_x0000_i1032" type="#_x0000_t75" style="width:118.5pt;height:19.5pt" o:ole="">
            <v:imagedata r:id="rId32" o:title=""/>
          </v:shape>
          <o:OLEObject Type="Embed" ProgID="Equation.3" ShapeID="_x0000_i1032" DrawAspect="Content" ObjectID="_1427185320" r:id="rId33"/>
        </w:object>
      </w:r>
      <w:r w:rsidRPr="009D2DFE">
        <w:t>.</w:t>
      </w:r>
    </w:p>
    <w:p w:rsidR="00F15235" w:rsidRPr="009D2DFE" w:rsidRDefault="00F15235" w:rsidP="00C97EC2">
      <w:r w:rsidRPr="009D2DFE">
        <w:t>Following Oaxaca (1973) and Blinder</w:t>
      </w:r>
      <w:r w:rsidR="00F33B61">
        <w:t xml:space="preserve"> </w:t>
      </w:r>
      <w:r w:rsidRPr="009D2DFE">
        <w:t xml:space="preserve">(1973), </w:t>
      </w:r>
      <w:r w:rsidR="0072125A">
        <w:t xml:space="preserve">the </w:t>
      </w:r>
      <w:r w:rsidRPr="009D2DFE">
        <w:t>equation can be rearranged into either:</w:t>
      </w:r>
    </w:p>
    <w:p w:rsidR="00F15235" w:rsidRDefault="00F15235" w:rsidP="00C97EC2">
      <w:r w:rsidRPr="00B23194">
        <w:rPr>
          <w:position w:val="-12"/>
        </w:rPr>
        <w:object w:dxaOrig="4660" w:dyaOrig="400">
          <v:shape id="_x0000_i1033" type="#_x0000_t75" style="width:233.25pt;height:19.5pt" o:ole="">
            <v:imagedata r:id="rId34" o:title=""/>
          </v:shape>
          <o:OLEObject Type="Embed" ProgID="Equation.3" ShapeID="_x0000_i1033" DrawAspect="Content" ObjectID="_1427185321" r:id="rId35"/>
        </w:object>
      </w:r>
      <w:r>
        <w:tab/>
      </w:r>
      <w:r>
        <w:tab/>
      </w:r>
      <w:r>
        <w:tab/>
      </w:r>
      <w:r>
        <w:tab/>
      </w:r>
      <w:r>
        <w:tab/>
        <w:t>(4)</w:t>
      </w:r>
    </w:p>
    <w:p w:rsidR="00F15235" w:rsidRPr="009D2DFE" w:rsidRDefault="00F15235" w:rsidP="00C97EC2">
      <w:r w:rsidRPr="00323999">
        <w:rPr>
          <w:position w:val="-12"/>
        </w:rPr>
        <w:object w:dxaOrig="4099" w:dyaOrig="400">
          <v:shape id="_x0000_i1034" type="#_x0000_t75" style="width:203.25pt;height:20.25pt" o:ole="">
            <v:imagedata r:id="rId36" o:title=""/>
          </v:shape>
          <o:OLEObject Type="Embed" ProgID="Equation.3" ShapeID="_x0000_i1034" DrawAspect="Content" ObjectID="_1427185322" r:id="rId37"/>
        </w:object>
      </w:r>
      <w:r>
        <w:t xml:space="preserve"> </w:t>
      </w:r>
      <w:r>
        <w:tab/>
      </w:r>
      <w:r>
        <w:tab/>
      </w:r>
      <w:r>
        <w:tab/>
      </w:r>
      <w:r>
        <w:tab/>
      </w:r>
      <w:r>
        <w:tab/>
      </w:r>
      <w:r>
        <w:tab/>
        <w:t>(5)</w:t>
      </w:r>
    </w:p>
    <w:p w:rsidR="00F15235" w:rsidRPr="009D2DFE" w:rsidRDefault="00F15235" w:rsidP="00C97EC2">
      <w:r w:rsidRPr="009D2DFE">
        <w:t>Both expressions imply that the difference in the mean log welfare ratios between regions A and B can be decomposed into component</w:t>
      </w:r>
      <w:r w:rsidR="003A4110">
        <w:t>s</w:t>
      </w:r>
      <w:r w:rsidRPr="009D2DFE">
        <w:t xml:space="preserve"> related to the difference in average charac</w:t>
      </w:r>
      <w:r>
        <w:t xml:space="preserve">teristics and </w:t>
      </w:r>
      <w:r w:rsidRPr="009D2DFE">
        <w:t xml:space="preserve">difference in coefficients. The only </w:t>
      </w:r>
      <w:r w:rsidR="003A4110">
        <w:t>dissimilarity</w:t>
      </w:r>
      <w:r w:rsidRPr="009D2DFE">
        <w:t xml:space="preserve"> between two formulas </w:t>
      </w:r>
      <w:r w:rsidR="003A4110">
        <w:t xml:space="preserve">is </w:t>
      </w:r>
      <w:r w:rsidRPr="009D2DFE">
        <w:t xml:space="preserve">how the differences in characteristics and coefficients are weighted. Since the original decomposition numerous papers were written extending the method by proposing alternative weights. </w:t>
      </w:r>
      <w:r w:rsidR="003A4110">
        <w:t xml:space="preserve">The general expression allowing different weights is presented below. </w:t>
      </w:r>
    </w:p>
    <w:p w:rsidR="00F15235" w:rsidRPr="009D2DFE" w:rsidRDefault="009D3355" w:rsidP="00C97EC2">
      <w:r w:rsidRPr="00B23194">
        <w:rPr>
          <w:position w:val="-12"/>
        </w:rPr>
        <w:object w:dxaOrig="7420" w:dyaOrig="400">
          <v:shape id="_x0000_i1035" type="#_x0000_t75" style="width:371.25pt;height:19.5pt" o:ole="">
            <v:imagedata r:id="rId38" o:title=""/>
          </v:shape>
          <o:OLEObject Type="Embed" ProgID="Equation.3" ShapeID="_x0000_i1035" DrawAspect="Content" ObjectID="_1427185323" r:id="rId39"/>
        </w:object>
      </w:r>
      <w:r w:rsidR="00F15235">
        <w:t xml:space="preserve">              (6)</w:t>
      </w:r>
    </w:p>
    <w:p w:rsidR="00F15235" w:rsidRPr="009D2DFE" w:rsidRDefault="00F15235" w:rsidP="00C97EC2">
      <w:r w:rsidRPr="009D2DFE">
        <w:lastRenderedPageBreak/>
        <w:t xml:space="preserve">Where </w:t>
      </w:r>
      <w:r w:rsidR="00641841">
        <w:t>I</w:t>
      </w:r>
      <w:r w:rsidRPr="009D2DFE">
        <w:t xml:space="preserve"> is the identity matrix and D is a matrix of weights. The traditional Oaxaca-Blinder decomposition is considered to be a special case in which D=0 </w:t>
      </w:r>
      <w:r w:rsidR="00764F68">
        <w:t xml:space="preserve">gives </w:t>
      </w:r>
      <w:r w:rsidR="0072125A">
        <w:t xml:space="preserve">the </w:t>
      </w:r>
      <w:r w:rsidR="00764F68">
        <w:t>equation (4)</w:t>
      </w:r>
      <w:r w:rsidRPr="009D2DFE">
        <w:t xml:space="preserve"> and D=1 gives </w:t>
      </w:r>
      <w:r w:rsidR="0072125A">
        <w:t>the</w:t>
      </w:r>
      <w:r w:rsidR="0072125A" w:rsidRPr="009D2DFE">
        <w:t xml:space="preserve"> </w:t>
      </w:r>
      <w:r w:rsidRPr="009D2DFE">
        <w:t xml:space="preserve">equation (5). </w:t>
      </w:r>
      <w:proofErr w:type="spellStart"/>
      <w:r>
        <w:t>Skoufias</w:t>
      </w:r>
      <w:proofErr w:type="spellEnd"/>
      <w:r w:rsidRPr="009D2DFE">
        <w:t xml:space="preserve"> and </w:t>
      </w:r>
      <w:r>
        <w:t>Katayama</w:t>
      </w:r>
      <w:r w:rsidRPr="009D2DFE">
        <w:t xml:space="preserve"> (</w:t>
      </w:r>
      <w:r>
        <w:t>2011</w:t>
      </w:r>
      <w:r w:rsidRPr="009D2DFE">
        <w:t>)</w:t>
      </w:r>
      <w:r w:rsidR="0072125A">
        <w:t xml:space="preserve"> are followed</w:t>
      </w:r>
      <w:r w:rsidRPr="009D2DFE">
        <w:t>, and weights</w:t>
      </w:r>
      <w:r w:rsidR="0072125A">
        <w:t xml:space="preserve"> are used as</w:t>
      </w:r>
      <w:r w:rsidRPr="009D2DFE">
        <w:t xml:space="preserve"> the average of the coefficients and the characteristics: the D=0.5.</w:t>
      </w:r>
    </w:p>
    <w:p w:rsidR="00F15235" w:rsidRPr="009D2DFE" w:rsidRDefault="00EF3946" w:rsidP="00C97EC2">
      <w:r>
        <w:t>O</w:t>
      </w:r>
      <w:r w:rsidR="00F15235" w:rsidRPr="009D2DFE">
        <w:t>nly portable non-geographic household characteristics</w:t>
      </w:r>
      <w:r>
        <w:t xml:space="preserve"> are used</w:t>
      </w:r>
      <w:r w:rsidR="00F15235" w:rsidRPr="009D2DFE">
        <w:t xml:space="preserve"> in the vector of X intentionally. The influence of</w:t>
      </w:r>
      <w:r>
        <w:t xml:space="preserve"> the</w:t>
      </w:r>
      <w:r w:rsidR="00F15235" w:rsidRPr="009D2DFE">
        <w:t xml:space="preserve"> infrastructure and access to </w:t>
      </w:r>
      <w:r>
        <w:t xml:space="preserve">the </w:t>
      </w:r>
      <w:r w:rsidR="00F15235" w:rsidRPr="009D2DFE">
        <w:t>other basic public goods is captured by estimated coefficient</w:t>
      </w:r>
      <w:r w:rsidR="00F15235">
        <w:t>s</w:t>
      </w:r>
      <w:r w:rsidR="00F15235" w:rsidRPr="009D2DFE">
        <w:t xml:space="preserve"> of household characteristics. </w:t>
      </w:r>
      <w:r w:rsidR="00F15235">
        <w:t>They</w:t>
      </w:r>
      <w:r w:rsidR="00F15235" w:rsidRPr="009D2DFE">
        <w:t xml:space="preserve"> measure</w:t>
      </w:r>
      <w:r>
        <w:t xml:space="preserve"> the</w:t>
      </w:r>
      <w:r w:rsidR="00F15235" w:rsidRPr="009D2DFE">
        <w:t xml:space="preserve"> impact of household characteristic</w:t>
      </w:r>
      <w:r w:rsidR="00F15235">
        <w:t>s</w:t>
      </w:r>
      <w:r w:rsidR="00F15235" w:rsidRPr="009D2DFE">
        <w:t xml:space="preserve">, </w:t>
      </w:r>
      <w:r w:rsidR="00F15235">
        <w:t xml:space="preserve">a </w:t>
      </w:r>
      <w:r w:rsidR="00F15235" w:rsidRPr="009D2DFE">
        <w:t xml:space="preserve">direct impact of the omitted geographic variables and their correlation with the included household characteristics. </w:t>
      </w:r>
      <w:r w:rsidR="00F15235">
        <w:t>As a result of decomposition, the gap in</w:t>
      </w:r>
      <w:r>
        <w:t xml:space="preserve"> the</w:t>
      </w:r>
      <w:r w:rsidR="00F15235">
        <w:t xml:space="preserve"> living standards</w:t>
      </w:r>
      <w:r>
        <w:t xml:space="preserve"> is separated</w:t>
      </w:r>
      <w:r w:rsidR="00F15235">
        <w:t xml:space="preserve"> into two parts. </w:t>
      </w:r>
      <w:r w:rsidR="00F438E5" w:rsidRPr="00F438E5">
        <w:t>The first part is related to differences in observable portable household characteristics (concentration or explained part) and the second part shows how much of the variation in the living standards cannot be explained by characteristics</w:t>
      </w:r>
      <w:r w:rsidR="00B424B8">
        <w:t xml:space="preserve">. The unexplained part </w:t>
      </w:r>
      <w:r w:rsidR="002B5A5A">
        <w:t>is</w:t>
      </w:r>
      <w:r w:rsidR="00B424B8">
        <w:t xml:space="preserve"> related</w:t>
      </w:r>
      <w:r w:rsidR="00F15235">
        <w:t xml:space="preserve"> to differences in returns</w:t>
      </w:r>
      <w:r w:rsidR="00FC60E5" w:rsidRPr="00FC60E5">
        <w:t xml:space="preserve"> </w:t>
      </w:r>
      <w:r w:rsidR="00FC60E5">
        <w:t>which may be driven by the impact of geographic factors (access to markets, institutions etc.)</w:t>
      </w:r>
      <w:r w:rsidR="00F438E5">
        <w:t xml:space="preserve"> and </w:t>
      </w:r>
      <w:r w:rsidR="00FC60E5">
        <w:t xml:space="preserve">other </w:t>
      </w:r>
      <w:r w:rsidR="00F438E5">
        <w:t>omitted variables</w:t>
      </w:r>
      <w:r w:rsidR="00F15235">
        <w:t>.</w:t>
      </w:r>
      <w:r w:rsidR="00764F68">
        <w:t xml:space="preserve"> Therefore, this method</w:t>
      </w:r>
      <w:r>
        <w:t xml:space="preserve"> is used</w:t>
      </w:r>
      <w:r w:rsidR="00764F68">
        <w:t xml:space="preserve"> in order to identify which part of</w:t>
      </w:r>
      <w:r>
        <w:t xml:space="preserve"> the</w:t>
      </w:r>
      <w:r w:rsidR="00764F68">
        <w:t xml:space="preserve"> welfare disparity is associated with characteristics and which one </w:t>
      </w:r>
      <w:r w:rsidR="00F438E5">
        <w:t xml:space="preserve">can be potentially associated </w:t>
      </w:r>
      <w:r w:rsidR="00764F68">
        <w:t xml:space="preserve">with the geographic factors. </w:t>
      </w:r>
    </w:p>
    <w:p w:rsidR="00F15235" w:rsidRPr="009D2DFE" w:rsidRDefault="00F15235" w:rsidP="00C97EC2">
      <w:r w:rsidRPr="009D2DFE">
        <w:t xml:space="preserve">It is important to remember that the proposed decomposition is a descriptive tool that summarizes the role of endowments and marginal welfare changes associated with endowments. It does not imply causality and may be prone to selection bias if the current place of residence is not exogenous. Finally, this type of decomposition is performed only at the mean of the distribution, while the role of household characteristics and returns can vary across distributions. </w:t>
      </w:r>
      <w:r w:rsidR="00EF3946">
        <w:t>The last</w:t>
      </w:r>
      <w:r w:rsidRPr="009D2DFE">
        <w:t xml:space="preserve"> point </w:t>
      </w:r>
      <w:r w:rsidR="00EF3946">
        <w:t xml:space="preserve">is addressed </w:t>
      </w:r>
      <w:r w:rsidRPr="009D2DFE">
        <w:t xml:space="preserve">by </w:t>
      </w:r>
      <w:r w:rsidR="009E3EAB">
        <w:t xml:space="preserve">following </w:t>
      </w:r>
      <w:proofErr w:type="spellStart"/>
      <w:r w:rsidR="009E3EAB" w:rsidRPr="00EF3946">
        <w:t>Firpo</w:t>
      </w:r>
      <w:proofErr w:type="spellEnd"/>
      <w:r w:rsidR="00EF3946" w:rsidRPr="00EF3946">
        <w:t xml:space="preserve"> et al. (2007) who showed how to generalize the Oaxaca decomposition of the mean gap to quintiles, variance and other summary statistics by using the </w:t>
      </w:r>
      <w:proofErr w:type="spellStart"/>
      <w:r w:rsidR="00EF3946" w:rsidRPr="00EF3946">
        <w:t>recentered</w:t>
      </w:r>
      <w:proofErr w:type="spellEnd"/>
      <w:r w:rsidR="00EF3946" w:rsidRPr="00EF3946">
        <w:t xml:space="preserve"> influence function (RIF) approach.</w:t>
      </w:r>
      <w:r w:rsidR="00EF3946" w:rsidRPr="00EF3946">
        <w:rPr>
          <w:vertAlign w:val="superscript"/>
        </w:rPr>
        <w:footnoteReference w:id="5"/>
      </w:r>
    </w:p>
    <w:p w:rsidR="00F15235" w:rsidRDefault="00F15235" w:rsidP="009170AB">
      <w:pPr>
        <w:pStyle w:val="Heading2"/>
        <w:spacing w:after="120"/>
        <w:ind w:left="360"/>
      </w:pPr>
      <w:bookmarkStart w:id="9" w:name="_Toc353273028"/>
      <w:bookmarkStart w:id="10" w:name="_Toc341991992"/>
      <w:r>
        <w:t>Results of decomposition</w:t>
      </w:r>
      <w:bookmarkEnd w:id="9"/>
    </w:p>
    <w:p w:rsidR="00F15235" w:rsidRDefault="00F15235" w:rsidP="00674918">
      <w:pPr>
        <w:pStyle w:val="Heading3"/>
        <w:spacing w:after="120"/>
      </w:pPr>
      <w:bookmarkStart w:id="11" w:name="_Toc353273029"/>
      <w:r w:rsidRPr="009170AB">
        <w:t>Oaxaca-Blinder Decomposition at the Mean of Distribution</w:t>
      </w:r>
      <w:bookmarkEnd w:id="10"/>
      <w:bookmarkEnd w:id="11"/>
      <w:r w:rsidRPr="009170AB">
        <w:t xml:space="preserve"> </w:t>
      </w:r>
    </w:p>
    <w:p w:rsidR="00F15235" w:rsidRDefault="00C77927" w:rsidP="00994995">
      <w:r w:rsidRPr="00C77927">
        <w:rPr>
          <w:b/>
        </w:rPr>
        <w:t>Observable differences in characteristics can only partially explain the welfare gap between Bishkek</w:t>
      </w:r>
      <w:r w:rsidR="00EF3946">
        <w:rPr>
          <w:b/>
        </w:rPr>
        <w:t xml:space="preserve"> and</w:t>
      </w:r>
      <w:r w:rsidRPr="00C77927">
        <w:rPr>
          <w:b/>
        </w:rPr>
        <w:t xml:space="preserve"> urban and rural areas.</w:t>
      </w:r>
      <w:r>
        <w:t xml:space="preserve"> </w:t>
      </w:r>
      <w:r w:rsidR="00EF3946">
        <w:t>T</w:t>
      </w:r>
      <w:r>
        <w:t>he Oaxaca-Blinder d</w:t>
      </w:r>
      <w:r w:rsidR="00F15235">
        <w:t xml:space="preserve">ecomposition </w:t>
      </w:r>
      <w:r w:rsidR="00EF3946">
        <w:t xml:space="preserve">explains the </w:t>
      </w:r>
      <w:r w:rsidR="00F15235">
        <w:t>disparities between</w:t>
      </w:r>
      <w:r w:rsidR="00EF3946">
        <w:t xml:space="preserve"> the</w:t>
      </w:r>
      <w:r w:rsidR="00F15235">
        <w:t xml:space="preserve"> urban</w:t>
      </w:r>
      <w:r w:rsidR="00EF3946">
        <w:t xml:space="preserve"> and</w:t>
      </w:r>
      <w:r w:rsidR="00F15235">
        <w:t xml:space="preserve"> rural areas and the capital.</w:t>
      </w:r>
      <w:r w:rsidR="00F15235">
        <w:rPr>
          <w:rStyle w:val="FootnoteReference"/>
        </w:rPr>
        <w:footnoteReference w:id="6"/>
      </w:r>
      <w:r w:rsidR="003878F0">
        <w:t xml:space="preserve"> As shown in figure 5a</w:t>
      </w:r>
      <w:r w:rsidR="00F15235">
        <w:t>, approximately 5</w:t>
      </w:r>
      <w:r w:rsidR="0033546B">
        <w:t>4</w:t>
      </w:r>
      <w:r w:rsidR="00F15235">
        <w:t xml:space="preserve"> percent of the difference in </w:t>
      </w:r>
      <w:r w:rsidR="00EF3946">
        <w:t xml:space="preserve">the </w:t>
      </w:r>
      <w:r w:rsidR="00F15235">
        <w:t>log welfare ratio between Bishkek and</w:t>
      </w:r>
      <w:r w:rsidR="00EF3946">
        <w:t xml:space="preserve"> the</w:t>
      </w:r>
      <w:r w:rsidR="00F15235">
        <w:t xml:space="preserve"> other urban areas can be explained by more favorable household endowments in Bishkek. Namely, demographics and education are the main factors in </w:t>
      </w:r>
      <w:r w:rsidR="003878F0">
        <w:t xml:space="preserve">the </w:t>
      </w:r>
      <w:r w:rsidR="00F15235">
        <w:t xml:space="preserve">explained part of the gap. </w:t>
      </w:r>
      <w:r w:rsidR="00347070">
        <w:t>Regarding the gap between Bishkek and</w:t>
      </w:r>
      <w:r w:rsidR="00EF3946">
        <w:t xml:space="preserve"> the</w:t>
      </w:r>
      <w:r w:rsidR="00347070">
        <w:t xml:space="preserve"> rural areas, the picture is the same. </w:t>
      </w:r>
      <w:r w:rsidR="00FA380C">
        <w:t>A</w:t>
      </w:r>
      <w:r w:rsidR="00347070">
        <w:t>bout 6</w:t>
      </w:r>
      <w:r w:rsidR="00707B28">
        <w:t>4</w:t>
      </w:r>
      <w:r w:rsidR="00347070">
        <w:t xml:space="preserve"> percent of the difference in</w:t>
      </w:r>
      <w:r w:rsidR="00EF3946">
        <w:t xml:space="preserve"> the</w:t>
      </w:r>
      <w:r w:rsidR="00347070">
        <w:t xml:space="preserve"> log welfare ratio</w:t>
      </w:r>
      <w:r w:rsidR="00FA380C">
        <w:t xml:space="preserve"> is explained</w:t>
      </w:r>
      <w:r w:rsidR="00347070">
        <w:t>.</w:t>
      </w:r>
      <w:r w:rsidR="00347070" w:rsidRPr="00347070">
        <w:t xml:space="preserve"> </w:t>
      </w:r>
      <w:r w:rsidR="00347070">
        <w:t>Concentration of households with better characteristics in the capital can be a result of a large internal migration from</w:t>
      </w:r>
      <w:r w:rsidR="00EF3946">
        <w:t xml:space="preserve"> </w:t>
      </w:r>
      <w:r w:rsidR="00EF3946">
        <w:lastRenderedPageBreak/>
        <w:t>the</w:t>
      </w:r>
      <w:r w:rsidR="00347070">
        <w:t xml:space="preserve"> other regions to the capital and due to the different nature of productive activities which require inherently different characteristics. </w:t>
      </w:r>
      <w:r w:rsidR="00EF3946">
        <w:t>Yet</w:t>
      </w:r>
      <w:r w:rsidR="00BB6BCA" w:rsidRPr="00BB6BCA">
        <w:t xml:space="preserve">, the concentration of people with better characteristics in Bishkek is not able to </w:t>
      </w:r>
      <w:r w:rsidR="00347070">
        <w:t>explain 4</w:t>
      </w:r>
      <w:r w:rsidR="0033546B">
        <w:t>6</w:t>
      </w:r>
      <w:r w:rsidR="00347070">
        <w:t xml:space="preserve"> percent of the gap between Bishkek and</w:t>
      </w:r>
      <w:r w:rsidR="00EF3946">
        <w:t xml:space="preserve"> the</w:t>
      </w:r>
      <w:r w:rsidR="00347070">
        <w:t xml:space="preserve"> urban areas and 3</w:t>
      </w:r>
      <w:r w:rsidR="00707B28">
        <w:t>6</w:t>
      </w:r>
      <w:r w:rsidR="00347070">
        <w:t xml:space="preserve"> percent of the gap between Bishkek and</w:t>
      </w:r>
      <w:r w:rsidR="00EF3946">
        <w:t xml:space="preserve"> the</w:t>
      </w:r>
      <w:r w:rsidR="00347070">
        <w:t xml:space="preserve"> rural areas. </w:t>
      </w:r>
      <w:r w:rsidR="00BB6BCA" w:rsidRPr="00BB6BCA">
        <w:t>This can be related firstly to social and economic costs preventing people from migrating freely from lagging areas to the capital and by the agglomeration effects when clustering of human capital and good infrastructure enhance overall productivity and economic growth in Bishkek.</w:t>
      </w:r>
    </w:p>
    <w:tbl>
      <w:tblPr>
        <w:tblW w:w="0" w:type="auto"/>
        <w:tblBorders>
          <w:top w:val="single" w:sz="4" w:space="0" w:color="4F81BD"/>
          <w:bottom w:val="single" w:sz="4" w:space="0" w:color="4F81BD"/>
          <w:insideH w:val="single" w:sz="4" w:space="0" w:color="4F81BD"/>
        </w:tblBorders>
        <w:tblLook w:val="00A0" w:firstRow="1" w:lastRow="0" w:firstColumn="1" w:lastColumn="0" w:noHBand="0" w:noVBand="0"/>
      </w:tblPr>
      <w:tblGrid>
        <w:gridCol w:w="4721"/>
        <w:gridCol w:w="4855"/>
      </w:tblGrid>
      <w:tr w:rsidR="00F15235" w:rsidRPr="001520FF" w:rsidTr="004C4894">
        <w:tc>
          <w:tcPr>
            <w:tcW w:w="9576" w:type="dxa"/>
            <w:gridSpan w:val="2"/>
          </w:tcPr>
          <w:p w:rsidR="00F15235" w:rsidRPr="004C4894" w:rsidRDefault="00930E6B" w:rsidP="00795E1C">
            <w:pPr>
              <w:spacing w:after="0" w:line="240" w:lineRule="auto"/>
              <w:rPr>
                <w:b/>
              </w:rPr>
            </w:pPr>
            <w:r>
              <w:rPr>
                <w:b/>
                <w:color w:val="1F497D"/>
              </w:rPr>
              <w:t>Figure 5</w:t>
            </w:r>
            <w:r w:rsidR="00F15235" w:rsidRPr="00795E1C">
              <w:rPr>
                <w:b/>
                <w:color w:val="1F497D"/>
              </w:rPr>
              <w:t>. Oaxaca-Blinder decomposition of log welfare ratio between Bishkek, urban and rural areas, 2011</w:t>
            </w:r>
          </w:p>
        </w:tc>
      </w:tr>
      <w:tr w:rsidR="00F15235" w:rsidRPr="001520FF" w:rsidTr="00615CDF">
        <w:tblPrEx>
          <w:tblBorders>
            <w:top w:val="single" w:sz="8" w:space="0" w:color="4F81BD"/>
            <w:bottom w:val="none" w:sz="0" w:space="0" w:color="auto"/>
            <w:insideH w:val="none" w:sz="0" w:space="0" w:color="auto"/>
          </w:tblBorders>
        </w:tblPrEx>
        <w:tc>
          <w:tcPr>
            <w:tcW w:w="4721" w:type="dxa"/>
            <w:tcBorders>
              <w:top w:val="single" w:sz="8" w:space="0" w:color="4F81BD"/>
              <w:bottom w:val="single" w:sz="8" w:space="0" w:color="4F81BD"/>
            </w:tcBorders>
          </w:tcPr>
          <w:p w:rsidR="00F15235" w:rsidRPr="00930E6B" w:rsidRDefault="00F15235" w:rsidP="00930E6B">
            <w:pPr>
              <w:spacing w:after="0" w:line="240" w:lineRule="auto"/>
            </w:pPr>
            <w:r w:rsidRPr="00930E6B">
              <w:t xml:space="preserve">a) Explained and unexplained parts of log welfare gap </w:t>
            </w:r>
          </w:p>
        </w:tc>
        <w:tc>
          <w:tcPr>
            <w:tcW w:w="4855" w:type="dxa"/>
            <w:tcBorders>
              <w:top w:val="single" w:sz="8" w:space="0" w:color="4F81BD"/>
              <w:bottom w:val="single" w:sz="8" w:space="0" w:color="4F81BD"/>
            </w:tcBorders>
          </w:tcPr>
          <w:p w:rsidR="00F15235" w:rsidRPr="00930E6B" w:rsidRDefault="00F15235" w:rsidP="00930E6B">
            <w:pPr>
              <w:spacing w:after="0" w:line="240" w:lineRule="auto"/>
            </w:pPr>
            <w:r w:rsidRPr="00930E6B">
              <w:t>b) Detailed decomposition of log welfare gap</w:t>
            </w:r>
          </w:p>
        </w:tc>
      </w:tr>
      <w:tr w:rsidR="00F15235" w:rsidRPr="00596CA0" w:rsidTr="00615CDF">
        <w:tblPrEx>
          <w:tblBorders>
            <w:top w:val="single" w:sz="8" w:space="0" w:color="4F81BD"/>
            <w:bottom w:val="none" w:sz="0" w:space="0" w:color="auto"/>
            <w:insideH w:val="none" w:sz="0" w:space="0" w:color="auto"/>
          </w:tblBorders>
        </w:tblPrEx>
        <w:tc>
          <w:tcPr>
            <w:tcW w:w="4721" w:type="dxa"/>
            <w:tcBorders>
              <w:bottom w:val="single" w:sz="4" w:space="0" w:color="4F81BD"/>
            </w:tcBorders>
          </w:tcPr>
          <w:p w:rsidR="00F15235" w:rsidRPr="0006038F" w:rsidRDefault="00707B28" w:rsidP="00930E6B">
            <w:pPr>
              <w:tabs>
                <w:tab w:val="left" w:pos="1425"/>
              </w:tabs>
              <w:spacing w:after="0" w:line="240" w:lineRule="auto"/>
              <w:jc w:val="center"/>
            </w:pPr>
            <w:r>
              <w:rPr>
                <w:noProof/>
              </w:rPr>
              <w:drawing>
                <wp:inline distT="0" distB="0" distL="0" distR="0">
                  <wp:extent cx="2895600" cy="2124075"/>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855" w:type="dxa"/>
            <w:tcBorders>
              <w:bottom w:val="single" w:sz="4" w:space="0" w:color="4F81BD"/>
            </w:tcBorders>
          </w:tcPr>
          <w:p w:rsidR="00F15235" w:rsidRPr="00596CA0" w:rsidRDefault="00707B28" w:rsidP="007E1843">
            <w:pPr>
              <w:tabs>
                <w:tab w:val="left" w:pos="1425"/>
              </w:tabs>
              <w:spacing w:after="0" w:line="240" w:lineRule="auto"/>
              <w:jc w:val="center"/>
            </w:pPr>
            <w:r>
              <w:rPr>
                <w:noProof/>
              </w:rPr>
              <w:drawing>
                <wp:inline distT="0" distB="0" distL="0" distR="0">
                  <wp:extent cx="2981325" cy="228600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F15235" w:rsidRPr="001520FF" w:rsidTr="007E1843">
        <w:tblPrEx>
          <w:tblBorders>
            <w:top w:val="single" w:sz="8" w:space="0" w:color="4F81BD"/>
            <w:bottom w:val="none" w:sz="0" w:space="0" w:color="auto"/>
            <w:insideH w:val="none" w:sz="0" w:space="0" w:color="auto"/>
          </w:tblBorders>
        </w:tblPrEx>
        <w:tc>
          <w:tcPr>
            <w:tcW w:w="9576" w:type="dxa"/>
            <w:gridSpan w:val="2"/>
            <w:tcBorders>
              <w:top w:val="single" w:sz="4" w:space="0" w:color="4F81BD"/>
              <w:bottom w:val="single" w:sz="4" w:space="0" w:color="4F81BD"/>
            </w:tcBorders>
          </w:tcPr>
          <w:p w:rsidR="00F15235" w:rsidRDefault="00F15235" w:rsidP="007E1843">
            <w:pPr>
              <w:spacing w:after="0" w:line="240" w:lineRule="auto"/>
              <w:rPr>
                <w:sz w:val="18"/>
              </w:rPr>
            </w:pPr>
            <w:r w:rsidRPr="001520FF">
              <w:rPr>
                <w:i/>
                <w:sz w:val="18"/>
              </w:rPr>
              <w:t>Source</w:t>
            </w:r>
            <w:r w:rsidRPr="001520FF">
              <w:rPr>
                <w:sz w:val="18"/>
              </w:rPr>
              <w:t xml:space="preserve">: </w:t>
            </w:r>
            <w:r>
              <w:rPr>
                <w:sz w:val="20"/>
                <w:szCs w:val="20"/>
              </w:rPr>
              <w:t xml:space="preserve">KIHS, World Bank staff calculations. </w:t>
            </w:r>
            <w:r w:rsidRPr="00617DFD">
              <w:rPr>
                <w:sz w:val="20"/>
                <w:szCs w:val="20"/>
              </w:rPr>
              <w:t xml:space="preserve"> </w:t>
            </w:r>
          </w:p>
          <w:p w:rsidR="00F15235" w:rsidRPr="001520FF" w:rsidRDefault="00F15235" w:rsidP="007E1843">
            <w:pPr>
              <w:spacing w:after="0" w:line="240" w:lineRule="auto"/>
              <w:rPr>
                <w:sz w:val="18"/>
              </w:rPr>
            </w:pPr>
            <w:r w:rsidRPr="001520FF">
              <w:rPr>
                <w:i/>
                <w:sz w:val="18"/>
              </w:rPr>
              <w:t>Notes</w:t>
            </w:r>
            <w:r w:rsidRPr="001520FF">
              <w:rPr>
                <w:sz w:val="18"/>
              </w:rPr>
              <w:t xml:space="preserve">: </w:t>
            </w:r>
          </w:p>
        </w:tc>
      </w:tr>
    </w:tbl>
    <w:p w:rsidR="00F15235" w:rsidRDefault="00F15235" w:rsidP="00994995"/>
    <w:p w:rsidR="00F15235" w:rsidRDefault="00F15235" w:rsidP="0008151E">
      <w:r w:rsidRPr="00BB6BCA">
        <w:rPr>
          <w:b/>
        </w:rPr>
        <w:t xml:space="preserve">Comparing </w:t>
      </w:r>
      <w:r w:rsidR="003878F0" w:rsidRPr="00BB6BCA">
        <w:rPr>
          <w:b/>
        </w:rPr>
        <w:t>the capital</w:t>
      </w:r>
      <w:r w:rsidRPr="00BB6BCA">
        <w:rPr>
          <w:b/>
        </w:rPr>
        <w:t xml:space="preserve"> with urban areas of </w:t>
      </w:r>
      <w:r w:rsidR="00EF3946">
        <w:rPr>
          <w:b/>
        </w:rPr>
        <w:t xml:space="preserve">the </w:t>
      </w:r>
      <w:r w:rsidRPr="00BB6BCA">
        <w:rPr>
          <w:b/>
        </w:rPr>
        <w:t xml:space="preserve">other regions as well as rural areas of Chui oblast with </w:t>
      </w:r>
      <w:r w:rsidR="00EF3946">
        <w:rPr>
          <w:b/>
        </w:rPr>
        <w:t xml:space="preserve">the </w:t>
      </w:r>
      <w:r w:rsidRPr="00BB6BCA">
        <w:rPr>
          <w:b/>
        </w:rPr>
        <w:t>other regions also shows that endowments alone cannot explain welfare disparities</w:t>
      </w:r>
      <w:r w:rsidR="00BB6BCA">
        <w:rPr>
          <w:b/>
        </w:rPr>
        <w:t xml:space="preserve"> between them</w:t>
      </w:r>
      <w:r w:rsidR="003878F0" w:rsidRPr="00BB6BCA">
        <w:rPr>
          <w:b/>
        </w:rPr>
        <w:t>.</w:t>
      </w:r>
      <w:r w:rsidR="003878F0">
        <w:t xml:space="preserve"> Thus, as shown in figure 6</w:t>
      </w:r>
      <w:r>
        <w:t xml:space="preserve">, </w:t>
      </w:r>
      <w:r w:rsidR="00BB6BCA">
        <w:t xml:space="preserve">the </w:t>
      </w:r>
      <w:r>
        <w:t>difference in observable characteristics can explain less than 50 percent the difference</w:t>
      </w:r>
      <w:r w:rsidR="008C03D0">
        <w:t>s</w:t>
      </w:r>
      <w:r>
        <w:t xml:space="preserve"> in log welfare ratio between Bishkek and urban areas in</w:t>
      </w:r>
      <w:r w:rsidR="00EF3946">
        <w:t xml:space="preserve"> the</w:t>
      </w:r>
      <w:r>
        <w:t xml:space="preserve"> </w:t>
      </w:r>
      <w:proofErr w:type="spellStart"/>
      <w:r>
        <w:t>Jalalabat</w:t>
      </w:r>
      <w:proofErr w:type="spellEnd"/>
      <w:r>
        <w:t xml:space="preserve">, </w:t>
      </w:r>
      <w:proofErr w:type="spellStart"/>
      <w:r>
        <w:t>Naryn</w:t>
      </w:r>
      <w:proofErr w:type="spellEnd"/>
      <w:r>
        <w:t xml:space="preserve"> and </w:t>
      </w:r>
      <w:proofErr w:type="spellStart"/>
      <w:r>
        <w:t>Talas</w:t>
      </w:r>
      <w:proofErr w:type="spellEnd"/>
      <w:r w:rsidR="008C03D0">
        <w:t xml:space="preserve"> regions</w:t>
      </w:r>
      <w:r>
        <w:t xml:space="preserve">. </w:t>
      </w:r>
      <w:r w:rsidR="008C03D0">
        <w:t>About</w:t>
      </w:r>
      <w:r>
        <w:t xml:space="preserve"> 6</w:t>
      </w:r>
      <w:r w:rsidR="0033546B">
        <w:t>5</w:t>
      </w:r>
      <w:r>
        <w:t xml:space="preserve"> and 61 percent of the gap in</w:t>
      </w:r>
      <w:r w:rsidR="00EF3946">
        <w:t xml:space="preserve"> the</w:t>
      </w:r>
      <w:r>
        <w:t xml:space="preserve"> log welfare ratio</w:t>
      </w:r>
      <w:r w:rsidR="008C03D0">
        <w:t>s</w:t>
      </w:r>
      <w:r>
        <w:t xml:space="preserve"> between rural areas of Chui region and </w:t>
      </w:r>
      <w:r w:rsidR="00EF3946">
        <w:t xml:space="preserve">the </w:t>
      </w:r>
      <w:r>
        <w:t xml:space="preserve">two largest southern regions </w:t>
      </w:r>
      <w:proofErr w:type="spellStart"/>
      <w:r>
        <w:t>Jalalabat</w:t>
      </w:r>
      <w:proofErr w:type="spellEnd"/>
      <w:r>
        <w:t xml:space="preserve"> and Osh cannot be explained by endowments of favorable household characteristics</w:t>
      </w:r>
      <w:r w:rsidR="008C03D0">
        <w:t xml:space="preserve"> in Chui</w:t>
      </w:r>
      <w:r>
        <w:t xml:space="preserve">. </w:t>
      </w:r>
    </w:p>
    <w:p w:rsidR="00F15235" w:rsidRDefault="00EF3946" w:rsidP="00A3340C">
      <w:r>
        <w:t>The d</w:t>
      </w:r>
      <w:r w:rsidR="00F15235">
        <w:t xml:space="preserve">etailed analysis of </w:t>
      </w:r>
      <w:r w:rsidR="008C03D0">
        <w:t xml:space="preserve">the </w:t>
      </w:r>
      <w:r w:rsidR="00F15235">
        <w:t xml:space="preserve">unexplained part of the welfare gap between </w:t>
      </w:r>
      <w:r w:rsidR="00F15235" w:rsidRPr="0064558C">
        <w:t>Bishkek and</w:t>
      </w:r>
      <w:r w:rsidR="003F250F">
        <w:t xml:space="preserve"> the</w:t>
      </w:r>
      <w:r w:rsidR="00F15235" w:rsidRPr="0064558C">
        <w:t xml:space="preserve"> urban and rural areas</w:t>
      </w:r>
      <w:r w:rsidR="00F15235">
        <w:t xml:space="preserve"> shows that </w:t>
      </w:r>
      <w:r w:rsidR="003F250F">
        <w:t>the disparity</w:t>
      </w:r>
      <w:r w:rsidR="003F250F" w:rsidRPr="0064558C">
        <w:t xml:space="preserve"> </w:t>
      </w:r>
      <w:r w:rsidR="00F15235" w:rsidRPr="0064558C">
        <w:t>is mostly associated with the</w:t>
      </w:r>
      <w:r w:rsidR="00F15235">
        <w:t xml:space="preserve"> significant</w:t>
      </w:r>
      <w:r w:rsidR="008C03D0">
        <w:t xml:space="preserve"> difference</w:t>
      </w:r>
      <w:r w:rsidR="00F15235" w:rsidRPr="0064558C">
        <w:t xml:space="preserve"> in</w:t>
      </w:r>
      <w:r w:rsidR="003F250F">
        <w:t xml:space="preserve"> the</w:t>
      </w:r>
      <w:r w:rsidR="00F15235" w:rsidRPr="0064558C">
        <w:t xml:space="preserve"> constant</w:t>
      </w:r>
      <w:r w:rsidR="008C03D0">
        <w:t xml:space="preserve"> term</w:t>
      </w:r>
      <w:r w:rsidR="00F15235" w:rsidRPr="0064558C">
        <w:t xml:space="preserve">. </w:t>
      </w:r>
      <w:r w:rsidR="00F15235">
        <w:t>T</w:t>
      </w:r>
      <w:r w:rsidR="008C03D0">
        <w:t xml:space="preserve">he difference in </w:t>
      </w:r>
      <w:r w:rsidR="003F250F">
        <w:t xml:space="preserve">the </w:t>
      </w:r>
      <w:r w:rsidR="008C03D0">
        <w:t>constant terms</w:t>
      </w:r>
      <w:r w:rsidR="00F15235" w:rsidRPr="0064558C">
        <w:t xml:space="preserve"> between </w:t>
      </w:r>
      <w:r w:rsidR="00F15235">
        <w:t>selected areas can be interpreted</w:t>
      </w:r>
      <w:r w:rsidR="00F15235" w:rsidRPr="0064558C">
        <w:t xml:space="preserve"> as the difference in welfare for the reference household (</w:t>
      </w:r>
      <w:r w:rsidR="00F15235">
        <w:t xml:space="preserve">e.g. </w:t>
      </w:r>
      <w:r w:rsidR="00F15235" w:rsidRPr="0064558C">
        <w:t>uneducated</w:t>
      </w:r>
      <w:r w:rsidR="00F15235">
        <w:t xml:space="preserve">, </w:t>
      </w:r>
      <w:r w:rsidR="00F15235" w:rsidRPr="0064558C">
        <w:t>single</w:t>
      </w:r>
      <w:r w:rsidR="00F15235">
        <w:t>, either not working or doing non-qualified work,</w:t>
      </w:r>
      <w:r w:rsidR="00F15235" w:rsidRPr="0064558C">
        <w:t xml:space="preserve"> </w:t>
      </w:r>
      <w:r w:rsidR="00F15235">
        <w:t>female</w:t>
      </w:r>
      <w:r w:rsidR="00F15235" w:rsidRPr="0064558C">
        <w:t xml:space="preserve"> head) controlling for other factors. </w:t>
      </w:r>
      <w:r w:rsidR="00F15235">
        <w:t>Since the constant is positive, the reference case is on average better off in Bishkek than in</w:t>
      </w:r>
      <w:r w:rsidR="003F250F">
        <w:t xml:space="preserve"> the</w:t>
      </w:r>
      <w:r w:rsidR="00F15235">
        <w:t xml:space="preserve"> urban or rural areas.  </w:t>
      </w:r>
    </w:p>
    <w:p w:rsidR="00E0686B" w:rsidRDefault="00E0686B" w:rsidP="00A3340C"/>
    <w:p w:rsidR="00615CDF" w:rsidRDefault="00615CDF" w:rsidP="00A3340C"/>
    <w:tbl>
      <w:tblPr>
        <w:tblW w:w="0" w:type="auto"/>
        <w:tblBorders>
          <w:top w:val="single" w:sz="8" w:space="0" w:color="4F81BD"/>
        </w:tblBorders>
        <w:tblLook w:val="00A0" w:firstRow="1" w:lastRow="0" w:firstColumn="1" w:lastColumn="0" w:noHBand="0" w:noVBand="0"/>
      </w:tblPr>
      <w:tblGrid>
        <w:gridCol w:w="4692"/>
        <w:gridCol w:w="4884"/>
      </w:tblGrid>
      <w:tr w:rsidR="00F15235" w:rsidRPr="0050480F" w:rsidTr="00000367">
        <w:tc>
          <w:tcPr>
            <w:tcW w:w="4693" w:type="dxa"/>
            <w:tcBorders>
              <w:top w:val="single" w:sz="8" w:space="0" w:color="4F81BD"/>
              <w:bottom w:val="single" w:sz="8" w:space="0" w:color="4F81BD"/>
            </w:tcBorders>
          </w:tcPr>
          <w:p w:rsidR="00F15235" w:rsidRPr="00795E1C" w:rsidRDefault="00930E6B" w:rsidP="00795E1C">
            <w:pPr>
              <w:spacing w:after="0" w:line="240" w:lineRule="auto"/>
              <w:rPr>
                <w:b/>
                <w:color w:val="1F497D"/>
              </w:rPr>
            </w:pPr>
            <w:r>
              <w:rPr>
                <w:b/>
                <w:color w:val="1F497D"/>
              </w:rPr>
              <w:t>Figure 6</w:t>
            </w:r>
            <w:r w:rsidR="00F15235" w:rsidRPr="00795E1C">
              <w:rPr>
                <w:b/>
                <w:color w:val="1F497D"/>
              </w:rPr>
              <w:t>. Oaxaca-Blinder decomposition of</w:t>
            </w:r>
            <w:r w:rsidR="003F250F">
              <w:rPr>
                <w:b/>
                <w:color w:val="1F497D"/>
              </w:rPr>
              <w:t xml:space="preserve"> the</w:t>
            </w:r>
            <w:r w:rsidR="00F15235" w:rsidRPr="00795E1C">
              <w:rPr>
                <w:b/>
                <w:color w:val="1F497D"/>
              </w:rPr>
              <w:t xml:space="preserve"> log welfare ratio between Bishkek and </w:t>
            </w:r>
            <w:r w:rsidR="003F250F">
              <w:rPr>
                <w:b/>
                <w:color w:val="1F497D"/>
              </w:rPr>
              <w:t xml:space="preserve">the </w:t>
            </w:r>
            <w:r w:rsidR="00F15235" w:rsidRPr="00795E1C">
              <w:rPr>
                <w:b/>
                <w:color w:val="1F497D"/>
              </w:rPr>
              <w:t>urban areas of other regions</w:t>
            </w:r>
          </w:p>
        </w:tc>
        <w:tc>
          <w:tcPr>
            <w:tcW w:w="4883" w:type="dxa"/>
            <w:tcBorders>
              <w:top w:val="single" w:sz="8" w:space="0" w:color="4F81BD"/>
              <w:bottom w:val="single" w:sz="8" w:space="0" w:color="4F81BD"/>
            </w:tcBorders>
          </w:tcPr>
          <w:p w:rsidR="00F15235" w:rsidRPr="00795E1C" w:rsidRDefault="00930E6B" w:rsidP="00795E1C">
            <w:pPr>
              <w:spacing w:after="0" w:line="240" w:lineRule="auto"/>
              <w:rPr>
                <w:b/>
                <w:color w:val="1F497D"/>
              </w:rPr>
            </w:pPr>
            <w:r>
              <w:rPr>
                <w:b/>
                <w:color w:val="1F497D"/>
              </w:rPr>
              <w:t>Figure 7</w:t>
            </w:r>
            <w:r w:rsidR="00F15235" w:rsidRPr="00795E1C">
              <w:rPr>
                <w:b/>
                <w:color w:val="1F497D"/>
              </w:rPr>
              <w:t xml:space="preserve">. Oaxaca-Blinder decomposition of </w:t>
            </w:r>
            <w:r w:rsidR="003F250F">
              <w:rPr>
                <w:b/>
                <w:color w:val="1F497D"/>
              </w:rPr>
              <w:t xml:space="preserve">the </w:t>
            </w:r>
            <w:r w:rsidR="00F15235" w:rsidRPr="00795E1C">
              <w:rPr>
                <w:b/>
                <w:color w:val="1F497D"/>
              </w:rPr>
              <w:t xml:space="preserve">log welfare ratio between </w:t>
            </w:r>
            <w:r w:rsidR="003F250F">
              <w:rPr>
                <w:b/>
                <w:color w:val="1F497D"/>
              </w:rPr>
              <w:t xml:space="preserve">the </w:t>
            </w:r>
            <w:r w:rsidR="00F15235" w:rsidRPr="00795E1C">
              <w:rPr>
                <w:b/>
                <w:color w:val="1F497D"/>
              </w:rPr>
              <w:t xml:space="preserve">rural areas of Chui and </w:t>
            </w:r>
            <w:r w:rsidR="003F250F">
              <w:rPr>
                <w:b/>
                <w:color w:val="1F497D"/>
              </w:rPr>
              <w:t xml:space="preserve">the </w:t>
            </w:r>
            <w:r w:rsidR="00F15235" w:rsidRPr="00795E1C">
              <w:rPr>
                <w:b/>
                <w:color w:val="1F497D"/>
              </w:rPr>
              <w:t xml:space="preserve">other regions </w:t>
            </w:r>
          </w:p>
        </w:tc>
      </w:tr>
      <w:tr w:rsidR="00F15235" w:rsidRPr="0050480F" w:rsidTr="00000367">
        <w:tc>
          <w:tcPr>
            <w:tcW w:w="4693" w:type="dxa"/>
            <w:tcBorders>
              <w:bottom w:val="single" w:sz="4" w:space="0" w:color="4F81BD"/>
            </w:tcBorders>
          </w:tcPr>
          <w:p w:rsidR="00F15235" w:rsidRPr="0050480F" w:rsidRDefault="00707B28" w:rsidP="0050480F">
            <w:r>
              <w:rPr>
                <w:noProof/>
              </w:rPr>
              <w:drawing>
                <wp:inline distT="0" distB="0" distL="0" distR="0">
                  <wp:extent cx="2868417" cy="2038350"/>
                  <wp:effectExtent l="0" t="0" r="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883" w:type="dxa"/>
            <w:tcBorders>
              <w:bottom w:val="single" w:sz="4" w:space="0" w:color="4F81BD"/>
            </w:tcBorders>
          </w:tcPr>
          <w:p w:rsidR="00F15235" w:rsidRPr="0050480F" w:rsidRDefault="00707B28" w:rsidP="0050480F">
            <w:r>
              <w:rPr>
                <w:noProof/>
              </w:rPr>
              <w:drawing>
                <wp:inline distT="0" distB="0" distL="0" distR="0">
                  <wp:extent cx="2990850" cy="2038350"/>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F15235" w:rsidRPr="0050480F" w:rsidTr="007E1843">
        <w:tc>
          <w:tcPr>
            <w:tcW w:w="9576" w:type="dxa"/>
            <w:gridSpan w:val="2"/>
            <w:tcBorders>
              <w:top w:val="single" w:sz="4" w:space="0" w:color="4F81BD"/>
              <w:bottom w:val="single" w:sz="4" w:space="0" w:color="4F81BD"/>
            </w:tcBorders>
          </w:tcPr>
          <w:p w:rsidR="00F15235" w:rsidRPr="00752781" w:rsidRDefault="00F15235" w:rsidP="00752781">
            <w:pPr>
              <w:spacing w:after="0" w:line="240" w:lineRule="auto"/>
              <w:rPr>
                <w:i/>
                <w:sz w:val="18"/>
              </w:rPr>
            </w:pPr>
            <w:r w:rsidRPr="00752781">
              <w:rPr>
                <w:i/>
                <w:sz w:val="18"/>
              </w:rPr>
              <w:t xml:space="preserve">Source: </w:t>
            </w:r>
            <w:r>
              <w:rPr>
                <w:sz w:val="20"/>
                <w:szCs w:val="20"/>
              </w:rPr>
              <w:t xml:space="preserve">KIHS, World Bank staff calculations. </w:t>
            </w:r>
            <w:r w:rsidRPr="00617DFD">
              <w:rPr>
                <w:sz w:val="20"/>
                <w:szCs w:val="20"/>
              </w:rPr>
              <w:t xml:space="preserve"> </w:t>
            </w:r>
          </w:p>
          <w:p w:rsidR="00F15235" w:rsidRPr="0050480F" w:rsidRDefault="00F15235" w:rsidP="00752781">
            <w:pPr>
              <w:spacing w:after="0" w:line="240" w:lineRule="auto"/>
            </w:pPr>
            <w:r w:rsidRPr="00752781">
              <w:rPr>
                <w:i/>
                <w:sz w:val="18"/>
              </w:rPr>
              <w:t>Notes:</w:t>
            </w:r>
            <w:r w:rsidRPr="0050480F">
              <w:t xml:space="preserve"> </w:t>
            </w:r>
            <w:r>
              <w:rPr>
                <w:sz w:val="18"/>
              </w:rPr>
              <w:t xml:space="preserve">Only regions with significant gap in log welfare ratio are shown in </w:t>
            </w:r>
            <w:r w:rsidR="003F250F">
              <w:rPr>
                <w:sz w:val="18"/>
              </w:rPr>
              <w:t xml:space="preserve">the </w:t>
            </w:r>
            <w:r>
              <w:rPr>
                <w:sz w:val="18"/>
              </w:rPr>
              <w:t xml:space="preserve">figures. </w:t>
            </w:r>
          </w:p>
        </w:tc>
      </w:tr>
    </w:tbl>
    <w:p w:rsidR="00F15235" w:rsidRDefault="00F15235" w:rsidP="00A3340C"/>
    <w:p w:rsidR="00F15235" w:rsidRDefault="00F15235" w:rsidP="002C0AB9">
      <w:r w:rsidRPr="008C03D0">
        <w:rPr>
          <w:b/>
        </w:rPr>
        <w:t xml:space="preserve">In contrast to </w:t>
      </w:r>
      <w:r w:rsidR="008C03D0" w:rsidRPr="008C03D0">
        <w:rPr>
          <w:b/>
        </w:rPr>
        <w:t xml:space="preserve">the </w:t>
      </w:r>
      <w:r w:rsidRPr="008C03D0">
        <w:rPr>
          <w:b/>
        </w:rPr>
        <w:t>welfare</w:t>
      </w:r>
      <w:r w:rsidR="00D246DA" w:rsidRPr="008C03D0">
        <w:rPr>
          <w:b/>
        </w:rPr>
        <w:t xml:space="preserve"> disparities</w:t>
      </w:r>
      <w:r w:rsidRPr="008C03D0">
        <w:rPr>
          <w:b/>
        </w:rPr>
        <w:t xml:space="preserve"> between regions, </w:t>
      </w:r>
      <w:r w:rsidR="0016124D">
        <w:rPr>
          <w:b/>
        </w:rPr>
        <w:t xml:space="preserve">geographic factors do not play any role in </w:t>
      </w:r>
      <w:r w:rsidR="008C03D0" w:rsidRPr="008C03D0">
        <w:rPr>
          <w:b/>
        </w:rPr>
        <w:t xml:space="preserve">the </w:t>
      </w:r>
      <w:r w:rsidR="00D246DA" w:rsidRPr="008C03D0">
        <w:rPr>
          <w:b/>
        </w:rPr>
        <w:t>welfare gaps</w:t>
      </w:r>
      <w:r w:rsidRPr="008C03D0">
        <w:rPr>
          <w:b/>
        </w:rPr>
        <w:t xml:space="preserve"> between</w:t>
      </w:r>
      <w:r w:rsidR="003F250F">
        <w:rPr>
          <w:b/>
        </w:rPr>
        <w:t xml:space="preserve"> the</w:t>
      </w:r>
      <w:r w:rsidRPr="008C03D0">
        <w:rPr>
          <w:b/>
        </w:rPr>
        <w:t xml:space="preserve"> urban and </w:t>
      </w:r>
      <w:r w:rsidR="00D246DA" w:rsidRPr="008C03D0">
        <w:rPr>
          <w:b/>
        </w:rPr>
        <w:t>rural areas</w:t>
      </w:r>
      <w:r w:rsidR="0016124D">
        <w:rPr>
          <w:b/>
        </w:rPr>
        <w:t xml:space="preserve"> within regions. </w:t>
      </w:r>
      <w:r>
        <w:t>Firstly, significant differences between urban and rural areas were</w:t>
      </w:r>
      <w:r w:rsidR="0016124D">
        <w:t xml:space="preserve"> identified only</w:t>
      </w:r>
      <w:r w:rsidR="003F250F">
        <w:t xml:space="preserve"> in</w:t>
      </w:r>
      <w:r w:rsidR="0016124D">
        <w:t xml:space="preserve"> </w:t>
      </w:r>
      <w:proofErr w:type="spellStart"/>
      <w:r w:rsidR="0016124D">
        <w:t>Naryn</w:t>
      </w:r>
      <w:proofErr w:type="spellEnd"/>
      <w:r w:rsidR="0016124D">
        <w:t xml:space="preserve">, </w:t>
      </w:r>
      <w:proofErr w:type="spellStart"/>
      <w:r w:rsidR="0016124D">
        <w:t>Batken</w:t>
      </w:r>
      <w:proofErr w:type="spellEnd"/>
      <w:r w:rsidR="0016124D">
        <w:t xml:space="preserve"> </w:t>
      </w:r>
      <w:r>
        <w:t>and Chui regions. Secondly, in non</w:t>
      </w:r>
      <w:r w:rsidR="00D246DA">
        <w:t>e</w:t>
      </w:r>
      <w:r>
        <w:t xml:space="preserve"> of them unexplained part is</w:t>
      </w:r>
      <w:r w:rsidR="008C03D0">
        <w:t xml:space="preserve"> statistically</w:t>
      </w:r>
      <w:r>
        <w:t xml:space="preserve"> significant</w:t>
      </w:r>
      <w:r w:rsidR="0033546B">
        <w:t xml:space="preserve"> at 5 percent level</w:t>
      </w:r>
      <w:r>
        <w:t>. In other words,</w:t>
      </w:r>
      <w:r w:rsidR="003F250F">
        <w:t xml:space="preserve"> the</w:t>
      </w:r>
      <w:r>
        <w:t xml:space="preserve"> welfare disparities between </w:t>
      </w:r>
      <w:r w:rsidR="003F250F">
        <w:t xml:space="preserve">the </w:t>
      </w:r>
      <w:r>
        <w:t xml:space="preserve">urban and rural areas in </w:t>
      </w:r>
      <w:proofErr w:type="spellStart"/>
      <w:r>
        <w:t>Naryn</w:t>
      </w:r>
      <w:proofErr w:type="spellEnd"/>
      <w:r>
        <w:t xml:space="preserve">, </w:t>
      </w:r>
      <w:proofErr w:type="spellStart"/>
      <w:r>
        <w:t>Batken</w:t>
      </w:r>
      <w:proofErr w:type="spellEnd"/>
      <w:r>
        <w:t xml:space="preserve">, and Chui regions are fully due to </w:t>
      </w:r>
      <w:r w:rsidR="00D246DA">
        <w:t xml:space="preserve">the </w:t>
      </w:r>
      <w:r>
        <w:t xml:space="preserve">concentration of households with favorable endowments in </w:t>
      </w:r>
      <w:r w:rsidR="003F250F">
        <w:t xml:space="preserve">the </w:t>
      </w:r>
      <w:r>
        <w:t>urban areas.  Similar results were found in Latin American countries where urban and rural areas differ mostly in characterist</w:t>
      </w:r>
      <w:r w:rsidR="002867EF">
        <w:t>ics (</w:t>
      </w:r>
      <w:proofErr w:type="spellStart"/>
      <w:r w:rsidR="002867EF">
        <w:t>Skoufias</w:t>
      </w:r>
      <w:proofErr w:type="spellEnd"/>
      <w:r w:rsidR="002867EF">
        <w:t xml:space="preserve"> and Lopez-Acevedo</w:t>
      </w:r>
      <w:r>
        <w:t xml:space="preserve"> 2009). This </w:t>
      </w:r>
      <w:r w:rsidR="003F250F">
        <w:t xml:space="preserve">outcome </w:t>
      </w:r>
      <w:r>
        <w:t>can be a result of internal migration which</w:t>
      </w:r>
      <w:r w:rsidR="0016124D">
        <w:t xml:space="preserve"> could </w:t>
      </w:r>
      <w:r>
        <w:t xml:space="preserve">equalize the marginal welfare gains associated with </w:t>
      </w:r>
      <w:r w:rsidR="00D246DA">
        <w:t>household</w:t>
      </w:r>
      <w:r>
        <w:t xml:space="preserve"> attributes within</w:t>
      </w:r>
      <w:r w:rsidR="003F250F">
        <w:t xml:space="preserve"> the</w:t>
      </w:r>
      <w:r>
        <w:t xml:space="preserve"> regions.</w:t>
      </w:r>
      <w:r w:rsidRPr="002C0AB9">
        <w:t xml:space="preserve"> </w:t>
      </w:r>
    </w:p>
    <w:p w:rsidR="00E0686B" w:rsidRDefault="00E0686B" w:rsidP="002C0AB9"/>
    <w:p w:rsidR="00E0686B" w:rsidRDefault="00E0686B" w:rsidP="002C0AB9"/>
    <w:p w:rsidR="00E0686B" w:rsidRDefault="00E0686B" w:rsidP="002C0AB9"/>
    <w:p w:rsidR="00E0686B" w:rsidRDefault="00E0686B" w:rsidP="002C0AB9"/>
    <w:p w:rsidR="00E0686B" w:rsidRDefault="00E0686B" w:rsidP="002C0AB9"/>
    <w:p w:rsidR="00E0686B" w:rsidRDefault="00E0686B" w:rsidP="002C0AB9"/>
    <w:p w:rsidR="00E0686B" w:rsidRDefault="00E0686B" w:rsidP="002C0AB9"/>
    <w:p w:rsidR="0081227D" w:rsidRDefault="0081227D" w:rsidP="002C0AB9"/>
    <w:p w:rsidR="00E0686B" w:rsidRDefault="00E0686B" w:rsidP="002C0AB9"/>
    <w:tbl>
      <w:tblPr>
        <w:tblW w:w="0" w:type="auto"/>
        <w:tblBorders>
          <w:top w:val="single" w:sz="8" w:space="0" w:color="4F81BD"/>
        </w:tblBorders>
        <w:tblLook w:val="00A0" w:firstRow="1" w:lastRow="0" w:firstColumn="1" w:lastColumn="0" w:noHBand="0" w:noVBand="0"/>
      </w:tblPr>
      <w:tblGrid>
        <w:gridCol w:w="9576"/>
      </w:tblGrid>
      <w:tr w:rsidR="00F15235" w:rsidRPr="00752781" w:rsidTr="007E1843">
        <w:tc>
          <w:tcPr>
            <w:tcW w:w="9576" w:type="dxa"/>
            <w:tcBorders>
              <w:top w:val="single" w:sz="8" w:space="0" w:color="4F81BD"/>
              <w:bottom w:val="single" w:sz="8" w:space="0" w:color="4F81BD"/>
            </w:tcBorders>
          </w:tcPr>
          <w:p w:rsidR="00F15235" w:rsidRPr="00752781" w:rsidRDefault="00930E6B" w:rsidP="00795E1C">
            <w:pPr>
              <w:spacing w:after="0" w:line="240" w:lineRule="auto"/>
              <w:rPr>
                <w:b/>
              </w:rPr>
            </w:pPr>
            <w:r>
              <w:rPr>
                <w:b/>
                <w:color w:val="1F497D"/>
              </w:rPr>
              <w:t>Figure 8</w:t>
            </w:r>
            <w:r w:rsidR="00F15235" w:rsidRPr="00795E1C">
              <w:rPr>
                <w:b/>
                <w:color w:val="1F497D"/>
              </w:rPr>
              <w:t xml:space="preserve">. Oaxaca-Blinder decomposition of log welfare ratio between urban and rural areas </w:t>
            </w:r>
            <w:r w:rsidR="00D246DA" w:rsidRPr="00795E1C">
              <w:rPr>
                <w:b/>
                <w:color w:val="1F497D"/>
              </w:rPr>
              <w:t>within</w:t>
            </w:r>
            <w:r w:rsidR="00F15235" w:rsidRPr="00795E1C">
              <w:rPr>
                <w:b/>
                <w:color w:val="1F497D"/>
              </w:rPr>
              <w:t xml:space="preserve"> regions, 2011</w:t>
            </w:r>
          </w:p>
        </w:tc>
      </w:tr>
      <w:tr w:rsidR="00F15235" w:rsidRPr="00752781" w:rsidTr="007E1843">
        <w:tc>
          <w:tcPr>
            <w:tcW w:w="9576" w:type="dxa"/>
            <w:tcBorders>
              <w:bottom w:val="single" w:sz="4" w:space="0" w:color="4F81BD"/>
            </w:tcBorders>
          </w:tcPr>
          <w:p w:rsidR="00F15235" w:rsidRPr="00752781" w:rsidRDefault="00707B28" w:rsidP="0081227D">
            <w:pPr>
              <w:jc w:val="center"/>
            </w:pPr>
            <w:r>
              <w:rPr>
                <w:noProof/>
              </w:rPr>
              <w:drawing>
                <wp:inline distT="0" distB="0" distL="0" distR="0">
                  <wp:extent cx="4848225" cy="3086100"/>
                  <wp:effectExtent l="0" t="0" r="0"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F15235" w:rsidRPr="00752781" w:rsidTr="007E1843">
        <w:tc>
          <w:tcPr>
            <w:tcW w:w="9576" w:type="dxa"/>
            <w:tcBorders>
              <w:top w:val="single" w:sz="4" w:space="0" w:color="4F81BD"/>
              <w:bottom w:val="single" w:sz="4" w:space="0" w:color="4F81BD"/>
            </w:tcBorders>
          </w:tcPr>
          <w:p w:rsidR="00F15235" w:rsidRPr="00752781" w:rsidRDefault="00F15235" w:rsidP="00752781">
            <w:pPr>
              <w:spacing w:after="0" w:line="240" w:lineRule="auto"/>
              <w:rPr>
                <w:i/>
                <w:sz w:val="18"/>
              </w:rPr>
            </w:pPr>
            <w:r w:rsidRPr="00752781">
              <w:rPr>
                <w:i/>
                <w:sz w:val="18"/>
              </w:rPr>
              <w:t xml:space="preserve">Source: </w:t>
            </w:r>
            <w:r>
              <w:rPr>
                <w:sz w:val="20"/>
                <w:szCs w:val="20"/>
              </w:rPr>
              <w:t xml:space="preserve">KIHS, World Bank staff calculations. </w:t>
            </w:r>
            <w:r w:rsidRPr="00617DFD">
              <w:rPr>
                <w:sz w:val="20"/>
                <w:szCs w:val="20"/>
              </w:rPr>
              <w:t xml:space="preserve"> </w:t>
            </w:r>
          </w:p>
          <w:p w:rsidR="00F15235" w:rsidRPr="00162FF8" w:rsidRDefault="00F15235" w:rsidP="00752781">
            <w:pPr>
              <w:spacing w:after="0" w:line="240" w:lineRule="auto"/>
            </w:pPr>
            <w:r w:rsidRPr="00752781">
              <w:rPr>
                <w:i/>
                <w:sz w:val="18"/>
              </w:rPr>
              <w:t>Notes:</w:t>
            </w:r>
            <w:r>
              <w:rPr>
                <w:sz w:val="18"/>
              </w:rPr>
              <w:t xml:space="preserve"> Only regions with significant gap in log welfare ratio between urban and rural areas are shown. </w:t>
            </w:r>
          </w:p>
        </w:tc>
      </w:tr>
    </w:tbl>
    <w:p w:rsidR="00F15235" w:rsidRPr="002C0AB9" w:rsidRDefault="00F15235" w:rsidP="002C0AB9"/>
    <w:p w:rsidR="00F15235" w:rsidRDefault="00F15235" w:rsidP="00674918">
      <w:pPr>
        <w:pStyle w:val="Heading3"/>
        <w:spacing w:after="120"/>
      </w:pPr>
      <w:bookmarkStart w:id="12" w:name="_Toc353273030"/>
      <w:r>
        <w:t xml:space="preserve">Oaxaca-Blinder Decomposition </w:t>
      </w:r>
      <w:r w:rsidR="00997B18">
        <w:t xml:space="preserve">across </w:t>
      </w:r>
      <w:r w:rsidR="00997B18" w:rsidRPr="009170AB">
        <w:t>the</w:t>
      </w:r>
      <w:r w:rsidR="00E0686B">
        <w:t xml:space="preserve"> </w:t>
      </w:r>
      <w:r w:rsidRPr="009170AB">
        <w:t>Distribution</w:t>
      </w:r>
      <w:bookmarkEnd w:id="12"/>
      <w:r w:rsidRPr="009170AB">
        <w:t xml:space="preserve"> </w:t>
      </w:r>
    </w:p>
    <w:p w:rsidR="00F15235" w:rsidRDefault="00F15235" w:rsidP="00994995">
      <w:r>
        <w:t xml:space="preserve">Oaxaca-Blinder decomposition conducted above </w:t>
      </w:r>
      <w:r w:rsidR="003F250F">
        <w:t>illustrated disparities</w:t>
      </w:r>
      <w:r>
        <w:t xml:space="preserve"> in welfare that occur only at the mean of the distribution. However,</w:t>
      </w:r>
      <w:r w:rsidR="003F250F">
        <w:t xml:space="preserve"> the</w:t>
      </w:r>
      <w:r>
        <w:t xml:space="preserve"> welfare</w:t>
      </w:r>
      <w:r w:rsidR="008C03D0">
        <w:t xml:space="preserve"> disparities </w:t>
      </w:r>
      <w:r>
        <w:t xml:space="preserve">between urban and rural areas as well as between regions may vary depending on the point of welfare distribution.  </w:t>
      </w:r>
    </w:p>
    <w:p w:rsidR="00776CCD" w:rsidRDefault="00F15235" w:rsidP="00D56A52">
      <w:r w:rsidRPr="0016124D">
        <w:rPr>
          <w:b/>
        </w:rPr>
        <w:t>Quintile decomposition across the distribution shows that welfare disparities between Bishkek and urban</w:t>
      </w:r>
      <w:r w:rsidR="00776CCD">
        <w:rPr>
          <w:b/>
        </w:rPr>
        <w:t xml:space="preserve"> areas</w:t>
      </w:r>
      <w:r w:rsidRPr="0016124D">
        <w:rPr>
          <w:b/>
        </w:rPr>
        <w:t xml:space="preserve"> tend to </w:t>
      </w:r>
      <w:r w:rsidR="008732CE">
        <w:rPr>
          <w:b/>
        </w:rPr>
        <w:t>narrow</w:t>
      </w:r>
      <w:r w:rsidRPr="0016124D">
        <w:rPr>
          <w:b/>
        </w:rPr>
        <w:t xml:space="preserve"> at the </w:t>
      </w:r>
      <w:r w:rsidR="005662EB">
        <w:rPr>
          <w:b/>
        </w:rPr>
        <w:t>top</w:t>
      </w:r>
      <w:r w:rsidRPr="0016124D">
        <w:rPr>
          <w:b/>
        </w:rPr>
        <w:t xml:space="preserve"> </w:t>
      </w:r>
      <w:r w:rsidR="003F250F">
        <w:rPr>
          <w:b/>
        </w:rPr>
        <w:t xml:space="preserve">of </w:t>
      </w:r>
      <w:r w:rsidRPr="0016124D">
        <w:rPr>
          <w:b/>
        </w:rPr>
        <w:t>the distribution.</w:t>
      </w:r>
      <w:r w:rsidR="008732CE">
        <w:t xml:space="preserve"> </w:t>
      </w:r>
      <w:r w:rsidR="00776CCD">
        <w:t>As shown</w:t>
      </w:r>
      <w:r w:rsidR="005662EB">
        <w:t xml:space="preserve"> in figure 9, the overall gap between Bishkek and </w:t>
      </w:r>
      <w:r w:rsidR="003F250F">
        <w:t xml:space="preserve">the </w:t>
      </w:r>
      <w:r w:rsidR="005662EB">
        <w:t>urban areas, measure</w:t>
      </w:r>
      <w:r w:rsidR="00E13F07">
        <w:t>d</w:t>
      </w:r>
      <w:r w:rsidR="005662EB">
        <w:t xml:space="preserve"> in</w:t>
      </w:r>
      <w:r w:rsidR="003F250F">
        <w:t xml:space="preserve"> the</w:t>
      </w:r>
      <w:r w:rsidR="005662EB">
        <w:t xml:space="preserve"> logarithm of welfare ratio</w:t>
      </w:r>
      <w:r w:rsidR="003F250F">
        <w:t>,</w:t>
      </w:r>
      <w:r w:rsidR="005662EB">
        <w:t xml:space="preserve"> is </w:t>
      </w:r>
      <w:r w:rsidR="00E13F07">
        <w:t>declining</w:t>
      </w:r>
      <w:r w:rsidR="005662EB">
        <w:t xml:space="preserve"> along the distribution.</w:t>
      </w:r>
      <w:r w:rsidR="00E415F7">
        <w:t xml:space="preserve"> This </w:t>
      </w:r>
      <w:r w:rsidR="003F250F">
        <w:t xml:space="preserve">observation </w:t>
      </w:r>
      <w:r w:rsidR="00E415F7">
        <w:t>implies that</w:t>
      </w:r>
      <w:r w:rsidR="003F250F">
        <w:t xml:space="preserve"> the</w:t>
      </w:r>
      <w:r w:rsidR="00E415F7">
        <w:t xml:space="preserve"> welfare gap between Bishkek and </w:t>
      </w:r>
      <w:r w:rsidR="003F250F">
        <w:t xml:space="preserve">the </w:t>
      </w:r>
      <w:r w:rsidR="00E415F7">
        <w:t>urban areas is larger among the poor rather than the rich.</w:t>
      </w:r>
      <w:r w:rsidR="005662EB">
        <w:t xml:space="preserve"> </w:t>
      </w:r>
      <w:r w:rsidR="008732CE">
        <w:t xml:space="preserve">This is </w:t>
      </w:r>
      <w:r w:rsidR="005662EB">
        <w:t xml:space="preserve">related to the </w:t>
      </w:r>
      <w:r w:rsidR="008732CE">
        <w:t xml:space="preserve">large gap in </w:t>
      </w:r>
      <w:r w:rsidR="002B3D2F">
        <w:t>productivity</w:t>
      </w:r>
      <w:r w:rsidR="00532ECC">
        <w:t xml:space="preserve"> and marginal returns to characteristics</w:t>
      </w:r>
      <w:r w:rsidR="002B3D2F">
        <w:t xml:space="preserve"> (</w:t>
      </w:r>
      <w:r w:rsidR="00532ECC">
        <w:t>unexplained part</w:t>
      </w:r>
      <w:r w:rsidR="002B3D2F">
        <w:t>)</w:t>
      </w:r>
      <w:r w:rsidR="008732CE">
        <w:t xml:space="preserve"> between the poor</w:t>
      </w:r>
      <w:r w:rsidR="00776CCD">
        <w:t xml:space="preserve"> in two areas</w:t>
      </w:r>
      <w:r w:rsidR="008732CE">
        <w:t xml:space="preserve"> which becomes small (even negative at the top of the distribution) for rich households</w:t>
      </w:r>
      <w:r w:rsidR="005662EB">
        <w:t xml:space="preserve">. </w:t>
      </w:r>
      <w:r w:rsidR="00776CCD">
        <w:t xml:space="preserve">In other words, </w:t>
      </w:r>
      <w:r w:rsidR="003F250F">
        <w:t xml:space="preserve">these are </w:t>
      </w:r>
      <w:r w:rsidR="00776CCD">
        <w:t xml:space="preserve">the </w:t>
      </w:r>
      <w:r w:rsidR="005662EB">
        <w:t xml:space="preserve">poor in Bishkek </w:t>
      </w:r>
      <w:r w:rsidR="00776CCD">
        <w:t xml:space="preserve">who benefit </w:t>
      </w:r>
      <w:r w:rsidR="002B3D2F">
        <w:t>relatively more from favorable geographic factors</w:t>
      </w:r>
      <w:r w:rsidR="00776CCD">
        <w:t xml:space="preserve"> than the rich</w:t>
      </w:r>
      <w:r w:rsidR="005662EB">
        <w:t>.</w:t>
      </w:r>
      <w:r w:rsidR="00776CCD">
        <w:t xml:space="preserve"> This </w:t>
      </w:r>
      <w:r w:rsidR="002B3D2F">
        <w:t xml:space="preserve">also </w:t>
      </w:r>
      <w:r w:rsidR="00776CCD">
        <w:t>implies that the gap in welfare between the rich in Bishkek and urban areas mostly stems from</w:t>
      </w:r>
      <w:r w:rsidR="00A94A27">
        <w:t xml:space="preserve"> the</w:t>
      </w:r>
      <w:r w:rsidR="00776CCD">
        <w:t xml:space="preserve"> differences in characteristics. </w:t>
      </w:r>
    </w:p>
    <w:p w:rsidR="00F83307" w:rsidRDefault="00F83307" w:rsidP="00986E5C">
      <w:r>
        <w:t xml:space="preserve">The </w:t>
      </w:r>
      <w:r w:rsidR="003F250F">
        <w:t xml:space="preserve">disparity </w:t>
      </w:r>
      <w:r>
        <w:t>between Bishkek and</w:t>
      </w:r>
      <w:r w:rsidR="003F250F">
        <w:t xml:space="preserve"> the</w:t>
      </w:r>
      <w:r>
        <w:t xml:space="preserve"> rural areas tend</w:t>
      </w:r>
      <w:r w:rsidR="00A94A27">
        <w:t>s</w:t>
      </w:r>
      <w:r>
        <w:t xml:space="preserve"> to widen across the distribution mainly because of </w:t>
      </w:r>
      <w:r w:rsidR="003F250F">
        <w:t xml:space="preserve">the </w:t>
      </w:r>
      <w:r>
        <w:t>larger impact of characteristics or the explained part. This</w:t>
      </w:r>
      <w:r w:rsidR="003F250F">
        <w:t xml:space="preserve"> observation</w:t>
      </w:r>
      <w:r>
        <w:t xml:space="preserve"> means that the gap </w:t>
      </w:r>
      <w:r w:rsidR="009A36F8">
        <w:lastRenderedPageBreak/>
        <w:t>explained by</w:t>
      </w:r>
      <w:r>
        <w:t xml:space="preserve"> characteristics of households living in Bishkek and</w:t>
      </w:r>
      <w:r w:rsidR="003F250F">
        <w:t xml:space="preserve"> the</w:t>
      </w:r>
      <w:r>
        <w:t xml:space="preserve"> rural areas is larger for wealthier households</w:t>
      </w:r>
      <w:r w:rsidR="005B39AE">
        <w:t xml:space="preserve"> than the poor</w:t>
      </w:r>
      <w:r>
        <w:t xml:space="preserve">. The role of </w:t>
      </w:r>
      <w:r w:rsidR="00532ECC">
        <w:t xml:space="preserve">marginal returns to characteristics </w:t>
      </w:r>
      <w:r>
        <w:t xml:space="preserve">or </w:t>
      </w:r>
      <w:r w:rsidR="00532ECC">
        <w:t xml:space="preserve">the </w:t>
      </w:r>
      <w:r>
        <w:t>unexplained part is less important, but the</w:t>
      </w:r>
      <w:r w:rsidR="005B39AE">
        <w:t xml:space="preserve"> gap between </w:t>
      </w:r>
      <w:r w:rsidR="00532ECC">
        <w:t xml:space="preserve">productivity (unexplained part) of </w:t>
      </w:r>
      <w:r w:rsidR="005B39AE">
        <w:t xml:space="preserve">households in </w:t>
      </w:r>
      <w:r>
        <w:t xml:space="preserve">Bishkek </w:t>
      </w:r>
      <w:r w:rsidR="005B39AE">
        <w:t>and</w:t>
      </w:r>
      <w:r w:rsidR="003F250F">
        <w:t xml:space="preserve"> the</w:t>
      </w:r>
      <w:r w:rsidR="005B39AE">
        <w:t xml:space="preserve"> rural areas </w:t>
      </w:r>
      <w:r w:rsidR="009A36F8">
        <w:t xml:space="preserve">is still higher among the poor </w:t>
      </w:r>
      <w:r w:rsidR="005B39AE">
        <w:t xml:space="preserve">than the rich. </w:t>
      </w:r>
      <w:r w:rsidR="009A36F8">
        <w:t>This</w:t>
      </w:r>
      <w:r w:rsidR="003F250F">
        <w:t xml:space="preserve"> fact</w:t>
      </w:r>
      <w:r w:rsidR="009A36F8">
        <w:t xml:space="preserve"> may indicate that the poor in Bishkek can benefit from public goods</w:t>
      </w:r>
      <w:r w:rsidR="00EF3E99">
        <w:t>, which are</w:t>
      </w:r>
      <w:r w:rsidR="009A36F8">
        <w:t xml:space="preserve"> more or less accessible </w:t>
      </w:r>
      <w:r w:rsidR="003F250F">
        <w:t>to all</w:t>
      </w:r>
      <w:r w:rsidR="009A36F8">
        <w:t xml:space="preserve">, while public goods are </w:t>
      </w:r>
      <w:r w:rsidR="00EF3E99">
        <w:t>less</w:t>
      </w:r>
      <w:r w:rsidR="009A36F8">
        <w:t xml:space="preserve"> accessible for the poor in other areas. </w:t>
      </w:r>
    </w:p>
    <w:tbl>
      <w:tblPr>
        <w:tblW w:w="0" w:type="auto"/>
        <w:tblBorders>
          <w:top w:val="single" w:sz="8" w:space="0" w:color="4F81BD"/>
        </w:tblBorders>
        <w:tblLook w:val="00A0" w:firstRow="1" w:lastRow="0" w:firstColumn="1" w:lastColumn="0" w:noHBand="0" w:noVBand="0"/>
      </w:tblPr>
      <w:tblGrid>
        <w:gridCol w:w="4781"/>
        <w:gridCol w:w="4795"/>
      </w:tblGrid>
      <w:tr w:rsidR="00F15235" w:rsidRPr="00C858B9" w:rsidTr="00F83307">
        <w:tc>
          <w:tcPr>
            <w:tcW w:w="4808" w:type="dxa"/>
            <w:tcBorders>
              <w:top w:val="single" w:sz="8" w:space="0" w:color="4F81BD"/>
              <w:bottom w:val="single" w:sz="8" w:space="0" w:color="4F81BD"/>
            </w:tcBorders>
          </w:tcPr>
          <w:p w:rsidR="00F15235" w:rsidRPr="00795E1C" w:rsidRDefault="00F15235" w:rsidP="00795E1C">
            <w:pPr>
              <w:spacing w:after="0" w:line="240" w:lineRule="auto"/>
              <w:rPr>
                <w:b/>
                <w:color w:val="1F497D"/>
              </w:rPr>
            </w:pPr>
            <w:r>
              <w:t xml:space="preserve"> </w:t>
            </w:r>
            <w:r w:rsidR="00930E6B">
              <w:rPr>
                <w:b/>
                <w:color w:val="1F497D"/>
              </w:rPr>
              <w:t>Figure 9</w:t>
            </w:r>
            <w:r w:rsidRPr="00795E1C">
              <w:rPr>
                <w:b/>
                <w:color w:val="1F497D"/>
              </w:rPr>
              <w:t xml:space="preserve">. Oaxaca-Blinder </w:t>
            </w:r>
            <w:r w:rsidR="00A94A27">
              <w:rPr>
                <w:b/>
                <w:color w:val="1F497D"/>
              </w:rPr>
              <w:t xml:space="preserve">unconditional </w:t>
            </w:r>
            <w:r w:rsidRPr="00795E1C">
              <w:rPr>
                <w:b/>
                <w:color w:val="1F497D"/>
              </w:rPr>
              <w:t>quintile decomposition of</w:t>
            </w:r>
            <w:r w:rsidR="003F250F">
              <w:rPr>
                <w:b/>
                <w:color w:val="1F497D"/>
              </w:rPr>
              <w:t xml:space="preserve"> the</w:t>
            </w:r>
            <w:r w:rsidRPr="00795E1C">
              <w:rPr>
                <w:b/>
                <w:color w:val="1F497D"/>
              </w:rPr>
              <w:t xml:space="preserve"> log welfare ratio between Bishkek and urban areas of</w:t>
            </w:r>
            <w:r w:rsidR="003F250F">
              <w:rPr>
                <w:b/>
                <w:color w:val="1F497D"/>
              </w:rPr>
              <w:t xml:space="preserve"> the</w:t>
            </w:r>
            <w:r w:rsidRPr="00795E1C">
              <w:rPr>
                <w:b/>
                <w:color w:val="1F497D"/>
              </w:rPr>
              <w:t xml:space="preserve"> other regions</w:t>
            </w:r>
          </w:p>
        </w:tc>
        <w:tc>
          <w:tcPr>
            <w:tcW w:w="4768" w:type="dxa"/>
            <w:tcBorders>
              <w:top w:val="single" w:sz="8" w:space="0" w:color="4F81BD"/>
              <w:bottom w:val="single" w:sz="8" w:space="0" w:color="4F81BD"/>
            </w:tcBorders>
          </w:tcPr>
          <w:p w:rsidR="00F15235" w:rsidRPr="00795E1C" w:rsidRDefault="00930E6B" w:rsidP="006576CD">
            <w:pPr>
              <w:spacing w:after="0" w:line="240" w:lineRule="auto"/>
              <w:rPr>
                <w:b/>
                <w:color w:val="1F497D"/>
              </w:rPr>
            </w:pPr>
            <w:r>
              <w:rPr>
                <w:b/>
                <w:color w:val="1F497D"/>
              </w:rPr>
              <w:t>Figure 10</w:t>
            </w:r>
            <w:r w:rsidR="00F15235" w:rsidRPr="00795E1C">
              <w:rPr>
                <w:b/>
                <w:color w:val="1F497D"/>
              </w:rPr>
              <w:t xml:space="preserve">. Oaxaca-Blinder </w:t>
            </w:r>
            <w:r w:rsidR="00A94A27">
              <w:rPr>
                <w:b/>
                <w:color w:val="1F497D"/>
              </w:rPr>
              <w:t xml:space="preserve">unconditional </w:t>
            </w:r>
            <w:r w:rsidR="00F15235" w:rsidRPr="00795E1C">
              <w:rPr>
                <w:b/>
                <w:color w:val="1F497D"/>
              </w:rPr>
              <w:t xml:space="preserve">quintile decomposition of </w:t>
            </w:r>
            <w:r w:rsidR="003F250F">
              <w:rPr>
                <w:b/>
                <w:color w:val="1F497D"/>
              </w:rPr>
              <w:t xml:space="preserve">the </w:t>
            </w:r>
            <w:r w:rsidR="00F15235" w:rsidRPr="00795E1C">
              <w:rPr>
                <w:b/>
                <w:color w:val="1F497D"/>
              </w:rPr>
              <w:t xml:space="preserve">log welfare ratio between </w:t>
            </w:r>
            <w:r w:rsidR="006576CD">
              <w:rPr>
                <w:b/>
                <w:color w:val="1F497D"/>
              </w:rPr>
              <w:t xml:space="preserve">Bishkek and </w:t>
            </w:r>
            <w:r w:rsidR="003F250F">
              <w:rPr>
                <w:b/>
                <w:color w:val="1F497D"/>
              </w:rPr>
              <w:t xml:space="preserve">the </w:t>
            </w:r>
            <w:r w:rsidR="006576CD">
              <w:rPr>
                <w:b/>
                <w:color w:val="1F497D"/>
              </w:rPr>
              <w:t xml:space="preserve">rural areas </w:t>
            </w:r>
            <w:r w:rsidR="00F15235" w:rsidRPr="00795E1C">
              <w:rPr>
                <w:b/>
                <w:color w:val="1F497D"/>
              </w:rPr>
              <w:t xml:space="preserve"> </w:t>
            </w:r>
          </w:p>
        </w:tc>
      </w:tr>
      <w:tr w:rsidR="00F15235" w:rsidRPr="00C858B9" w:rsidTr="00F83307">
        <w:trPr>
          <w:trHeight w:val="3787"/>
        </w:trPr>
        <w:tc>
          <w:tcPr>
            <w:tcW w:w="4808" w:type="dxa"/>
            <w:tcBorders>
              <w:bottom w:val="single" w:sz="4" w:space="0" w:color="4F81BD"/>
            </w:tcBorders>
          </w:tcPr>
          <w:p w:rsidR="00F15235" w:rsidRPr="00C858B9" w:rsidRDefault="0081227D" w:rsidP="00C858B9">
            <w:r w:rsidRPr="0081227D">
              <w:rPr>
                <w:noProof/>
              </w:rPr>
              <w:drawing>
                <wp:inline distT="0" distB="0" distL="0" distR="0">
                  <wp:extent cx="3067050" cy="2305050"/>
                  <wp:effectExtent l="0" t="0" r="0"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768" w:type="dxa"/>
            <w:tcBorders>
              <w:bottom w:val="single" w:sz="4" w:space="0" w:color="4F81BD"/>
            </w:tcBorders>
          </w:tcPr>
          <w:p w:rsidR="00F15235" w:rsidRPr="00C858B9" w:rsidRDefault="0081227D" w:rsidP="00C858B9">
            <w:r w:rsidRPr="0081227D">
              <w:rPr>
                <w:noProof/>
              </w:rPr>
              <w:drawing>
                <wp:inline distT="0" distB="0" distL="0" distR="0">
                  <wp:extent cx="3076575" cy="2314575"/>
                  <wp:effectExtent l="0" t="0" r="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15235" w:rsidRPr="00C858B9" w:rsidTr="007E1843">
        <w:tc>
          <w:tcPr>
            <w:tcW w:w="9576" w:type="dxa"/>
            <w:gridSpan w:val="2"/>
            <w:tcBorders>
              <w:top w:val="single" w:sz="4" w:space="0" w:color="4F81BD"/>
              <w:bottom w:val="single" w:sz="4" w:space="0" w:color="4F81BD"/>
            </w:tcBorders>
          </w:tcPr>
          <w:p w:rsidR="00F15235" w:rsidRPr="003842A9" w:rsidRDefault="00F15235" w:rsidP="00C858B9">
            <w:pPr>
              <w:spacing w:after="0" w:line="240" w:lineRule="auto"/>
              <w:rPr>
                <w:i/>
                <w:sz w:val="18"/>
              </w:rPr>
            </w:pPr>
            <w:r w:rsidRPr="00C858B9">
              <w:rPr>
                <w:i/>
                <w:sz w:val="18"/>
              </w:rPr>
              <w:t xml:space="preserve">Source: </w:t>
            </w:r>
            <w:r>
              <w:rPr>
                <w:sz w:val="20"/>
                <w:szCs w:val="20"/>
              </w:rPr>
              <w:t xml:space="preserve">KIHS, World Bank staff calculations. </w:t>
            </w:r>
            <w:r w:rsidRPr="00617DFD">
              <w:rPr>
                <w:sz w:val="20"/>
                <w:szCs w:val="20"/>
              </w:rPr>
              <w:t xml:space="preserve"> </w:t>
            </w:r>
          </w:p>
        </w:tc>
      </w:tr>
    </w:tbl>
    <w:p w:rsidR="00F15235" w:rsidRDefault="00F15235" w:rsidP="00986E5C"/>
    <w:p w:rsidR="00E0686B" w:rsidRDefault="00E0686B" w:rsidP="00C22C87">
      <w:pPr>
        <w:pStyle w:val="Heading2"/>
        <w:spacing w:after="120"/>
        <w:sectPr w:rsidR="00E0686B" w:rsidSect="003C5C54">
          <w:pgSz w:w="12240" w:h="15840"/>
          <w:pgMar w:top="1440" w:right="1440" w:bottom="1440" w:left="1440" w:header="720" w:footer="720" w:gutter="0"/>
          <w:cols w:space="720"/>
          <w:docGrid w:linePitch="360"/>
        </w:sectPr>
      </w:pPr>
    </w:p>
    <w:p w:rsidR="00F15235" w:rsidRDefault="00F15235" w:rsidP="00C22C87">
      <w:pPr>
        <w:pStyle w:val="Heading2"/>
        <w:spacing w:after="120"/>
      </w:pPr>
      <w:bookmarkStart w:id="13" w:name="_Toc353273031"/>
      <w:r>
        <w:lastRenderedPageBreak/>
        <w:t>Conclusion</w:t>
      </w:r>
      <w:bookmarkEnd w:id="13"/>
      <w:r>
        <w:t xml:space="preserve"> </w:t>
      </w:r>
    </w:p>
    <w:p w:rsidR="00F15235" w:rsidRDefault="00D246DA" w:rsidP="00551490">
      <w:r>
        <w:t>This paper analyzed</w:t>
      </w:r>
      <w:r w:rsidR="00646130">
        <w:t xml:space="preserve"> welfare disparities between and within the regions of the Kyrgyz Republic decomposing </w:t>
      </w:r>
      <w:r w:rsidR="0016124D">
        <w:t>the logarithm of</w:t>
      </w:r>
      <w:r w:rsidR="00646130">
        <w:t xml:space="preserve"> </w:t>
      </w:r>
      <w:r w:rsidR="003F250F">
        <w:t xml:space="preserve">the </w:t>
      </w:r>
      <w:r w:rsidR="00646130">
        <w:t xml:space="preserve">welfare ratio into components associated with household characteristics and </w:t>
      </w:r>
      <w:r w:rsidR="003F250F">
        <w:t xml:space="preserve">the </w:t>
      </w:r>
      <w:r w:rsidR="00646130">
        <w:t xml:space="preserve">returns to them. </w:t>
      </w:r>
      <w:r>
        <w:t xml:space="preserve">This helps to understand whether regional disparities in welfare are related to concentration of people with unfavorable characteristics or higher returns to them and higher productivity in particular areas. </w:t>
      </w:r>
      <w:r w:rsidR="00646130">
        <w:t xml:space="preserve">Conducted decomposition at the mean and across the distribution </w:t>
      </w:r>
      <w:r w:rsidR="00F15235">
        <w:t>reveal</w:t>
      </w:r>
      <w:r w:rsidR="00444F0E">
        <w:t>s</w:t>
      </w:r>
      <w:r w:rsidR="00F15235">
        <w:t xml:space="preserve"> a complex picture with regards to the determinants of welfare within and between regions of the Kyrgyz Republic. </w:t>
      </w:r>
    </w:p>
    <w:p w:rsidR="00F15235" w:rsidRDefault="0016124D" w:rsidP="00551490">
      <w:r>
        <w:t>Household</w:t>
      </w:r>
      <w:r w:rsidR="00646130">
        <w:t xml:space="preserve"> </w:t>
      </w:r>
      <w:r>
        <w:t xml:space="preserve">characteristics associated with better </w:t>
      </w:r>
      <w:r w:rsidR="00646130">
        <w:t>demographics</w:t>
      </w:r>
      <w:r w:rsidR="00532ECC">
        <w:t xml:space="preserve"> </w:t>
      </w:r>
      <w:r w:rsidR="00AC6A90">
        <w:t>and the</w:t>
      </w:r>
      <w:r w:rsidR="003F250F">
        <w:t xml:space="preserve"> </w:t>
      </w:r>
      <w:r w:rsidR="00532ECC">
        <w:t>type of occupation</w:t>
      </w:r>
      <w:r w:rsidR="00646130">
        <w:t xml:space="preserve"> and education are found to play more important role in explaining w</w:t>
      </w:r>
      <w:r w:rsidR="00F15235">
        <w:t>elfare disparities between Bishkek, rural and urban areas than</w:t>
      </w:r>
      <w:r w:rsidR="00373306">
        <w:t xml:space="preserve"> the</w:t>
      </w:r>
      <w:r w:rsidR="00F15235">
        <w:t xml:space="preserve"> returns to them. </w:t>
      </w:r>
      <w:r w:rsidR="003F250F">
        <w:t xml:space="preserve">This analysis </w:t>
      </w:r>
      <w:r w:rsidR="00F15235">
        <w:t xml:space="preserve">means that urban and rural areas of the Kyrgyz Republic lag behind the capital due to the concentration of people with better characteristics in Bishkek. The same picture is observed if </w:t>
      </w:r>
      <w:r w:rsidR="00373306">
        <w:t xml:space="preserve">the </w:t>
      </w:r>
      <w:r w:rsidR="00F15235">
        <w:t xml:space="preserve">rural areas of the most prosperous Chui region </w:t>
      </w:r>
      <w:r w:rsidR="00373306">
        <w:t xml:space="preserve">are compared </w:t>
      </w:r>
      <w:r w:rsidR="00F15235">
        <w:t xml:space="preserve">with </w:t>
      </w:r>
      <w:r>
        <w:t xml:space="preserve">the </w:t>
      </w:r>
      <w:r w:rsidR="00646130">
        <w:t xml:space="preserve">rural areas of </w:t>
      </w:r>
      <w:r w:rsidR="00F15235">
        <w:t xml:space="preserve">other regions. </w:t>
      </w:r>
      <w:r w:rsidR="00373306">
        <w:t>The c</w:t>
      </w:r>
      <w:r w:rsidR="00F15235">
        <w:t xml:space="preserve">oncentration of people with better endowments in Bishkek and Chui can be a result of internal migration when people move to Bishkek where their skills are most rewarded and because of the inherently different economic structure. </w:t>
      </w:r>
    </w:p>
    <w:p w:rsidR="00F15235" w:rsidRDefault="00D246DA" w:rsidP="00551490">
      <w:r>
        <w:t>Nevertheless, b</w:t>
      </w:r>
      <w:r w:rsidR="00F15235">
        <w:t>esides the concentration of people with more favorable characteristics in Bishkek and</w:t>
      </w:r>
      <w:r w:rsidR="00373306">
        <w:t xml:space="preserve"> in the</w:t>
      </w:r>
      <w:r w:rsidR="00F15235">
        <w:t xml:space="preserve"> Chui region, people there </w:t>
      </w:r>
      <w:r w:rsidR="00F438E5">
        <w:t xml:space="preserve">may be </w:t>
      </w:r>
      <w:r w:rsidR="00F15235">
        <w:t xml:space="preserve">more productive as shown by </w:t>
      </w:r>
      <w:r w:rsidR="00373306">
        <w:t xml:space="preserve">a </w:t>
      </w:r>
      <w:r w:rsidR="00F15235">
        <w:t>substantial unexplained gap in</w:t>
      </w:r>
      <w:r w:rsidR="00373306">
        <w:t xml:space="preserve"> the</w:t>
      </w:r>
      <w:r w:rsidR="00F15235">
        <w:t xml:space="preserve"> log welfare ratio. </w:t>
      </w:r>
      <w:r w:rsidR="00373306">
        <w:t>An e</w:t>
      </w:r>
      <w:r w:rsidR="00F15235">
        <w:t>xisting gap in</w:t>
      </w:r>
      <w:r w:rsidR="00373306">
        <w:t xml:space="preserve"> </w:t>
      </w:r>
      <w:r w:rsidR="009E3EAB">
        <w:t>the productivity</w:t>
      </w:r>
      <w:r w:rsidR="00F15235">
        <w:t xml:space="preserve"> between Bishkek, Chui and</w:t>
      </w:r>
      <w:r w:rsidR="00373306">
        <w:t xml:space="preserve"> the</w:t>
      </w:r>
      <w:r w:rsidR="00F15235">
        <w:t xml:space="preserve"> other areas may be related to the presence of the agglomeration effect when</w:t>
      </w:r>
      <w:r w:rsidR="00373306">
        <w:t xml:space="preserve"> a</w:t>
      </w:r>
      <w:r w:rsidR="00F15235">
        <w:t xml:space="preserve"> high density of economic activity and better infrastructure keep wages increasing in the metropolitan area in spite of </w:t>
      </w:r>
      <w:r w:rsidR="00930E6B">
        <w:t>the migration inflow.</w:t>
      </w:r>
      <w:r w:rsidR="00F15235">
        <w:t xml:space="preserve"> </w:t>
      </w:r>
    </w:p>
    <w:p w:rsidR="00F15235" w:rsidRDefault="00F15235" w:rsidP="00551490">
      <w:r>
        <w:t>In contrast to welfare disparities between the wealthiest and</w:t>
      </w:r>
      <w:r w:rsidR="00373306">
        <w:t xml:space="preserve"> the</w:t>
      </w:r>
      <w:r>
        <w:t xml:space="preserve"> lagging regions, significant w</w:t>
      </w:r>
      <w:r w:rsidRPr="00A26A64">
        <w:t>elfare differences</w:t>
      </w:r>
      <w:r>
        <w:t xml:space="preserve"> between urban and rural areas</w:t>
      </w:r>
      <w:r w:rsidRPr="00A26A64">
        <w:t xml:space="preserve"> within regions </w:t>
      </w:r>
      <w:r>
        <w:t>are found only</w:t>
      </w:r>
      <w:r w:rsidR="00171436">
        <w:t xml:space="preserve"> in </w:t>
      </w:r>
      <w:r w:rsidR="00373306">
        <w:t xml:space="preserve">the </w:t>
      </w:r>
      <w:r w:rsidR="00B206E7">
        <w:t>Chui</w:t>
      </w:r>
      <w:r>
        <w:t xml:space="preserve">, </w:t>
      </w:r>
      <w:proofErr w:type="spellStart"/>
      <w:r>
        <w:t>Batken</w:t>
      </w:r>
      <w:proofErr w:type="spellEnd"/>
      <w:r>
        <w:t xml:space="preserve"> and </w:t>
      </w:r>
      <w:proofErr w:type="spellStart"/>
      <w:r>
        <w:t>Naryn</w:t>
      </w:r>
      <w:proofErr w:type="spellEnd"/>
      <w:r>
        <w:t xml:space="preserve"> regions. </w:t>
      </w:r>
      <w:r w:rsidR="00930E6B">
        <w:t>Moreover</w:t>
      </w:r>
      <w:r w:rsidR="00532ECC">
        <w:t>,</w:t>
      </w:r>
      <w:r w:rsidR="00930E6B">
        <w:t xml:space="preserve"> welfare disparities are</w:t>
      </w:r>
      <w:r>
        <w:t xml:space="preserve"> fully explained by the endowments meaning that there is a concentration of </w:t>
      </w:r>
      <w:r w:rsidR="00B206E7">
        <w:t>people</w:t>
      </w:r>
      <w:r>
        <w:t xml:space="preserve"> with better characteristics in urban areas. </w:t>
      </w:r>
      <w:r w:rsidR="00B206E7">
        <w:t>The e</w:t>
      </w:r>
      <w:r>
        <w:t xml:space="preserve">ffect of coefficients is not significant in </w:t>
      </w:r>
      <w:r w:rsidR="00373306">
        <w:t xml:space="preserve">any </w:t>
      </w:r>
      <w:r>
        <w:t>of the regions which may reflect the fact that migration from rural to urban areas</w:t>
      </w:r>
      <w:r w:rsidR="00930E6B">
        <w:t xml:space="preserve"> within regions</w:t>
      </w:r>
      <w:r>
        <w:t xml:space="preserve"> </w:t>
      </w:r>
      <w:r w:rsidR="00B206E7">
        <w:t>could</w:t>
      </w:r>
      <w:r>
        <w:t xml:space="preserve"> equalize returns to characteristics.  </w:t>
      </w:r>
    </w:p>
    <w:p w:rsidR="006E19F0" w:rsidRDefault="00F83307" w:rsidP="00551490">
      <w:r>
        <w:t>W</w:t>
      </w:r>
      <w:r w:rsidR="00F15235">
        <w:t>elfare disparities are not constant across the distribution.</w:t>
      </w:r>
      <w:r w:rsidR="006E19F0">
        <w:t xml:space="preserve"> The </w:t>
      </w:r>
      <w:r w:rsidR="00373306">
        <w:t>gap either</w:t>
      </w:r>
      <w:r w:rsidR="006E19F0">
        <w:t xml:space="preserve"> decreas</w:t>
      </w:r>
      <w:r w:rsidR="00373306">
        <w:t>es</w:t>
      </w:r>
      <w:r w:rsidR="006E19F0">
        <w:t xml:space="preserve"> between the residents in Bishkek and </w:t>
      </w:r>
      <w:r w:rsidR="00373306">
        <w:t xml:space="preserve">the </w:t>
      </w:r>
      <w:r w:rsidR="006E19F0">
        <w:t>urban areas or increas</w:t>
      </w:r>
      <w:r w:rsidR="00373306">
        <w:t>es</w:t>
      </w:r>
      <w:r w:rsidR="006E19F0">
        <w:t xml:space="preserve"> between</w:t>
      </w:r>
      <w:r w:rsidR="0001690B">
        <w:t xml:space="preserve"> the</w:t>
      </w:r>
      <w:r w:rsidR="006E19F0">
        <w:t xml:space="preserve"> residents of Bishkek and </w:t>
      </w:r>
      <w:r w:rsidR="00373306">
        <w:t xml:space="preserve">the </w:t>
      </w:r>
      <w:r w:rsidR="006E19F0">
        <w:t>rural areas</w:t>
      </w:r>
      <w:r w:rsidR="00532ECC">
        <w:t xml:space="preserve"> across </w:t>
      </w:r>
      <w:proofErr w:type="spellStart"/>
      <w:r w:rsidR="00532ECC">
        <w:t>deciles</w:t>
      </w:r>
      <w:proofErr w:type="spellEnd"/>
      <w:r w:rsidR="006E19F0">
        <w:t xml:space="preserve">. Nevertheless, </w:t>
      </w:r>
      <w:r w:rsidR="00373306">
        <w:t>the</w:t>
      </w:r>
      <w:r w:rsidR="006E19F0">
        <w:t xml:space="preserve"> </w:t>
      </w:r>
      <w:r w:rsidR="00373306">
        <w:t>communality</w:t>
      </w:r>
      <w:r w:rsidR="006E19F0">
        <w:t xml:space="preserve"> </w:t>
      </w:r>
      <w:r w:rsidR="00373306">
        <w:t xml:space="preserve">is </w:t>
      </w:r>
      <w:r w:rsidR="006E19F0">
        <w:t xml:space="preserve">that the poor in Bishkek benefit disproportionally more than the rich from geographic factors.  Secondly, </w:t>
      </w:r>
      <w:r w:rsidR="00EF3E99">
        <w:t>possession of favorable characteristics tends</w:t>
      </w:r>
      <w:r w:rsidR="006E19F0">
        <w:t xml:space="preserve"> to explain </w:t>
      </w:r>
      <w:r w:rsidR="00EF3E99">
        <w:t xml:space="preserve">a </w:t>
      </w:r>
      <w:r w:rsidR="006E19F0">
        <w:t>larger part of the gap among the rich households in Bishkek and</w:t>
      </w:r>
      <w:r w:rsidR="00373306">
        <w:t xml:space="preserve"> the</w:t>
      </w:r>
      <w:r w:rsidR="006E19F0">
        <w:t xml:space="preserve"> other areas than</w:t>
      </w:r>
      <w:r w:rsidR="00373306">
        <w:t xml:space="preserve"> the</w:t>
      </w:r>
      <w:r w:rsidR="006E19F0">
        <w:t xml:space="preserve"> returns to them.</w:t>
      </w:r>
    </w:p>
    <w:p w:rsidR="00EF3E99" w:rsidRDefault="00F15235" w:rsidP="0055432F">
      <w:r>
        <w:t xml:space="preserve">The results of this study emphasize the role of characteristics in explaining </w:t>
      </w:r>
      <w:r w:rsidR="00930E6B">
        <w:t xml:space="preserve">welfare differences </w:t>
      </w:r>
      <w:r w:rsidR="00F438E5">
        <w:t xml:space="preserve">between Bishkek, Chui and other regions. </w:t>
      </w:r>
      <w:r>
        <w:t xml:space="preserve">Therefore, investing in programs </w:t>
      </w:r>
      <w:r w:rsidR="00373306">
        <w:t>to support</w:t>
      </w:r>
      <w:r>
        <w:t xml:space="preserve"> poor people </w:t>
      </w:r>
      <w:r w:rsidR="00D615F2">
        <w:t xml:space="preserve">to </w:t>
      </w:r>
      <w:r>
        <w:t>improve their human capital endowments may help them to search for better opportunities.</w:t>
      </w:r>
      <w:r w:rsidR="00B21489">
        <w:t xml:space="preserve"> </w:t>
      </w:r>
      <w:r>
        <w:t xml:space="preserve">Ensuring equal access to </w:t>
      </w:r>
      <w:r w:rsidR="00DA0EAB">
        <w:t xml:space="preserve">basic </w:t>
      </w:r>
      <w:r>
        <w:t xml:space="preserve">public services of similar </w:t>
      </w:r>
      <w:r w:rsidR="00EF3E99">
        <w:t>quality (such</w:t>
      </w:r>
      <w:r w:rsidR="00373306">
        <w:t xml:space="preserve"> as</w:t>
      </w:r>
      <w:r w:rsidR="00EF3E99">
        <w:t xml:space="preserve"> spatially blind institutions as health, education, </w:t>
      </w:r>
      <w:r w:rsidR="00EF3E99">
        <w:lastRenderedPageBreak/>
        <w:t>water) regardless</w:t>
      </w:r>
      <w:r>
        <w:t xml:space="preserve"> the place of residence</w:t>
      </w:r>
      <w:r w:rsidR="006E19F0">
        <w:t xml:space="preserve"> </w:t>
      </w:r>
      <w:r>
        <w:t>is also important to equalize the opportunities across areas.</w:t>
      </w:r>
      <w:r w:rsidR="00B21489">
        <w:t xml:space="preserve"> This will ensure that people are pulled to the prosperous regions and not pushed by the lack of schools and health services.</w:t>
      </w:r>
      <w:r w:rsidR="00EF3E99" w:rsidRPr="00EF3E99">
        <w:t xml:space="preserve"> </w:t>
      </w:r>
    </w:p>
    <w:p w:rsidR="00F15235" w:rsidRDefault="00F15235" w:rsidP="00CA3DE2">
      <w:r>
        <w:t xml:space="preserve">Persistently higher returns to characteristics in the capital and </w:t>
      </w:r>
      <w:r w:rsidR="00373306">
        <w:t xml:space="preserve">the </w:t>
      </w:r>
      <w:r>
        <w:t>Chui region indicate</w:t>
      </w:r>
      <w:r w:rsidR="00373306">
        <w:t xml:space="preserve"> the</w:t>
      </w:r>
      <w:r>
        <w:t xml:space="preserve"> importance of removing impediment towards more economic mobility because</w:t>
      </w:r>
      <w:r w:rsidR="00373306">
        <w:t xml:space="preserve"> the</w:t>
      </w:r>
      <w:r w:rsidRPr="00162FF8">
        <w:t xml:space="preserve"> migration of workers from lagging areas </w:t>
      </w:r>
      <w:r w:rsidR="00930E6B">
        <w:t xml:space="preserve">still </w:t>
      </w:r>
      <w:r w:rsidRPr="00162FF8">
        <w:t>enhances overall productivity and e</w:t>
      </w:r>
      <w:r w:rsidR="00930E6B">
        <w:t>conomic growth due to different</w:t>
      </w:r>
      <w:r w:rsidRPr="00162FF8">
        <w:t xml:space="preserve"> externalities associated with agglomeration effects. </w:t>
      </w:r>
      <w:r w:rsidR="00EF3E99">
        <w:t>This may include investment in spatially connective infrastructure such as roads</w:t>
      </w:r>
      <w:r w:rsidR="00373306">
        <w:t xml:space="preserve"> and a</w:t>
      </w:r>
      <w:r w:rsidR="00B21489">
        <w:t xml:space="preserve"> public transportation system. </w:t>
      </w:r>
      <w:r w:rsidR="00CA3DE2">
        <w:t xml:space="preserve">It is important to remember though that urbanization has its costs </w:t>
      </w:r>
      <w:r w:rsidR="00373306">
        <w:t>which include</w:t>
      </w:r>
      <w:r w:rsidR="00CA3DE2">
        <w:t xml:space="preserve"> congestion</w:t>
      </w:r>
      <w:r w:rsidR="00DA0EAB">
        <w:t>,</w:t>
      </w:r>
      <w:r w:rsidR="00CA3DE2">
        <w:t xml:space="preserve"> while divisions within cities can manifest in slums. Targeted slum-improvement </w:t>
      </w:r>
      <w:r w:rsidR="00827D90">
        <w:t>initiatives should be accompanied with working institutions related to land and basic services.</w:t>
      </w:r>
    </w:p>
    <w:p w:rsidR="00B21489" w:rsidRDefault="00CA3DE2" w:rsidP="0055432F">
      <w:r>
        <w:t>F</w:t>
      </w:r>
      <w:r w:rsidR="00B21489" w:rsidRPr="00B21489">
        <w:t>urther analysis is needed to identify the location factors responsible for low productivity in lagging areas</w:t>
      </w:r>
      <w:r>
        <w:t xml:space="preserve"> and how these factors affect the well-being. </w:t>
      </w:r>
    </w:p>
    <w:p w:rsidR="00E0686B" w:rsidRDefault="00E0686B" w:rsidP="0055432F"/>
    <w:p w:rsidR="00E0686B" w:rsidRPr="0055432F" w:rsidRDefault="00E0686B" w:rsidP="0055432F"/>
    <w:p w:rsidR="00E0686B" w:rsidRDefault="00E0686B" w:rsidP="001B6FD5">
      <w:pPr>
        <w:pStyle w:val="Heading2"/>
        <w:spacing w:after="120"/>
        <w:sectPr w:rsidR="00E0686B" w:rsidSect="003C5C54">
          <w:pgSz w:w="12240" w:h="15840"/>
          <w:pgMar w:top="1440" w:right="1440" w:bottom="1440" w:left="1440" w:header="720" w:footer="720" w:gutter="0"/>
          <w:cols w:space="720"/>
          <w:docGrid w:linePitch="360"/>
        </w:sectPr>
      </w:pPr>
    </w:p>
    <w:p w:rsidR="00F15235" w:rsidRDefault="00F15235" w:rsidP="001B6FD5">
      <w:pPr>
        <w:pStyle w:val="Heading2"/>
        <w:spacing w:after="120"/>
      </w:pPr>
      <w:bookmarkStart w:id="14" w:name="_Toc353273032"/>
      <w:r>
        <w:lastRenderedPageBreak/>
        <w:t>References</w:t>
      </w:r>
      <w:bookmarkEnd w:id="14"/>
    </w:p>
    <w:p w:rsidR="00373306" w:rsidRPr="00373306" w:rsidRDefault="00373306" w:rsidP="002867EF">
      <w:pPr>
        <w:tabs>
          <w:tab w:val="left" w:pos="720"/>
        </w:tabs>
        <w:ind w:left="720" w:hanging="720"/>
        <w:jc w:val="left"/>
      </w:pPr>
      <w:proofErr w:type="spellStart"/>
      <w:r w:rsidRPr="00373306">
        <w:t>Firpo</w:t>
      </w:r>
      <w:proofErr w:type="spellEnd"/>
      <w:r w:rsidRPr="00373306">
        <w:t xml:space="preserve"> S, Fortin N., and Lemieux, T. 2007. Decomposing Wage Distributions using </w:t>
      </w:r>
      <w:proofErr w:type="spellStart"/>
      <w:r w:rsidRPr="00373306">
        <w:t>Recentered</w:t>
      </w:r>
      <w:proofErr w:type="spellEnd"/>
      <w:r w:rsidRPr="00373306">
        <w:t xml:space="preserve"> Influence Function Regressions. Unpublished Paper. </w:t>
      </w:r>
      <w:hyperlink r:id="rId47" w:history="1">
        <w:r w:rsidRPr="00373306">
          <w:rPr>
            <w:rStyle w:val="Hyperlink"/>
          </w:rPr>
          <w:t>http://www.nber.org/public_html/confer/2007/si2007/LS/fortin.pdf</w:t>
        </w:r>
      </w:hyperlink>
      <w:r w:rsidRPr="00373306">
        <w:t>.</w:t>
      </w:r>
    </w:p>
    <w:p w:rsidR="00373306" w:rsidRPr="00373306" w:rsidRDefault="00373306" w:rsidP="002867EF">
      <w:pPr>
        <w:tabs>
          <w:tab w:val="left" w:pos="720"/>
        </w:tabs>
        <w:ind w:left="720" w:hanging="720"/>
        <w:jc w:val="left"/>
      </w:pPr>
      <w:proofErr w:type="spellStart"/>
      <w:r w:rsidRPr="00373306">
        <w:t>Firpo</w:t>
      </w:r>
      <w:proofErr w:type="spellEnd"/>
      <w:r w:rsidRPr="00373306">
        <w:t xml:space="preserve"> S, Fortin N., and Lemieux, T. 2011. “Unconditional </w:t>
      </w:r>
      <w:proofErr w:type="spellStart"/>
      <w:r w:rsidRPr="00373306">
        <w:t>Quantile</w:t>
      </w:r>
      <w:proofErr w:type="spellEnd"/>
      <w:r w:rsidRPr="00373306">
        <w:t xml:space="preserve"> Regressions.” </w:t>
      </w:r>
      <w:proofErr w:type="spellStart"/>
      <w:r w:rsidRPr="00373306">
        <w:rPr>
          <w:i/>
        </w:rPr>
        <w:t>Econometrica</w:t>
      </w:r>
      <w:proofErr w:type="spellEnd"/>
      <w:r w:rsidRPr="00373306">
        <w:rPr>
          <w:i/>
        </w:rPr>
        <w:t xml:space="preserve"> </w:t>
      </w:r>
      <w:r w:rsidRPr="00373306">
        <w:t xml:space="preserve"> 77:953-73.</w:t>
      </w:r>
    </w:p>
    <w:p w:rsidR="00373306" w:rsidRDefault="00373306" w:rsidP="002867EF">
      <w:pPr>
        <w:tabs>
          <w:tab w:val="left" w:pos="720"/>
        </w:tabs>
        <w:ind w:left="720" w:hanging="720"/>
        <w:jc w:val="left"/>
      </w:pPr>
      <w:proofErr w:type="spellStart"/>
      <w:r w:rsidRPr="00373306">
        <w:t>Jann</w:t>
      </w:r>
      <w:proofErr w:type="spellEnd"/>
      <w:r w:rsidRPr="00373306">
        <w:t xml:space="preserve">, B. 2008. “A </w:t>
      </w:r>
      <w:proofErr w:type="spellStart"/>
      <w:r w:rsidRPr="00373306">
        <w:t>Stata</w:t>
      </w:r>
      <w:proofErr w:type="spellEnd"/>
      <w:r w:rsidRPr="00373306">
        <w:t xml:space="preserve"> Implementation of the Blinder-Oaxaca Decomposition.” ETH Zurich Sociology Working Paper  5. </w:t>
      </w:r>
    </w:p>
    <w:p w:rsidR="00236985" w:rsidRDefault="00236985" w:rsidP="002867EF">
      <w:pPr>
        <w:tabs>
          <w:tab w:val="left" w:pos="720"/>
        </w:tabs>
        <w:ind w:left="720" w:hanging="720"/>
      </w:pPr>
      <w:proofErr w:type="spellStart"/>
      <w:r>
        <w:t>Juhn</w:t>
      </w:r>
      <w:proofErr w:type="spellEnd"/>
      <w:r>
        <w:t>,</w:t>
      </w:r>
      <w:r w:rsidR="00853E95">
        <w:t xml:space="preserve"> C., Murphy, K. and Pierce, B. 1993</w:t>
      </w:r>
      <w:r>
        <w:t xml:space="preserve">. Wage Inequality and the Rise in Returns to Skill, </w:t>
      </w:r>
      <w:r w:rsidRPr="00853E95">
        <w:rPr>
          <w:i/>
        </w:rPr>
        <w:t>Journal of Political Economy</w:t>
      </w:r>
      <w:r>
        <w:t xml:space="preserve"> 101: 410-442.</w:t>
      </w:r>
    </w:p>
    <w:p w:rsidR="00373306" w:rsidRDefault="00373306" w:rsidP="002867EF">
      <w:pPr>
        <w:tabs>
          <w:tab w:val="left" w:pos="720"/>
        </w:tabs>
        <w:ind w:left="720" w:hanging="720"/>
        <w:jc w:val="left"/>
      </w:pPr>
      <w:r w:rsidRPr="00373306">
        <w:t xml:space="preserve">National Statistical Committee of the Kyrgyz Republic. </w:t>
      </w:r>
      <w:hyperlink r:id="rId48" w:history="1">
        <w:r w:rsidRPr="00373306">
          <w:rPr>
            <w:rStyle w:val="Hyperlink"/>
          </w:rPr>
          <w:t>www.stat.kg</w:t>
        </w:r>
      </w:hyperlink>
      <w:r w:rsidRPr="00373306">
        <w:t xml:space="preserve">. </w:t>
      </w:r>
    </w:p>
    <w:p w:rsidR="00004F77" w:rsidRPr="00004F77" w:rsidRDefault="00004F77" w:rsidP="002867EF">
      <w:pPr>
        <w:tabs>
          <w:tab w:val="left" w:pos="720"/>
        </w:tabs>
        <w:ind w:left="720" w:hanging="720"/>
        <w:jc w:val="left"/>
      </w:pPr>
      <w:r w:rsidRPr="00004F77">
        <w:t xml:space="preserve">Nguyen, B. T., Albrecht, J. W., </w:t>
      </w:r>
      <w:proofErr w:type="spellStart"/>
      <w:r w:rsidRPr="00004F77">
        <w:t>V</w:t>
      </w:r>
      <w:r>
        <w:t>roman</w:t>
      </w:r>
      <w:proofErr w:type="spellEnd"/>
      <w:r>
        <w:t>, S. B., Westbrook, M. D. 2007.</w:t>
      </w:r>
      <w:r w:rsidRPr="00004F77">
        <w:t xml:space="preserve"> A </w:t>
      </w:r>
      <w:proofErr w:type="spellStart"/>
      <w:r w:rsidRPr="00004F77">
        <w:t>quantile</w:t>
      </w:r>
      <w:proofErr w:type="spellEnd"/>
      <w:r w:rsidRPr="00004F77">
        <w:t xml:space="preserve"> regression</w:t>
      </w:r>
      <w:r>
        <w:t xml:space="preserve"> </w:t>
      </w:r>
      <w:r w:rsidRPr="00004F77">
        <w:t xml:space="preserve">decomposition of urban-rural inequality in Vietnam. </w:t>
      </w:r>
      <w:r w:rsidRPr="00004F77">
        <w:rPr>
          <w:i/>
        </w:rPr>
        <w:t>Journal of Development Econom</w:t>
      </w:r>
      <w:r>
        <w:rPr>
          <w:i/>
        </w:rPr>
        <w:t xml:space="preserve">ics </w:t>
      </w:r>
      <w:r w:rsidRPr="00004F77">
        <w:t xml:space="preserve"> 83:</w:t>
      </w:r>
      <w:r>
        <w:t xml:space="preserve"> </w:t>
      </w:r>
      <w:r w:rsidRPr="00004F77">
        <w:t>466–490.</w:t>
      </w:r>
    </w:p>
    <w:p w:rsidR="00373306" w:rsidRPr="00373306" w:rsidRDefault="00373306" w:rsidP="002867EF">
      <w:pPr>
        <w:tabs>
          <w:tab w:val="left" w:pos="720"/>
        </w:tabs>
        <w:ind w:left="720" w:hanging="720"/>
        <w:jc w:val="left"/>
      </w:pPr>
      <w:proofErr w:type="spellStart"/>
      <w:r w:rsidRPr="00373306">
        <w:t>Skoufias</w:t>
      </w:r>
      <w:proofErr w:type="spellEnd"/>
      <w:r w:rsidRPr="00373306">
        <w:t xml:space="preserve">, E. and Katayama, R. 2011. “Sources of Welfare Disparities between and within Regions of Brazil: Evidence from the 2002–2003 Household Budget Survey.” </w:t>
      </w:r>
      <w:r w:rsidRPr="00373306">
        <w:rPr>
          <w:i/>
        </w:rPr>
        <w:t>Journal of Economic Geography</w:t>
      </w:r>
      <w:r w:rsidRPr="00373306">
        <w:t xml:space="preserve"> 11: 897–918. </w:t>
      </w:r>
    </w:p>
    <w:p w:rsidR="00373306" w:rsidRPr="00373306" w:rsidRDefault="00373306" w:rsidP="002867EF">
      <w:pPr>
        <w:tabs>
          <w:tab w:val="left" w:pos="720"/>
        </w:tabs>
        <w:ind w:left="720" w:hanging="720"/>
        <w:jc w:val="left"/>
      </w:pPr>
      <w:proofErr w:type="spellStart"/>
      <w:r w:rsidRPr="00373306">
        <w:t>Skoufias</w:t>
      </w:r>
      <w:proofErr w:type="spellEnd"/>
      <w:r w:rsidRPr="00373306">
        <w:t xml:space="preserve">, E. and Lopez-Acevedo, G. 2009. “Determinants of Regional Welfare Disparities within Latin American Countries.”  2 vols. The International Bank for Reconstruction and Development / The World Bank. </w:t>
      </w:r>
    </w:p>
    <w:p w:rsidR="00373306" w:rsidRPr="00373306" w:rsidRDefault="00373306" w:rsidP="002867EF">
      <w:pPr>
        <w:tabs>
          <w:tab w:val="left" w:pos="720"/>
        </w:tabs>
        <w:ind w:left="720" w:hanging="720"/>
        <w:jc w:val="left"/>
      </w:pPr>
      <w:r w:rsidRPr="00373306">
        <w:t xml:space="preserve">World Bank 2008. “Reshaping Economic Geography.” World Development Report 2009. Washington, DC: World Bank. </w:t>
      </w:r>
    </w:p>
    <w:p w:rsidR="00373306" w:rsidRPr="00373306" w:rsidRDefault="00373306" w:rsidP="002867EF">
      <w:pPr>
        <w:tabs>
          <w:tab w:val="left" w:pos="720"/>
        </w:tabs>
        <w:ind w:left="720" w:hanging="720"/>
        <w:jc w:val="left"/>
      </w:pPr>
      <w:r w:rsidRPr="00373306">
        <w:t xml:space="preserve">World Bank 2011. “The Kyrgyz Republic Profile and Dynamics of Poverty and Inequality, 2009.” Unpublished Mimeo. </w:t>
      </w:r>
    </w:p>
    <w:p w:rsidR="00E0686B" w:rsidRDefault="00E0686B" w:rsidP="00930E6B">
      <w:pPr>
        <w:pStyle w:val="Heading2"/>
        <w:spacing w:after="120"/>
      </w:pPr>
    </w:p>
    <w:p w:rsidR="00E0686B" w:rsidRDefault="00E0686B" w:rsidP="00930E6B">
      <w:pPr>
        <w:pStyle w:val="Heading2"/>
        <w:spacing w:after="120"/>
      </w:pPr>
    </w:p>
    <w:p w:rsidR="00E0686B" w:rsidRPr="00E0686B" w:rsidRDefault="00E0686B" w:rsidP="00E0686B"/>
    <w:p w:rsidR="00E0686B" w:rsidRDefault="00E0686B" w:rsidP="00930E6B">
      <w:pPr>
        <w:pStyle w:val="Heading2"/>
        <w:spacing w:after="120"/>
      </w:pPr>
    </w:p>
    <w:p w:rsidR="00E0686B" w:rsidRPr="00E0686B" w:rsidRDefault="00E0686B" w:rsidP="00E0686B"/>
    <w:p w:rsidR="00F15235" w:rsidRDefault="00F15235" w:rsidP="00930E6B">
      <w:pPr>
        <w:pStyle w:val="Heading2"/>
        <w:spacing w:after="120"/>
      </w:pPr>
      <w:bookmarkStart w:id="15" w:name="_Toc353273033"/>
      <w:r>
        <w:lastRenderedPageBreak/>
        <w:t>Appendix</w:t>
      </w:r>
      <w:bookmarkEnd w:id="15"/>
    </w:p>
    <w:tbl>
      <w:tblPr>
        <w:tblW w:w="9390" w:type="dxa"/>
        <w:tblInd w:w="93" w:type="dxa"/>
        <w:tblBorders>
          <w:top w:val="single" w:sz="8" w:space="0" w:color="4F81BD" w:themeColor="accent1"/>
          <w:bottom w:val="single" w:sz="8" w:space="0" w:color="4F81BD" w:themeColor="accent1"/>
        </w:tblBorders>
        <w:tblLook w:val="04A0" w:firstRow="1" w:lastRow="0" w:firstColumn="1" w:lastColumn="0" w:noHBand="0" w:noVBand="1"/>
      </w:tblPr>
      <w:tblGrid>
        <w:gridCol w:w="5657"/>
        <w:gridCol w:w="1349"/>
        <w:gridCol w:w="1282"/>
        <w:gridCol w:w="1102"/>
      </w:tblGrid>
      <w:tr w:rsidR="0081227D" w:rsidRPr="0081227D" w:rsidTr="0081227D">
        <w:trPr>
          <w:trHeight w:val="315"/>
        </w:trPr>
        <w:tc>
          <w:tcPr>
            <w:tcW w:w="9390" w:type="dxa"/>
            <w:gridSpan w:val="4"/>
            <w:tcBorders>
              <w:top w:val="single" w:sz="8" w:space="0" w:color="4F81BD" w:themeColor="accent1"/>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left"/>
              <w:rPr>
                <w:rFonts w:eastAsia="Times New Roman" w:cs="Arial CYR"/>
                <w:b/>
                <w:bCs/>
                <w:color w:val="333399"/>
              </w:rPr>
            </w:pPr>
            <w:r w:rsidRPr="0081227D">
              <w:rPr>
                <w:b/>
                <w:color w:val="1F497D"/>
              </w:rPr>
              <w:t>Table A1. OLS regression of log welfare ratio, 2011</w:t>
            </w:r>
          </w:p>
        </w:tc>
      </w:tr>
      <w:tr w:rsidR="0081227D" w:rsidRPr="0081227D" w:rsidTr="0081227D">
        <w:trPr>
          <w:trHeight w:val="270"/>
        </w:trPr>
        <w:tc>
          <w:tcPr>
            <w:tcW w:w="5657" w:type="dxa"/>
            <w:tcBorders>
              <w:top w:val="single" w:sz="8" w:space="0" w:color="4F81BD" w:themeColor="accent1"/>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 </w:t>
            </w:r>
          </w:p>
        </w:tc>
        <w:tc>
          <w:tcPr>
            <w:tcW w:w="1349" w:type="dxa"/>
            <w:tcBorders>
              <w:top w:val="single" w:sz="8" w:space="0" w:color="4F81BD" w:themeColor="accent1"/>
              <w:bottom w:val="single" w:sz="8" w:space="0" w:color="4F81BD" w:themeColor="accent1"/>
            </w:tcBorders>
            <w:shd w:val="clear" w:color="auto" w:fill="auto"/>
            <w:noWrap/>
            <w:hideMark/>
          </w:tcPr>
          <w:p w:rsidR="0081227D" w:rsidRPr="0081227D" w:rsidRDefault="0081227D" w:rsidP="0081227D">
            <w:pPr>
              <w:spacing w:after="0" w:line="240" w:lineRule="auto"/>
              <w:jc w:val="center"/>
              <w:rPr>
                <w:rFonts w:eastAsia="Times New Roman" w:cs="Arial CYR"/>
                <w:b/>
                <w:bCs/>
                <w:sz w:val="20"/>
                <w:szCs w:val="20"/>
              </w:rPr>
            </w:pPr>
            <w:r w:rsidRPr="0081227D">
              <w:rPr>
                <w:rFonts w:eastAsia="Times New Roman" w:cs="Arial CYR"/>
                <w:b/>
                <w:bCs/>
                <w:sz w:val="20"/>
                <w:szCs w:val="20"/>
              </w:rPr>
              <w:t>Urban areas</w:t>
            </w:r>
          </w:p>
        </w:tc>
        <w:tc>
          <w:tcPr>
            <w:tcW w:w="1282" w:type="dxa"/>
            <w:tcBorders>
              <w:top w:val="single" w:sz="8" w:space="0" w:color="4F81BD" w:themeColor="accent1"/>
              <w:bottom w:val="single" w:sz="8" w:space="0" w:color="4F81BD" w:themeColor="accent1"/>
            </w:tcBorders>
            <w:shd w:val="clear" w:color="auto" w:fill="auto"/>
            <w:noWrap/>
            <w:hideMark/>
          </w:tcPr>
          <w:p w:rsidR="0081227D" w:rsidRPr="0081227D" w:rsidRDefault="0081227D" w:rsidP="0081227D">
            <w:pPr>
              <w:spacing w:after="0" w:line="240" w:lineRule="auto"/>
              <w:jc w:val="center"/>
              <w:rPr>
                <w:rFonts w:eastAsia="Times New Roman" w:cs="Arial CYR"/>
                <w:b/>
                <w:bCs/>
                <w:sz w:val="20"/>
                <w:szCs w:val="20"/>
              </w:rPr>
            </w:pPr>
            <w:r w:rsidRPr="0081227D">
              <w:rPr>
                <w:rFonts w:eastAsia="Times New Roman" w:cs="Arial CYR"/>
                <w:b/>
                <w:bCs/>
                <w:sz w:val="20"/>
                <w:szCs w:val="20"/>
              </w:rPr>
              <w:t>Rural areas</w:t>
            </w:r>
          </w:p>
        </w:tc>
        <w:tc>
          <w:tcPr>
            <w:tcW w:w="1102" w:type="dxa"/>
            <w:tcBorders>
              <w:top w:val="single" w:sz="8" w:space="0" w:color="4F81BD" w:themeColor="accent1"/>
              <w:bottom w:val="single" w:sz="8" w:space="0" w:color="4F81BD" w:themeColor="accent1"/>
            </w:tcBorders>
            <w:shd w:val="clear" w:color="auto" w:fill="auto"/>
            <w:noWrap/>
            <w:hideMark/>
          </w:tcPr>
          <w:p w:rsidR="0081227D" w:rsidRPr="0081227D" w:rsidRDefault="0081227D" w:rsidP="0081227D">
            <w:pPr>
              <w:spacing w:after="0" w:line="240" w:lineRule="auto"/>
              <w:jc w:val="center"/>
              <w:rPr>
                <w:rFonts w:eastAsia="Times New Roman" w:cs="Arial CYR"/>
                <w:b/>
                <w:bCs/>
                <w:sz w:val="20"/>
                <w:szCs w:val="20"/>
              </w:rPr>
            </w:pPr>
            <w:r w:rsidRPr="0081227D">
              <w:rPr>
                <w:rFonts w:eastAsia="Times New Roman" w:cs="Arial CYR"/>
                <w:b/>
                <w:bCs/>
                <w:sz w:val="20"/>
                <w:szCs w:val="20"/>
              </w:rPr>
              <w:t>Bishkek</w:t>
            </w:r>
          </w:p>
        </w:tc>
      </w:tr>
      <w:tr w:rsidR="0081227D" w:rsidRPr="0081227D" w:rsidTr="0081227D">
        <w:trPr>
          <w:trHeight w:val="255"/>
        </w:trPr>
        <w:tc>
          <w:tcPr>
            <w:tcW w:w="9390" w:type="dxa"/>
            <w:gridSpan w:val="4"/>
            <w:tcBorders>
              <w:top w:val="single" w:sz="8" w:space="0" w:color="4F81BD" w:themeColor="accent1"/>
            </w:tcBorders>
            <w:shd w:val="clear" w:color="auto" w:fill="auto"/>
            <w:vAlign w:val="bottom"/>
            <w:hideMark/>
          </w:tcPr>
          <w:p w:rsidR="0081227D" w:rsidRPr="0081227D" w:rsidRDefault="0081227D" w:rsidP="0081227D">
            <w:pPr>
              <w:spacing w:after="0" w:line="240" w:lineRule="auto"/>
              <w:jc w:val="left"/>
              <w:rPr>
                <w:rFonts w:eastAsia="Times New Roman" w:cs="Arial CYR"/>
                <w:b/>
                <w:bCs/>
                <w:sz w:val="20"/>
                <w:szCs w:val="20"/>
              </w:rPr>
            </w:pPr>
            <w:r w:rsidRPr="0081227D">
              <w:rPr>
                <w:rFonts w:eastAsia="Times New Roman" w:cs="Arial CYR"/>
                <w:b/>
                <w:bCs/>
                <w:sz w:val="20"/>
                <w:szCs w:val="20"/>
              </w:rPr>
              <w:t>Demographics</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male</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-0.0115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0.0309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-0.0296</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[0.0291]</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[0.0418]</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[0.0526]</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age</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0.00687***</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0.00426***</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-0.00177</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[0.00114]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[0.00109]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[0.00193]</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lives together with the spouse</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-0.0107</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0.0187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-0.059</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[0.0356]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[0.0584]</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[0.0568]</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is widow/widower</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-0.0915***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0.00173</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-0.00984</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[0.0339]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[0.0511]</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[0.0537]</w:t>
            </w:r>
          </w:p>
        </w:tc>
      </w:tr>
      <w:tr w:rsidR="0081227D" w:rsidRPr="0081227D" w:rsidTr="00AC3DFA">
        <w:trPr>
          <w:trHeight w:val="510"/>
        </w:trPr>
        <w:tc>
          <w:tcPr>
            <w:tcW w:w="5657" w:type="dxa"/>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is single or separated</w:t>
            </w:r>
          </w:p>
        </w:tc>
        <w:tc>
          <w:tcPr>
            <w:tcW w:w="3733" w:type="dxa"/>
            <w:gridSpan w:val="3"/>
            <w:shd w:val="clear" w:color="auto" w:fill="auto"/>
            <w:noWrap/>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base outcome</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Number of children below 2 years</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-0.125***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-0.114***</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-0.173***</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[0.0214]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[0.0195]</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[0.0344]</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Number of children below 3-6 years</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-0.121***</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-0.160***</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-0.113***</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[0.0180]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[0.0145]</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[0.0342]</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Number of children below 7-14 years</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-0.132***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-0.134***</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[0.0106]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[0.0103]</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[0.0217]</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Number of adults, 15-64</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-0.122***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-0.0977***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-0.112***</w:t>
            </w:r>
          </w:p>
        </w:tc>
      </w:tr>
      <w:tr w:rsidR="0081227D" w:rsidRPr="0081227D" w:rsidTr="00AC3DFA">
        <w:trPr>
          <w:trHeight w:val="255"/>
        </w:trPr>
        <w:tc>
          <w:tcPr>
            <w:tcW w:w="5657" w:type="dxa"/>
            <w:vMerge/>
            <w:hideMark/>
          </w:tcPr>
          <w:p w:rsidR="008E48E7" w:rsidRDefault="008E48E7">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[0.0109]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[0.00939]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[0.0141]</w:t>
            </w:r>
          </w:p>
        </w:tc>
      </w:tr>
      <w:tr w:rsidR="0081227D" w:rsidRPr="0081227D" w:rsidTr="00AC3DFA">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Adults, above 65</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-0.139***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-0.112***</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-0.0951**</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[0.0310]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[0.0253]</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[0.0401]</w:t>
            </w:r>
          </w:p>
        </w:tc>
      </w:tr>
      <w:tr w:rsidR="0081227D" w:rsidRPr="0081227D" w:rsidTr="0081227D">
        <w:trPr>
          <w:trHeight w:val="255"/>
        </w:trPr>
        <w:tc>
          <w:tcPr>
            <w:tcW w:w="9390" w:type="dxa"/>
            <w:gridSpan w:val="4"/>
            <w:shd w:val="clear" w:color="auto" w:fill="auto"/>
            <w:vAlign w:val="bottom"/>
            <w:hideMark/>
          </w:tcPr>
          <w:p w:rsidR="0081227D" w:rsidRPr="0081227D" w:rsidRDefault="0081227D" w:rsidP="0081227D">
            <w:pPr>
              <w:spacing w:after="0" w:line="240" w:lineRule="auto"/>
              <w:jc w:val="left"/>
              <w:rPr>
                <w:rFonts w:eastAsia="Times New Roman" w:cs="Arial CYR"/>
                <w:b/>
                <w:bCs/>
                <w:sz w:val="20"/>
                <w:szCs w:val="20"/>
              </w:rPr>
            </w:pPr>
            <w:r w:rsidRPr="0081227D">
              <w:rPr>
                <w:rFonts w:eastAsia="Times New Roman" w:cs="Arial CYR"/>
                <w:b/>
                <w:bCs/>
                <w:sz w:val="20"/>
                <w:szCs w:val="20"/>
              </w:rPr>
              <w:t>Education</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has higher education</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0.189***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0.169***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0.171***</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[0.0295]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[0.0389]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[0.0424]</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has secondary vocational education</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0.0756***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0.0531*</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0.0511</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[0.0277]</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[0.0304]</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[0.0452]</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has basic vocational education</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0.0164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0.0251</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0.148***</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[0.0315]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[0.0355]</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[0.0566]</w:t>
            </w:r>
          </w:p>
        </w:tc>
      </w:tr>
      <w:tr w:rsidR="0081227D" w:rsidRPr="0081227D" w:rsidTr="0081227D">
        <w:trPr>
          <w:trHeight w:val="255"/>
        </w:trPr>
        <w:tc>
          <w:tcPr>
            <w:tcW w:w="5657" w:type="dxa"/>
            <w:shd w:val="clear" w:color="auto" w:fill="auto"/>
            <w:noWrap/>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Head of household has secondary or below education</w:t>
            </w:r>
          </w:p>
        </w:tc>
        <w:tc>
          <w:tcPr>
            <w:tcW w:w="3733" w:type="dxa"/>
            <w:gridSpan w:val="3"/>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base outcome</w:t>
            </w:r>
          </w:p>
        </w:tc>
      </w:tr>
      <w:tr w:rsidR="0081227D" w:rsidRPr="0081227D" w:rsidTr="0081227D">
        <w:trPr>
          <w:trHeight w:val="255"/>
        </w:trPr>
        <w:tc>
          <w:tcPr>
            <w:tcW w:w="9390" w:type="dxa"/>
            <w:gridSpan w:val="4"/>
            <w:shd w:val="clear" w:color="auto" w:fill="auto"/>
            <w:noWrap/>
            <w:vAlign w:val="bottom"/>
            <w:hideMark/>
          </w:tcPr>
          <w:p w:rsidR="0081227D" w:rsidRPr="0081227D" w:rsidRDefault="0081227D" w:rsidP="0081227D">
            <w:pPr>
              <w:spacing w:after="0" w:line="240" w:lineRule="auto"/>
              <w:jc w:val="left"/>
              <w:rPr>
                <w:rFonts w:eastAsia="Times New Roman" w:cs="Arial CYR"/>
                <w:b/>
                <w:bCs/>
                <w:sz w:val="20"/>
                <w:szCs w:val="20"/>
              </w:rPr>
            </w:pPr>
            <w:r w:rsidRPr="0081227D">
              <w:rPr>
                <w:rFonts w:eastAsia="Times New Roman" w:cs="Arial CYR"/>
                <w:b/>
                <w:bCs/>
                <w:sz w:val="20"/>
                <w:szCs w:val="20"/>
              </w:rPr>
              <w:t>Employment</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 xml:space="preserve">Share of </w:t>
            </w:r>
            <w:r w:rsidR="001A075C">
              <w:rPr>
                <w:rFonts w:eastAsia="Times New Roman" w:cs="Arial CYR"/>
                <w:sz w:val="20"/>
                <w:szCs w:val="20"/>
              </w:rPr>
              <w:t xml:space="preserve">locally </w:t>
            </w:r>
            <w:r w:rsidRPr="0081227D">
              <w:rPr>
                <w:rFonts w:eastAsia="Times New Roman" w:cs="Arial CYR"/>
                <w:sz w:val="20"/>
                <w:szCs w:val="20"/>
              </w:rPr>
              <w:t>employed household members</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0.239***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0.113***</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0.161***</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[0.0459]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[0.0427]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[0.0612]</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manager</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0.166***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0.122*</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0.0974</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[0.0491]</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[0.0632]</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[0.0829]</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specialist of high qualification</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0.102***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0.0582</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0.035</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[0.0394]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[0.0539]</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[0.0572]</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specialist of medium qualification</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0.0593</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0.108*</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0.069</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[0.0422]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[0.0555]</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[0.0580]</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clerk</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0.0266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-0.00527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-0.0215</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[0.0600]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[0.0700]</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[0.114]</w:t>
            </w:r>
          </w:p>
        </w:tc>
      </w:tr>
      <w:tr w:rsidR="0081227D" w:rsidRPr="0081227D" w:rsidTr="0081227D">
        <w:trPr>
          <w:trHeight w:val="255"/>
        </w:trPr>
        <w:tc>
          <w:tcPr>
            <w:tcW w:w="5657" w:type="dxa"/>
            <w:vMerge w:val="restart"/>
            <w:shd w:val="clear" w:color="auto" w:fill="auto"/>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services worker</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0.0655**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-0.0476</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-0.00696</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[0.0281]</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[0.0444]</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[0.0414]</w:t>
            </w:r>
          </w:p>
        </w:tc>
      </w:tr>
      <w:tr w:rsidR="0081227D" w:rsidRPr="0081227D" w:rsidTr="0081227D">
        <w:trPr>
          <w:trHeight w:val="510"/>
        </w:trPr>
        <w:tc>
          <w:tcPr>
            <w:tcW w:w="5657" w:type="dxa"/>
            <w:shd w:val="clear" w:color="auto" w:fill="auto"/>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is unqualified worker or is not employed</w:t>
            </w:r>
          </w:p>
        </w:tc>
        <w:tc>
          <w:tcPr>
            <w:tcW w:w="3733" w:type="dxa"/>
            <w:gridSpan w:val="3"/>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base outcome</w:t>
            </w:r>
          </w:p>
        </w:tc>
      </w:tr>
      <w:tr w:rsidR="0081227D" w:rsidRPr="0081227D" w:rsidTr="0081227D">
        <w:trPr>
          <w:trHeight w:val="255"/>
        </w:trPr>
        <w:tc>
          <w:tcPr>
            <w:tcW w:w="5657" w:type="dxa"/>
            <w:vMerge w:val="restart"/>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HH works full time (&gt;38 hours per week)</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0.0900***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0.0478**</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-0.00798</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[0.0315]</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[0.0227]</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[0.0519]</w:t>
            </w: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lastRenderedPageBreak/>
              <w:t>Share of household members working abroad</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0.392***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0.222***</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-0.141</w:t>
            </w:r>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[0.0521]</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[0.0551]</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[0.224]</w:t>
            </w:r>
          </w:p>
        </w:tc>
      </w:tr>
      <w:tr w:rsidR="0081227D" w:rsidRPr="0081227D" w:rsidTr="0081227D">
        <w:trPr>
          <w:trHeight w:val="255"/>
        </w:trPr>
        <w:tc>
          <w:tcPr>
            <w:tcW w:w="9390" w:type="dxa"/>
            <w:gridSpan w:val="4"/>
            <w:shd w:val="clear" w:color="auto" w:fill="auto"/>
            <w:noWrap/>
            <w:vAlign w:val="bottom"/>
            <w:hideMark/>
          </w:tcPr>
          <w:p w:rsidR="0081227D" w:rsidRPr="0081227D" w:rsidRDefault="0081227D" w:rsidP="0081227D">
            <w:pPr>
              <w:spacing w:after="0" w:line="240" w:lineRule="auto"/>
              <w:jc w:val="left"/>
              <w:rPr>
                <w:rFonts w:eastAsia="Times New Roman" w:cs="Arial CYR"/>
                <w:b/>
                <w:bCs/>
                <w:sz w:val="20"/>
                <w:szCs w:val="20"/>
              </w:rPr>
            </w:pPr>
            <w:r w:rsidRPr="0081227D">
              <w:rPr>
                <w:rFonts w:eastAsia="Times New Roman" w:cs="Arial CYR"/>
                <w:b/>
                <w:bCs/>
                <w:sz w:val="20"/>
                <w:szCs w:val="20"/>
              </w:rPr>
              <w:t>Geography</w:t>
            </w: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Issyk-Kul</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-0.0223</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0.0145</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[0.0366]</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[0.0394]</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proofErr w:type="spellStart"/>
            <w:r w:rsidRPr="0081227D">
              <w:rPr>
                <w:rFonts w:eastAsia="Times New Roman" w:cs="Arial CYR"/>
                <w:sz w:val="20"/>
                <w:szCs w:val="20"/>
              </w:rPr>
              <w:t>Jalalabat</w:t>
            </w:r>
            <w:proofErr w:type="spellEnd"/>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-0.194***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-0.137***</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[0.0352]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[0.0327]</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proofErr w:type="spellStart"/>
            <w:r w:rsidRPr="0081227D">
              <w:rPr>
                <w:rFonts w:eastAsia="Times New Roman" w:cs="Arial CYR"/>
                <w:sz w:val="20"/>
                <w:szCs w:val="20"/>
              </w:rPr>
              <w:t>Naryn</w:t>
            </w:r>
            <w:proofErr w:type="spellEnd"/>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-0.121**</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[0.0420]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[0.0482]</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proofErr w:type="spellStart"/>
            <w:r w:rsidRPr="0081227D">
              <w:rPr>
                <w:rFonts w:eastAsia="Times New Roman" w:cs="Arial CYR"/>
                <w:sz w:val="20"/>
                <w:szCs w:val="20"/>
              </w:rPr>
              <w:t>Batken</w:t>
            </w:r>
            <w:proofErr w:type="spellEnd"/>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0.059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0.0395</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[0.0412]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[0.0435]</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Osh</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-0.109***</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-0.109***</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[0.0364]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[0.0323]</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vMerge w:val="restart"/>
            <w:shd w:val="clear" w:color="auto" w:fill="auto"/>
            <w:noWrap/>
            <w:hideMark/>
          </w:tcPr>
          <w:p w:rsidR="0081227D" w:rsidRPr="0081227D" w:rsidRDefault="0081227D" w:rsidP="0081227D">
            <w:pPr>
              <w:spacing w:after="0" w:line="240" w:lineRule="auto"/>
              <w:jc w:val="left"/>
              <w:rPr>
                <w:rFonts w:eastAsia="Times New Roman" w:cs="Arial CYR"/>
                <w:sz w:val="20"/>
                <w:szCs w:val="20"/>
              </w:rPr>
            </w:pPr>
            <w:proofErr w:type="spellStart"/>
            <w:r w:rsidRPr="0081227D">
              <w:rPr>
                <w:rFonts w:eastAsia="Times New Roman" w:cs="Arial CYR"/>
                <w:sz w:val="20"/>
                <w:szCs w:val="20"/>
              </w:rPr>
              <w:t>Talas</w:t>
            </w:r>
            <w:proofErr w:type="spellEnd"/>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-0.204***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-0.0671*</w:t>
            </w:r>
          </w:p>
        </w:tc>
        <w:tc>
          <w:tcPr>
            <w:tcW w:w="1102" w:type="dxa"/>
            <w:vMerge w:val="restart"/>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[0.0374]</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[0.0358]</w:t>
            </w:r>
          </w:p>
        </w:tc>
        <w:tc>
          <w:tcPr>
            <w:tcW w:w="1102" w:type="dxa"/>
            <w:vMerge/>
            <w:vAlign w:val="center"/>
            <w:hideMark/>
          </w:tcPr>
          <w:p w:rsidR="0081227D" w:rsidRPr="0081227D" w:rsidRDefault="0081227D" w:rsidP="0081227D">
            <w:pPr>
              <w:spacing w:after="0" w:line="240" w:lineRule="auto"/>
              <w:jc w:val="left"/>
              <w:rPr>
                <w:rFonts w:eastAsia="Times New Roman" w:cs="Arial CYR"/>
                <w:sz w:val="20"/>
                <w:szCs w:val="20"/>
              </w:rPr>
            </w:pPr>
          </w:p>
        </w:tc>
      </w:tr>
      <w:tr w:rsidR="0081227D" w:rsidRPr="0081227D" w:rsidTr="0081227D">
        <w:trPr>
          <w:trHeight w:val="255"/>
        </w:trPr>
        <w:tc>
          <w:tcPr>
            <w:tcW w:w="5657" w:type="dxa"/>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 xml:space="preserve">Bishkek and Chui </w:t>
            </w:r>
          </w:p>
        </w:tc>
        <w:tc>
          <w:tcPr>
            <w:tcW w:w="2631" w:type="dxa"/>
            <w:gridSpan w:val="2"/>
            <w:shd w:val="clear" w:color="auto" w:fill="auto"/>
            <w:noWrap/>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base outcome</w:t>
            </w:r>
          </w:p>
        </w:tc>
        <w:tc>
          <w:tcPr>
            <w:tcW w:w="1102" w:type="dxa"/>
            <w:shd w:val="clear" w:color="auto" w:fill="auto"/>
            <w:noWrap/>
            <w:hideMark/>
          </w:tcPr>
          <w:p w:rsidR="0081227D" w:rsidRPr="0081227D" w:rsidRDefault="0081227D" w:rsidP="0081227D">
            <w:pPr>
              <w:spacing w:after="0" w:line="240" w:lineRule="auto"/>
              <w:jc w:val="center"/>
              <w:rPr>
                <w:rFonts w:eastAsia="Times New Roman" w:cs="Arial CYR"/>
                <w:sz w:val="20"/>
                <w:szCs w:val="20"/>
              </w:rPr>
            </w:pPr>
            <w:proofErr w:type="spellStart"/>
            <w:r w:rsidRPr="0081227D">
              <w:rPr>
                <w:rFonts w:eastAsia="Times New Roman" w:cs="Arial CYR"/>
                <w:sz w:val="20"/>
                <w:szCs w:val="20"/>
              </w:rPr>
              <w:t>na</w:t>
            </w:r>
            <w:proofErr w:type="spellEnd"/>
          </w:p>
        </w:tc>
      </w:tr>
      <w:tr w:rsidR="0081227D" w:rsidRPr="0081227D" w:rsidTr="0081227D">
        <w:trPr>
          <w:trHeight w:val="255"/>
        </w:trPr>
        <w:tc>
          <w:tcPr>
            <w:tcW w:w="5657" w:type="dxa"/>
            <w:vMerge w:val="restart"/>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Constant</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0.272***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0.344***</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0.845***</w:t>
            </w:r>
          </w:p>
        </w:tc>
      </w:tr>
      <w:tr w:rsidR="0081227D" w:rsidRPr="0081227D" w:rsidTr="0081227D">
        <w:trPr>
          <w:trHeight w:val="270"/>
        </w:trPr>
        <w:tc>
          <w:tcPr>
            <w:tcW w:w="5657" w:type="dxa"/>
            <w:vMerge/>
            <w:vAlign w:val="center"/>
            <w:hideMark/>
          </w:tcPr>
          <w:p w:rsidR="0081227D" w:rsidRPr="0081227D" w:rsidRDefault="0081227D" w:rsidP="0081227D">
            <w:pPr>
              <w:spacing w:after="0" w:line="240" w:lineRule="auto"/>
              <w:jc w:val="left"/>
              <w:rPr>
                <w:rFonts w:eastAsia="Times New Roman" w:cs="Arial CYR"/>
                <w:sz w:val="20"/>
                <w:szCs w:val="20"/>
              </w:rPr>
            </w:pP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[0.0662]</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[0.0725]</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[0.117]</w:t>
            </w:r>
          </w:p>
        </w:tc>
      </w:tr>
      <w:tr w:rsidR="0081227D" w:rsidRPr="0081227D" w:rsidTr="0081227D">
        <w:trPr>
          <w:trHeight w:val="255"/>
        </w:trPr>
        <w:tc>
          <w:tcPr>
            <w:tcW w:w="5657" w:type="dxa"/>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Observations</w:t>
            </w:r>
          </w:p>
        </w:tc>
        <w:tc>
          <w:tcPr>
            <w:tcW w:w="1349"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2270</w:t>
            </w:r>
          </w:p>
        </w:tc>
        <w:tc>
          <w:tcPr>
            <w:tcW w:w="128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1933</w:t>
            </w:r>
          </w:p>
        </w:tc>
        <w:tc>
          <w:tcPr>
            <w:tcW w:w="1102" w:type="dxa"/>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775</w:t>
            </w:r>
          </w:p>
        </w:tc>
      </w:tr>
      <w:tr w:rsidR="0081227D" w:rsidRPr="0081227D" w:rsidTr="0081227D">
        <w:trPr>
          <w:trHeight w:val="255"/>
        </w:trPr>
        <w:tc>
          <w:tcPr>
            <w:tcW w:w="5657" w:type="dxa"/>
            <w:tcBorders>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left"/>
              <w:rPr>
                <w:rFonts w:eastAsia="Times New Roman" w:cs="Arial CYR"/>
                <w:sz w:val="20"/>
                <w:szCs w:val="20"/>
              </w:rPr>
            </w:pPr>
            <w:r w:rsidRPr="0081227D">
              <w:rPr>
                <w:rFonts w:eastAsia="Times New Roman" w:cs="Arial CYR"/>
                <w:sz w:val="20"/>
                <w:szCs w:val="20"/>
              </w:rPr>
              <w:t>R-squared</w:t>
            </w:r>
          </w:p>
        </w:tc>
        <w:tc>
          <w:tcPr>
            <w:tcW w:w="1349" w:type="dxa"/>
            <w:tcBorders>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0.524</w:t>
            </w:r>
          </w:p>
        </w:tc>
        <w:tc>
          <w:tcPr>
            <w:tcW w:w="1282" w:type="dxa"/>
            <w:tcBorders>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0.439</w:t>
            </w:r>
          </w:p>
        </w:tc>
        <w:tc>
          <w:tcPr>
            <w:tcW w:w="1102" w:type="dxa"/>
            <w:tcBorders>
              <w:bottom w:val="single" w:sz="8" w:space="0" w:color="4F81BD" w:themeColor="accent1"/>
            </w:tcBorders>
            <w:shd w:val="clear" w:color="auto" w:fill="auto"/>
            <w:noWrap/>
            <w:vAlign w:val="bottom"/>
            <w:hideMark/>
          </w:tcPr>
          <w:p w:rsidR="0081227D" w:rsidRPr="0081227D" w:rsidRDefault="0081227D" w:rsidP="0081227D">
            <w:pPr>
              <w:spacing w:after="0" w:line="240" w:lineRule="auto"/>
              <w:jc w:val="center"/>
              <w:rPr>
                <w:rFonts w:eastAsia="Times New Roman" w:cs="Arial CYR"/>
                <w:sz w:val="20"/>
                <w:szCs w:val="20"/>
              </w:rPr>
            </w:pPr>
            <w:r w:rsidRPr="0081227D">
              <w:rPr>
                <w:rFonts w:eastAsia="Times New Roman" w:cs="Arial CYR"/>
                <w:sz w:val="20"/>
                <w:szCs w:val="20"/>
              </w:rPr>
              <w:t>0.368</w:t>
            </w:r>
          </w:p>
        </w:tc>
      </w:tr>
      <w:tr w:rsidR="0081227D" w:rsidRPr="0081227D" w:rsidTr="0081227D">
        <w:trPr>
          <w:trHeight w:val="255"/>
        </w:trPr>
        <w:tc>
          <w:tcPr>
            <w:tcW w:w="9390" w:type="dxa"/>
            <w:gridSpan w:val="4"/>
            <w:tcBorders>
              <w:top w:val="single" w:sz="8" w:space="0" w:color="4F81BD" w:themeColor="accent1"/>
              <w:bottom w:val="nil"/>
            </w:tcBorders>
            <w:shd w:val="clear" w:color="auto" w:fill="auto"/>
            <w:noWrap/>
            <w:vAlign w:val="bottom"/>
            <w:hideMark/>
          </w:tcPr>
          <w:p w:rsidR="0081227D" w:rsidRPr="0081227D" w:rsidRDefault="0081227D" w:rsidP="0081227D">
            <w:pPr>
              <w:spacing w:after="0" w:line="240" w:lineRule="auto"/>
              <w:rPr>
                <w:rFonts w:eastAsia="Times New Roman" w:cs="Arial CYR"/>
                <w:i/>
                <w:iCs/>
                <w:sz w:val="20"/>
                <w:szCs w:val="20"/>
              </w:rPr>
            </w:pPr>
            <w:r w:rsidRPr="0081227D">
              <w:rPr>
                <w:rFonts w:eastAsia="Times New Roman" w:cs="Arial CYR"/>
                <w:i/>
                <w:iCs/>
                <w:sz w:val="20"/>
                <w:szCs w:val="20"/>
              </w:rPr>
              <w:t>Source:</w:t>
            </w:r>
            <w:r w:rsidRPr="0081227D">
              <w:rPr>
                <w:rFonts w:eastAsia="Times New Roman" w:cs="Arial CYR"/>
                <w:sz w:val="20"/>
                <w:szCs w:val="20"/>
              </w:rPr>
              <w:t xml:space="preserve">  KIHS, World Bank staff calculations.  </w:t>
            </w:r>
          </w:p>
        </w:tc>
      </w:tr>
      <w:tr w:rsidR="0081227D" w:rsidRPr="0081227D" w:rsidTr="0081227D">
        <w:trPr>
          <w:trHeight w:val="270"/>
        </w:trPr>
        <w:tc>
          <w:tcPr>
            <w:tcW w:w="9390" w:type="dxa"/>
            <w:gridSpan w:val="4"/>
            <w:tcBorders>
              <w:top w:val="nil"/>
              <w:bottom w:val="single" w:sz="8" w:space="0" w:color="4F81BD" w:themeColor="accent1"/>
            </w:tcBorders>
            <w:shd w:val="clear" w:color="auto" w:fill="auto"/>
            <w:noWrap/>
            <w:vAlign w:val="bottom"/>
            <w:hideMark/>
          </w:tcPr>
          <w:p w:rsidR="0081227D" w:rsidRPr="0081227D" w:rsidRDefault="0081227D" w:rsidP="0081227D">
            <w:pPr>
              <w:spacing w:after="0" w:line="240" w:lineRule="auto"/>
              <w:rPr>
                <w:rFonts w:eastAsia="Times New Roman" w:cs="Arial CYR"/>
                <w:i/>
                <w:iCs/>
                <w:sz w:val="20"/>
                <w:szCs w:val="20"/>
              </w:rPr>
            </w:pPr>
            <w:r w:rsidRPr="0081227D">
              <w:rPr>
                <w:rFonts w:eastAsia="Times New Roman" w:cs="Arial CYR"/>
                <w:i/>
                <w:iCs/>
                <w:sz w:val="20"/>
                <w:szCs w:val="20"/>
              </w:rPr>
              <w:t>Notes</w:t>
            </w:r>
            <w:r w:rsidRPr="0081227D">
              <w:rPr>
                <w:rFonts w:eastAsia="Times New Roman" w:cs="Arial CYR"/>
                <w:sz w:val="20"/>
                <w:szCs w:val="20"/>
              </w:rPr>
              <w:t xml:space="preserve">: *** significant at 1%, ** significant at 5%, significant at 10%. Standard errors are the brackets. The dependent variable is log of welfare ratio. Estimation takes into account complex survey design. </w:t>
            </w:r>
          </w:p>
        </w:tc>
      </w:tr>
    </w:tbl>
    <w:p w:rsidR="0081227D" w:rsidRDefault="0081227D" w:rsidP="00F43220"/>
    <w:p w:rsidR="0081227D" w:rsidRDefault="0081227D" w:rsidP="00F43220"/>
    <w:p w:rsidR="00F2661C" w:rsidRDefault="00F2661C" w:rsidP="00F43220"/>
    <w:p w:rsidR="00F2661C" w:rsidRDefault="00F2661C" w:rsidP="00F43220"/>
    <w:p w:rsidR="00F2661C" w:rsidRDefault="00F2661C" w:rsidP="00F43220"/>
    <w:p w:rsidR="00F2661C" w:rsidRDefault="00F2661C" w:rsidP="00F43220"/>
    <w:p w:rsidR="00F2661C" w:rsidRDefault="00F2661C" w:rsidP="00F43220"/>
    <w:p w:rsidR="00F2661C" w:rsidRDefault="00F2661C" w:rsidP="00F43220"/>
    <w:p w:rsidR="0081227D" w:rsidRDefault="0081227D" w:rsidP="00F43220"/>
    <w:p w:rsidR="0081227D" w:rsidRDefault="0081227D" w:rsidP="00F43220"/>
    <w:p w:rsidR="0081227D" w:rsidRDefault="0081227D" w:rsidP="00F43220"/>
    <w:p w:rsidR="0081227D" w:rsidRDefault="0081227D" w:rsidP="00F43220"/>
    <w:p w:rsidR="0081227D" w:rsidRDefault="0081227D" w:rsidP="00F43220"/>
    <w:p w:rsidR="0081227D" w:rsidRDefault="0081227D" w:rsidP="00F43220"/>
    <w:tbl>
      <w:tblPr>
        <w:tblW w:w="9218" w:type="dxa"/>
        <w:tblInd w:w="108" w:type="dxa"/>
        <w:tblBorders>
          <w:top w:val="single" w:sz="4" w:space="0" w:color="4F81BD" w:themeColor="accent1"/>
          <w:bottom w:val="single" w:sz="4" w:space="0" w:color="4F81BD" w:themeColor="accent1"/>
        </w:tblBorders>
        <w:tblLook w:val="0000" w:firstRow="0" w:lastRow="0" w:firstColumn="0" w:lastColumn="0" w:noHBand="0" w:noVBand="0"/>
      </w:tblPr>
      <w:tblGrid>
        <w:gridCol w:w="4180"/>
        <w:gridCol w:w="968"/>
        <w:gridCol w:w="792"/>
        <w:gridCol w:w="660"/>
        <w:gridCol w:w="1210"/>
        <w:gridCol w:w="1408"/>
      </w:tblGrid>
      <w:tr w:rsidR="00F15235" w:rsidRPr="005E3199" w:rsidTr="00B71829">
        <w:trPr>
          <w:trHeight w:val="255"/>
        </w:trPr>
        <w:tc>
          <w:tcPr>
            <w:tcW w:w="9218" w:type="dxa"/>
            <w:gridSpan w:val="6"/>
            <w:tcBorders>
              <w:top w:val="single" w:sz="4" w:space="0" w:color="4F81BD" w:themeColor="accent1"/>
              <w:bottom w:val="single" w:sz="4" w:space="0" w:color="4F81BD" w:themeColor="accent1"/>
            </w:tcBorders>
            <w:noWrap/>
            <w:tcMar>
              <w:left w:w="28" w:type="dxa"/>
              <w:right w:w="28" w:type="dxa"/>
            </w:tcMar>
            <w:vAlign w:val="bottom"/>
          </w:tcPr>
          <w:p w:rsidR="00F15235" w:rsidRPr="005E3199" w:rsidRDefault="00F15235" w:rsidP="00162FF8">
            <w:pPr>
              <w:spacing w:after="0" w:line="240" w:lineRule="auto"/>
              <w:jc w:val="left"/>
              <w:rPr>
                <w:lang w:eastAsia="ru-RU"/>
              </w:rPr>
            </w:pPr>
            <w:r w:rsidRPr="005E3199">
              <w:rPr>
                <w:b/>
                <w:color w:val="1F497D"/>
              </w:rPr>
              <w:lastRenderedPageBreak/>
              <w:t>Table A2. Test of equality of means</w:t>
            </w:r>
          </w:p>
        </w:tc>
      </w:tr>
      <w:tr w:rsidR="00F15235" w:rsidRPr="005E3199" w:rsidTr="00B71829">
        <w:trPr>
          <w:trHeight w:val="255"/>
        </w:trPr>
        <w:tc>
          <w:tcPr>
            <w:tcW w:w="4180" w:type="dxa"/>
            <w:tcBorders>
              <w:top w:val="single" w:sz="4" w:space="0" w:color="4F81BD" w:themeColor="accent1"/>
              <w:bottom w:val="nil"/>
            </w:tcBorders>
            <w:noWrap/>
            <w:tcMar>
              <w:left w:w="28" w:type="dxa"/>
              <w:right w:w="28" w:type="dxa"/>
            </w:tcMar>
            <w:vAlign w:val="bottom"/>
          </w:tcPr>
          <w:p w:rsidR="00F15235" w:rsidRPr="005E3199" w:rsidRDefault="00F15235" w:rsidP="00162FF8">
            <w:pPr>
              <w:spacing w:after="0" w:line="240" w:lineRule="auto"/>
              <w:jc w:val="left"/>
              <w:rPr>
                <w:sz w:val="20"/>
                <w:szCs w:val="20"/>
                <w:lang w:eastAsia="ru-RU"/>
              </w:rPr>
            </w:pPr>
          </w:p>
        </w:tc>
        <w:tc>
          <w:tcPr>
            <w:tcW w:w="968" w:type="dxa"/>
            <w:tcBorders>
              <w:top w:val="single" w:sz="4" w:space="0" w:color="4F81BD" w:themeColor="accent1"/>
              <w:bottom w:val="nil"/>
            </w:tcBorders>
            <w:noWrap/>
            <w:tcMar>
              <w:left w:w="28" w:type="dxa"/>
              <w:right w:w="28" w:type="dxa"/>
            </w:tcMar>
            <w:vAlign w:val="bottom"/>
          </w:tcPr>
          <w:p w:rsidR="00F15235" w:rsidRPr="005E3199" w:rsidRDefault="00F15235" w:rsidP="00162FF8">
            <w:pPr>
              <w:spacing w:after="0" w:line="240" w:lineRule="auto"/>
              <w:jc w:val="left"/>
              <w:rPr>
                <w:sz w:val="20"/>
                <w:szCs w:val="20"/>
                <w:lang w:eastAsia="ru-RU"/>
              </w:rPr>
            </w:pPr>
          </w:p>
        </w:tc>
        <w:tc>
          <w:tcPr>
            <w:tcW w:w="792" w:type="dxa"/>
            <w:tcBorders>
              <w:top w:val="single" w:sz="4" w:space="0" w:color="4F81BD" w:themeColor="accent1"/>
              <w:bottom w:val="nil"/>
            </w:tcBorders>
            <w:noWrap/>
            <w:tcMar>
              <w:left w:w="28" w:type="dxa"/>
              <w:right w:w="28" w:type="dxa"/>
            </w:tcMar>
            <w:vAlign w:val="bottom"/>
          </w:tcPr>
          <w:p w:rsidR="00F15235" w:rsidRPr="005E3199" w:rsidRDefault="00F15235" w:rsidP="00162FF8">
            <w:pPr>
              <w:spacing w:after="0" w:line="240" w:lineRule="auto"/>
              <w:jc w:val="left"/>
              <w:rPr>
                <w:sz w:val="20"/>
                <w:szCs w:val="20"/>
                <w:lang w:eastAsia="ru-RU"/>
              </w:rPr>
            </w:pPr>
          </w:p>
        </w:tc>
        <w:tc>
          <w:tcPr>
            <w:tcW w:w="660" w:type="dxa"/>
            <w:tcBorders>
              <w:top w:val="single" w:sz="4" w:space="0" w:color="4F81BD" w:themeColor="accent1"/>
              <w:bottom w:val="nil"/>
            </w:tcBorders>
            <w:noWrap/>
            <w:tcMar>
              <w:left w:w="28" w:type="dxa"/>
              <w:right w:w="28" w:type="dxa"/>
            </w:tcMar>
            <w:vAlign w:val="bottom"/>
          </w:tcPr>
          <w:p w:rsidR="00F15235" w:rsidRPr="005E3199" w:rsidRDefault="00F15235" w:rsidP="00162FF8">
            <w:pPr>
              <w:spacing w:after="0" w:line="240" w:lineRule="auto"/>
              <w:jc w:val="left"/>
              <w:rPr>
                <w:sz w:val="20"/>
                <w:szCs w:val="20"/>
                <w:lang w:eastAsia="ru-RU"/>
              </w:rPr>
            </w:pPr>
          </w:p>
        </w:tc>
        <w:tc>
          <w:tcPr>
            <w:tcW w:w="2618" w:type="dxa"/>
            <w:gridSpan w:val="2"/>
            <w:tcBorders>
              <w:top w:val="single" w:sz="4" w:space="0" w:color="4F81BD" w:themeColor="accent1"/>
              <w:bottom w:val="nil"/>
            </w:tcBorders>
            <w:noWrap/>
            <w:tcMar>
              <w:left w:w="28" w:type="dxa"/>
              <w:right w:w="28" w:type="dxa"/>
            </w:tcMar>
            <w:vAlign w:val="bottom"/>
          </w:tcPr>
          <w:p w:rsidR="00F15235" w:rsidRPr="005E3199" w:rsidRDefault="00FE0FB8" w:rsidP="00162FF8">
            <w:pPr>
              <w:spacing w:after="0" w:line="240" w:lineRule="auto"/>
              <w:jc w:val="center"/>
              <w:rPr>
                <w:sz w:val="20"/>
                <w:szCs w:val="20"/>
                <w:lang w:eastAsia="ru-RU"/>
              </w:rPr>
            </w:pPr>
            <w:r>
              <w:rPr>
                <w:sz w:val="20"/>
                <w:szCs w:val="20"/>
                <w:lang w:eastAsia="ru-RU"/>
              </w:rPr>
              <w:t xml:space="preserve">T and </w:t>
            </w:r>
            <w:r w:rsidR="00F15235" w:rsidRPr="005E3199">
              <w:rPr>
                <w:sz w:val="20"/>
                <w:szCs w:val="20"/>
                <w:lang w:eastAsia="ru-RU"/>
              </w:rPr>
              <w:t>F-statistics</w:t>
            </w:r>
          </w:p>
        </w:tc>
      </w:tr>
      <w:tr w:rsidR="00F15235" w:rsidRPr="005E3199" w:rsidTr="00795E1C">
        <w:trPr>
          <w:trHeight w:val="255"/>
        </w:trPr>
        <w:tc>
          <w:tcPr>
            <w:tcW w:w="4180" w:type="dxa"/>
            <w:tcBorders>
              <w:top w:val="nil"/>
              <w:bottom w:val="single" w:sz="4" w:space="0" w:color="4F81BD" w:themeColor="accent1"/>
            </w:tcBorders>
            <w:noWrap/>
            <w:tcMar>
              <w:left w:w="28" w:type="dxa"/>
              <w:right w:w="28" w:type="dxa"/>
            </w:tcMar>
            <w:vAlign w:val="bottom"/>
          </w:tcPr>
          <w:p w:rsidR="00F15235" w:rsidRPr="005E3199" w:rsidRDefault="00F15235" w:rsidP="00162FF8">
            <w:pPr>
              <w:spacing w:after="0" w:line="240" w:lineRule="auto"/>
              <w:jc w:val="left"/>
              <w:rPr>
                <w:sz w:val="20"/>
                <w:szCs w:val="20"/>
                <w:lang w:eastAsia="ru-RU"/>
              </w:rPr>
            </w:pPr>
          </w:p>
        </w:tc>
        <w:tc>
          <w:tcPr>
            <w:tcW w:w="968" w:type="dxa"/>
            <w:tcBorders>
              <w:top w:val="nil"/>
              <w:bottom w:val="single" w:sz="4" w:space="0" w:color="4F81BD" w:themeColor="accent1"/>
            </w:tcBorders>
            <w:noWrap/>
            <w:tcMar>
              <w:left w:w="28" w:type="dxa"/>
              <w:right w:w="28" w:type="dxa"/>
            </w:tcMar>
          </w:tcPr>
          <w:p w:rsidR="00F15235" w:rsidRPr="005E3199" w:rsidRDefault="00F15235" w:rsidP="00162FF8">
            <w:pPr>
              <w:spacing w:after="0" w:line="240" w:lineRule="auto"/>
              <w:jc w:val="center"/>
              <w:rPr>
                <w:sz w:val="20"/>
                <w:szCs w:val="20"/>
                <w:lang w:eastAsia="ru-RU"/>
              </w:rPr>
            </w:pPr>
            <w:r w:rsidRPr="005E3199">
              <w:rPr>
                <w:sz w:val="20"/>
                <w:szCs w:val="20"/>
                <w:lang w:eastAsia="ru-RU"/>
              </w:rPr>
              <w:t>Bishkek</w:t>
            </w:r>
          </w:p>
        </w:tc>
        <w:tc>
          <w:tcPr>
            <w:tcW w:w="792" w:type="dxa"/>
            <w:tcBorders>
              <w:top w:val="nil"/>
              <w:bottom w:val="single" w:sz="4" w:space="0" w:color="4F81BD" w:themeColor="accent1"/>
            </w:tcBorders>
            <w:noWrap/>
            <w:tcMar>
              <w:left w:w="28" w:type="dxa"/>
              <w:right w:w="28" w:type="dxa"/>
            </w:tcMar>
          </w:tcPr>
          <w:p w:rsidR="00F15235" w:rsidRPr="005E3199" w:rsidRDefault="00F15235" w:rsidP="00162FF8">
            <w:pPr>
              <w:spacing w:after="0" w:line="240" w:lineRule="auto"/>
              <w:jc w:val="center"/>
              <w:rPr>
                <w:sz w:val="20"/>
                <w:szCs w:val="20"/>
                <w:lang w:eastAsia="ru-RU"/>
              </w:rPr>
            </w:pPr>
            <w:r w:rsidRPr="005E3199">
              <w:rPr>
                <w:sz w:val="20"/>
                <w:szCs w:val="20"/>
                <w:lang w:eastAsia="ru-RU"/>
              </w:rPr>
              <w:t>Urban</w:t>
            </w:r>
          </w:p>
        </w:tc>
        <w:tc>
          <w:tcPr>
            <w:tcW w:w="660" w:type="dxa"/>
            <w:tcBorders>
              <w:top w:val="nil"/>
              <w:bottom w:val="single" w:sz="4" w:space="0" w:color="4F81BD" w:themeColor="accent1"/>
            </w:tcBorders>
            <w:noWrap/>
            <w:tcMar>
              <w:left w:w="28" w:type="dxa"/>
              <w:right w:w="28" w:type="dxa"/>
            </w:tcMar>
          </w:tcPr>
          <w:p w:rsidR="00F15235" w:rsidRPr="005E3199" w:rsidRDefault="00F15235" w:rsidP="00162FF8">
            <w:pPr>
              <w:spacing w:after="0" w:line="240" w:lineRule="auto"/>
              <w:jc w:val="center"/>
              <w:rPr>
                <w:sz w:val="20"/>
                <w:szCs w:val="20"/>
                <w:lang w:eastAsia="ru-RU"/>
              </w:rPr>
            </w:pPr>
            <w:r w:rsidRPr="005E3199">
              <w:rPr>
                <w:sz w:val="20"/>
                <w:szCs w:val="20"/>
                <w:lang w:eastAsia="ru-RU"/>
              </w:rPr>
              <w:t>Rural</w:t>
            </w:r>
          </w:p>
        </w:tc>
        <w:tc>
          <w:tcPr>
            <w:tcW w:w="1210" w:type="dxa"/>
            <w:tcBorders>
              <w:top w:val="nil"/>
              <w:bottom w:val="single" w:sz="4" w:space="0" w:color="4F81BD" w:themeColor="accent1"/>
            </w:tcBorders>
            <w:noWrap/>
            <w:tcMar>
              <w:left w:w="28" w:type="dxa"/>
              <w:right w:w="28" w:type="dxa"/>
            </w:tcMar>
          </w:tcPr>
          <w:p w:rsidR="00F15235" w:rsidRPr="005E3199" w:rsidRDefault="00F15235" w:rsidP="00162FF8">
            <w:pPr>
              <w:spacing w:after="0" w:line="240" w:lineRule="auto"/>
              <w:jc w:val="center"/>
              <w:rPr>
                <w:sz w:val="20"/>
                <w:szCs w:val="20"/>
                <w:lang w:eastAsia="ru-RU"/>
              </w:rPr>
            </w:pPr>
            <w:r w:rsidRPr="005E3199">
              <w:rPr>
                <w:sz w:val="20"/>
                <w:szCs w:val="20"/>
                <w:lang w:eastAsia="ru-RU"/>
              </w:rPr>
              <w:t>Bishkek versus urban areas</w:t>
            </w:r>
          </w:p>
        </w:tc>
        <w:tc>
          <w:tcPr>
            <w:tcW w:w="1408" w:type="dxa"/>
            <w:tcBorders>
              <w:top w:val="nil"/>
              <w:bottom w:val="single" w:sz="4" w:space="0" w:color="4F81BD" w:themeColor="accent1"/>
            </w:tcBorders>
            <w:noWrap/>
            <w:tcMar>
              <w:left w:w="28" w:type="dxa"/>
              <w:right w:w="28" w:type="dxa"/>
            </w:tcMar>
          </w:tcPr>
          <w:p w:rsidR="00F15235" w:rsidRPr="005E3199" w:rsidRDefault="00F15235" w:rsidP="00162FF8">
            <w:pPr>
              <w:spacing w:after="0" w:line="240" w:lineRule="auto"/>
              <w:jc w:val="center"/>
              <w:rPr>
                <w:sz w:val="20"/>
                <w:szCs w:val="20"/>
                <w:lang w:eastAsia="ru-RU"/>
              </w:rPr>
            </w:pPr>
            <w:r w:rsidRPr="005E3199">
              <w:rPr>
                <w:sz w:val="20"/>
                <w:szCs w:val="20"/>
                <w:lang w:eastAsia="ru-RU"/>
              </w:rPr>
              <w:t>Bishkek versus rural areas</w:t>
            </w:r>
          </w:p>
        </w:tc>
      </w:tr>
      <w:tr w:rsidR="008320BB" w:rsidRPr="008320BB" w:rsidTr="008320BB">
        <w:trPr>
          <w:trHeight w:val="255"/>
        </w:trPr>
        <w:tc>
          <w:tcPr>
            <w:tcW w:w="4180" w:type="dxa"/>
            <w:tcBorders>
              <w:top w:val="single" w:sz="4" w:space="0" w:color="4F81BD" w:themeColor="accent1"/>
            </w:tcBorders>
            <w:noWrap/>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is male</w:t>
            </w:r>
          </w:p>
        </w:tc>
        <w:tc>
          <w:tcPr>
            <w:tcW w:w="968" w:type="dxa"/>
            <w:tcBorders>
              <w:top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0.6</w:t>
            </w:r>
          </w:p>
        </w:tc>
        <w:tc>
          <w:tcPr>
            <w:tcW w:w="792" w:type="dxa"/>
            <w:tcBorders>
              <w:top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w:t>
            </w:r>
          </w:p>
        </w:tc>
        <w:tc>
          <w:tcPr>
            <w:tcW w:w="660" w:type="dxa"/>
            <w:tcBorders>
              <w:top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w:t>
            </w:r>
          </w:p>
        </w:tc>
        <w:tc>
          <w:tcPr>
            <w:tcW w:w="1210" w:type="dxa"/>
            <w:tcBorders>
              <w:top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0.8</w:t>
            </w:r>
          </w:p>
        </w:tc>
        <w:tc>
          <w:tcPr>
            <w:tcW w:w="1408" w:type="dxa"/>
            <w:tcBorders>
              <w:top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5.27**</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age</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48.0</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50.5</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52.2</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13.5***</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34.26***</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Head of household lives together with the spouse</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1.0</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Head of household is widow/widower</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0.14</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0.21</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4.10**</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21.10***</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Number of children below 2 years</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4.85**</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11.66***</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Number of children below 3-6 years</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0.4</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10.79***</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13.81***</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Number of children below 7-14 years</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0.6</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0.8</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0.9</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0.001***</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36.46***</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Number of adults, 15-64</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2.7</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3.0</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3.0</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9.10***</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20.4***</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Adults, above 65</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5.13**</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head of household has higher education</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0.4</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61.22***</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145.05***</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head of household has secondary vocational education</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0.2</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2.1</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head of household has basic vocational education</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1.0</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4.16**</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Share of employed household members</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0.42</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0.38</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0.41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9.74***</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0.3</w:t>
            </w:r>
          </w:p>
        </w:tc>
      </w:tr>
      <w:tr w:rsidR="008320BB" w:rsidRPr="008320BB" w:rsidTr="008320BB">
        <w:trPr>
          <w:trHeight w:val="255"/>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is manager</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0.04</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0.03</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1.7</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12.42***</w:t>
            </w:r>
          </w:p>
        </w:tc>
      </w:tr>
      <w:tr w:rsidR="008320BB" w:rsidRPr="008320BB" w:rsidTr="008320BB">
        <w:trPr>
          <w:trHeight w:val="96"/>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is specialist of high qualification</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0.14</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0.07</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0.04</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14.56***</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33.36***</w:t>
            </w:r>
          </w:p>
        </w:tc>
      </w:tr>
      <w:tr w:rsidR="008320BB" w:rsidRPr="008320BB" w:rsidTr="008320BB">
        <w:trPr>
          <w:trHeight w:val="80"/>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is specialist of medium qualification</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0.06</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0.06</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0.04</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2.0</w:t>
            </w:r>
          </w:p>
        </w:tc>
      </w:tr>
      <w:tr w:rsidR="008320BB" w:rsidRPr="008320BB" w:rsidTr="008320BB">
        <w:trPr>
          <w:trHeight w:val="255"/>
        </w:trPr>
        <w:tc>
          <w:tcPr>
            <w:tcW w:w="4180" w:type="dxa"/>
            <w:tcMar>
              <w:left w:w="28" w:type="dxa"/>
              <w:right w:w="28" w:type="dxa"/>
            </w:tcMar>
            <w:vAlign w:val="bottom"/>
          </w:tcPr>
          <w:p w:rsidR="008320BB" w:rsidRPr="005E3199" w:rsidRDefault="008320BB" w:rsidP="00162FF8">
            <w:pPr>
              <w:spacing w:after="0" w:line="240" w:lineRule="auto"/>
              <w:jc w:val="left"/>
              <w:rPr>
                <w:sz w:val="20"/>
                <w:szCs w:val="20"/>
                <w:lang w:eastAsia="ru-RU"/>
              </w:rPr>
            </w:pPr>
            <w:r w:rsidRPr="005E3199">
              <w:rPr>
                <w:sz w:val="20"/>
                <w:szCs w:val="20"/>
                <w:lang w:eastAsia="ru-RU"/>
              </w:rPr>
              <w:t>HH is clerk</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0.02</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0.01</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0.01</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0.9</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1.5</w:t>
            </w:r>
          </w:p>
        </w:tc>
      </w:tr>
      <w:tr w:rsidR="008320BB" w:rsidRPr="008320BB" w:rsidTr="008320BB">
        <w:trPr>
          <w:trHeight w:val="255"/>
        </w:trPr>
        <w:tc>
          <w:tcPr>
            <w:tcW w:w="4180" w:type="dxa"/>
            <w:tcMar>
              <w:left w:w="28" w:type="dxa"/>
              <w:right w:w="28" w:type="dxa"/>
            </w:tcMar>
            <w:vAlign w:val="bottom"/>
          </w:tcPr>
          <w:p w:rsidR="008320BB" w:rsidRPr="005E3199" w:rsidRDefault="008320BB" w:rsidP="00162FF8">
            <w:pPr>
              <w:spacing w:after="0" w:line="240" w:lineRule="auto"/>
              <w:jc w:val="left"/>
              <w:rPr>
                <w:sz w:val="20"/>
                <w:szCs w:val="20"/>
                <w:lang w:eastAsia="ru-RU"/>
              </w:rPr>
            </w:pPr>
            <w:r w:rsidRPr="005E3199">
              <w:rPr>
                <w:sz w:val="20"/>
                <w:szCs w:val="20"/>
                <w:lang w:eastAsia="ru-RU"/>
              </w:rPr>
              <w:t>HH is services worker</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0.18</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0.13</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0.06</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4.82**</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36.37***</w:t>
            </w:r>
          </w:p>
        </w:tc>
      </w:tr>
      <w:tr w:rsidR="008320BB" w:rsidRPr="008320BB" w:rsidTr="008320BB">
        <w:trPr>
          <w:trHeight w:val="167"/>
        </w:trPr>
        <w:tc>
          <w:tcPr>
            <w:tcW w:w="4180" w:type="dxa"/>
            <w:tcMar>
              <w:left w:w="28" w:type="dxa"/>
              <w:right w:w="28" w:type="dxa"/>
            </w:tcMar>
          </w:tcPr>
          <w:p w:rsidR="008320BB" w:rsidRPr="005E3199" w:rsidRDefault="008320BB" w:rsidP="005E3199">
            <w:pPr>
              <w:spacing w:after="0" w:line="240" w:lineRule="auto"/>
              <w:jc w:val="left"/>
              <w:rPr>
                <w:sz w:val="20"/>
                <w:szCs w:val="20"/>
                <w:lang w:eastAsia="ru-RU"/>
              </w:rPr>
            </w:pPr>
            <w:r w:rsidRPr="005E3199">
              <w:rPr>
                <w:sz w:val="20"/>
                <w:szCs w:val="20"/>
                <w:lang w:eastAsia="ru-RU"/>
              </w:rPr>
              <w:t>HH works full time (&gt;38 hours per week)</w:t>
            </w:r>
          </w:p>
        </w:tc>
        <w:tc>
          <w:tcPr>
            <w:tcW w:w="96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0.75</w:t>
            </w:r>
          </w:p>
        </w:tc>
        <w:tc>
          <w:tcPr>
            <w:tcW w:w="792"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0.54</w:t>
            </w:r>
          </w:p>
        </w:tc>
        <w:tc>
          <w:tcPr>
            <w:tcW w:w="66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0.40</w:t>
            </w:r>
          </w:p>
        </w:tc>
        <w:tc>
          <w:tcPr>
            <w:tcW w:w="1210"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35.34***</w:t>
            </w:r>
          </w:p>
        </w:tc>
        <w:tc>
          <w:tcPr>
            <w:tcW w:w="1408" w:type="dxa"/>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174.9***</w:t>
            </w:r>
          </w:p>
        </w:tc>
      </w:tr>
      <w:tr w:rsidR="008320BB" w:rsidRPr="008320BB" w:rsidTr="008320BB">
        <w:trPr>
          <w:trHeight w:val="255"/>
        </w:trPr>
        <w:tc>
          <w:tcPr>
            <w:tcW w:w="4180" w:type="dxa"/>
            <w:tcBorders>
              <w:bottom w:val="single" w:sz="4" w:space="0" w:color="4F81BD" w:themeColor="accent1"/>
            </w:tcBorders>
            <w:tcMar>
              <w:left w:w="28" w:type="dxa"/>
              <w:right w:w="28" w:type="dxa"/>
            </w:tcMar>
            <w:vAlign w:val="bottom"/>
          </w:tcPr>
          <w:p w:rsidR="008320BB" w:rsidRPr="005E3199" w:rsidRDefault="008320BB" w:rsidP="00162FF8">
            <w:pPr>
              <w:spacing w:after="0" w:line="240" w:lineRule="auto"/>
              <w:jc w:val="left"/>
              <w:rPr>
                <w:sz w:val="20"/>
                <w:szCs w:val="20"/>
                <w:lang w:eastAsia="ru-RU"/>
              </w:rPr>
            </w:pPr>
            <w:r w:rsidRPr="005E3199">
              <w:rPr>
                <w:sz w:val="20"/>
                <w:szCs w:val="20"/>
                <w:lang w:eastAsia="ru-RU"/>
              </w:rPr>
              <w:t>Share of household members working abroad</w:t>
            </w:r>
          </w:p>
        </w:tc>
        <w:tc>
          <w:tcPr>
            <w:tcW w:w="968" w:type="dxa"/>
            <w:tcBorders>
              <w:bottom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0.01</w:t>
            </w:r>
          </w:p>
        </w:tc>
        <w:tc>
          <w:tcPr>
            <w:tcW w:w="792" w:type="dxa"/>
            <w:tcBorders>
              <w:bottom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0.04</w:t>
            </w:r>
          </w:p>
        </w:tc>
        <w:tc>
          <w:tcPr>
            <w:tcW w:w="660" w:type="dxa"/>
            <w:tcBorders>
              <w:bottom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0.05</w:t>
            </w:r>
          </w:p>
        </w:tc>
        <w:tc>
          <w:tcPr>
            <w:tcW w:w="1210" w:type="dxa"/>
            <w:tcBorders>
              <w:bottom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52.66***</w:t>
            </w:r>
          </w:p>
        </w:tc>
        <w:tc>
          <w:tcPr>
            <w:tcW w:w="1408" w:type="dxa"/>
            <w:tcBorders>
              <w:bottom w:val="single" w:sz="4" w:space="0" w:color="4F81BD" w:themeColor="accent1"/>
            </w:tcBorders>
            <w:noWrap/>
            <w:tcMar>
              <w:left w:w="28" w:type="dxa"/>
              <w:right w:w="28" w:type="dxa"/>
            </w:tcMar>
          </w:tcPr>
          <w:p w:rsidR="008320BB" w:rsidRPr="008320BB" w:rsidRDefault="008320BB" w:rsidP="008320BB">
            <w:pPr>
              <w:spacing w:after="0" w:line="240" w:lineRule="auto"/>
              <w:jc w:val="center"/>
              <w:rPr>
                <w:rFonts w:eastAsia="Times New Roman" w:cs="Arial CYR"/>
                <w:sz w:val="20"/>
                <w:szCs w:val="20"/>
              </w:rPr>
            </w:pPr>
            <w:r w:rsidRPr="008320BB">
              <w:rPr>
                <w:rFonts w:eastAsia="Times New Roman" w:cs="Arial CYR"/>
                <w:sz w:val="20"/>
                <w:szCs w:val="20"/>
              </w:rPr>
              <w:t>90.05***</w:t>
            </w:r>
          </w:p>
        </w:tc>
      </w:tr>
      <w:tr w:rsidR="008320BB" w:rsidRPr="005E3199" w:rsidTr="00D246DA">
        <w:trPr>
          <w:trHeight w:val="96"/>
        </w:trPr>
        <w:tc>
          <w:tcPr>
            <w:tcW w:w="9218" w:type="dxa"/>
            <w:gridSpan w:val="6"/>
            <w:tcBorders>
              <w:top w:val="single" w:sz="4" w:space="0" w:color="4F81BD" w:themeColor="accent1"/>
              <w:bottom w:val="single" w:sz="4" w:space="0" w:color="4F81BD" w:themeColor="accent1"/>
            </w:tcBorders>
            <w:tcMar>
              <w:left w:w="28" w:type="dxa"/>
              <w:right w:w="28" w:type="dxa"/>
            </w:tcMar>
            <w:vAlign w:val="bottom"/>
          </w:tcPr>
          <w:p w:rsidR="008320BB" w:rsidRPr="00617DFD" w:rsidRDefault="008320BB" w:rsidP="005E3199">
            <w:pPr>
              <w:spacing w:after="0" w:line="240" w:lineRule="auto"/>
              <w:rPr>
                <w:sz w:val="20"/>
                <w:szCs w:val="20"/>
              </w:rPr>
            </w:pPr>
            <w:r w:rsidRPr="00617DFD">
              <w:rPr>
                <w:i/>
                <w:sz w:val="20"/>
                <w:szCs w:val="20"/>
                <w:lang w:eastAsia="ru-RU"/>
              </w:rPr>
              <w:t>Source:</w:t>
            </w:r>
            <w:r w:rsidRPr="00617DFD">
              <w:rPr>
                <w:sz w:val="20"/>
                <w:szCs w:val="20"/>
                <w:lang w:eastAsia="ru-RU"/>
              </w:rPr>
              <w:t xml:space="preserve"> </w:t>
            </w:r>
            <w:r w:rsidRPr="00617DFD">
              <w:rPr>
                <w:sz w:val="20"/>
                <w:szCs w:val="20"/>
              </w:rPr>
              <w:t xml:space="preserve"> </w:t>
            </w:r>
            <w:r>
              <w:rPr>
                <w:sz w:val="20"/>
                <w:szCs w:val="20"/>
              </w:rPr>
              <w:t xml:space="preserve">KIHS, World Bank staff calculations. </w:t>
            </w:r>
            <w:r w:rsidRPr="00617DFD">
              <w:rPr>
                <w:sz w:val="20"/>
                <w:szCs w:val="20"/>
              </w:rPr>
              <w:t xml:space="preserve"> </w:t>
            </w:r>
          </w:p>
          <w:p w:rsidR="008320BB" w:rsidRPr="005E3199" w:rsidRDefault="008320BB" w:rsidP="005E3199">
            <w:pPr>
              <w:spacing w:after="0" w:line="240" w:lineRule="auto"/>
              <w:rPr>
                <w:sz w:val="20"/>
                <w:szCs w:val="20"/>
                <w:lang w:eastAsia="ru-RU"/>
              </w:rPr>
            </w:pPr>
            <w:r w:rsidRPr="00617DFD">
              <w:rPr>
                <w:i/>
                <w:sz w:val="20"/>
                <w:szCs w:val="20"/>
              </w:rPr>
              <w:t>Notes</w:t>
            </w:r>
            <w:r w:rsidRPr="00617DFD">
              <w:rPr>
                <w:sz w:val="20"/>
                <w:szCs w:val="20"/>
              </w:rPr>
              <w:t xml:space="preserve">: *** significant at 1%, ** significant at 5%, significant at 10%. </w:t>
            </w:r>
          </w:p>
        </w:tc>
      </w:tr>
    </w:tbl>
    <w:p w:rsidR="00F15235" w:rsidRPr="0007143A" w:rsidRDefault="00F15235" w:rsidP="00F43220"/>
    <w:sectPr w:rsidR="00F15235" w:rsidRPr="0007143A" w:rsidSect="003C5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4E" w:rsidRDefault="00D0204E" w:rsidP="009B3842">
      <w:pPr>
        <w:spacing w:after="0" w:line="240" w:lineRule="auto"/>
      </w:pPr>
      <w:r>
        <w:separator/>
      </w:r>
    </w:p>
  </w:endnote>
  <w:endnote w:type="continuationSeparator" w:id="0">
    <w:p w:rsidR="00D0204E" w:rsidRDefault="00D0204E" w:rsidP="009B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E" w:rsidRDefault="00D0204E" w:rsidP="00EF6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D0204E" w:rsidRDefault="00D02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E" w:rsidRDefault="00D0204E" w:rsidP="00EF6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763">
      <w:rPr>
        <w:rStyle w:val="PageNumber"/>
        <w:noProof/>
      </w:rPr>
      <w:t>3</w:t>
    </w:r>
    <w:r>
      <w:rPr>
        <w:rStyle w:val="PageNumber"/>
      </w:rPr>
      <w:fldChar w:fldCharType="end"/>
    </w:r>
  </w:p>
  <w:p w:rsidR="00D0204E" w:rsidRDefault="00D0204E">
    <w:pPr>
      <w:pStyle w:val="Footer"/>
      <w:jc w:val="center"/>
    </w:pPr>
  </w:p>
  <w:p w:rsidR="00D0204E" w:rsidRDefault="00D0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4E" w:rsidRDefault="00D0204E" w:rsidP="009B3842">
      <w:pPr>
        <w:spacing w:after="0" w:line="240" w:lineRule="auto"/>
      </w:pPr>
      <w:r>
        <w:separator/>
      </w:r>
    </w:p>
  </w:footnote>
  <w:footnote w:type="continuationSeparator" w:id="0">
    <w:p w:rsidR="00D0204E" w:rsidRDefault="00D0204E" w:rsidP="009B3842">
      <w:pPr>
        <w:spacing w:after="0" w:line="240" w:lineRule="auto"/>
      </w:pPr>
      <w:r>
        <w:continuationSeparator/>
      </w:r>
    </w:p>
  </w:footnote>
  <w:footnote w:id="1">
    <w:p w:rsidR="00D0204E" w:rsidRDefault="00D0204E">
      <w:pPr>
        <w:pStyle w:val="FootnoteText"/>
      </w:pPr>
      <w:r>
        <w:rPr>
          <w:rStyle w:val="FootnoteReference"/>
        </w:rPr>
        <w:footnoteRef/>
      </w:r>
      <w:r>
        <w:t xml:space="preserve"> Both consumption per capita and the daily poverty line are calculated following the official methodology used by the National Statistical Committee. </w:t>
      </w:r>
    </w:p>
  </w:footnote>
  <w:footnote w:id="2">
    <w:p w:rsidR="00D0204E" w:rsidRDefault="00D0204E">
      <w:pPr>
        <w:pStyle w:val="FootnoteText"/>
      </w:pPr>
      <w:r>
        <w:rPr>
          <w:rStyle w:val="FootnoteReference"/>
        </w:rPr>
        <w:footnoteRef/>
      </w:r>
      <w:r>
        <w:t xml:space="preserve"> Information about employment status was taken from the labor section of the KIHS. Information from the second quarter was selected. After removing observations with missing labor information the sample totaled 4978 households.  </w:t>
      </w:r>
    </w:p>
  </w:footnote>
  <w:footnote w:id="3">
    <w:p w:rsidR="00D0204E" w:rsidRDefault="00D0204E" w:rsidP="008A63B3">
      <w:pPr>
        <w:pStyle w:val="FootnoteText"/>
      </w:pPr>
      <w:r>
        <w:rPr>
          <w:rStyle w:val="FootnoteReference"/>
        </w:rPr>
        <w:footnoteRef/>
      </w:r>
      <w:r>
        <w:t xml:space="preserve"> M</w:t>
      </w:r>
      <w:r w:rsidRPr="00990E89">
        <w:t>ean values of explanatory variables for the capital, urban and rural areas along with</w:t>
      </w:r>
      <w:r>
        <w:t xml:space="preserve"> the T-test</w:t>
      </w:r>
      <w:r w:rsidRPr="00990E89">
        <w:t xml:space="preserve"> of means</w:t>
      </w:r>
      <w:r>
        <w:t xml:space="preserve"> are provided in the appendix</w:t>
      </w:r>
      <w:r w:rsidRPr="00990E89">
        <w:t>.</w:t>
      </w:r>
      <w:r>
        <w:t xml:space="preserve"> Some of the variables, such as the share of workers abroad, dummy for the full time employment can be endogenous, but the idea was to try to take into account all observable portable characteristics. We checked the robustness of results excluding potentially endogenous variables and the results did not change. </w:t>
      </w:r>
    </w:p>
  </w:footnote>
  <w:footnote w:id="4">
    <w:p w:rsidR="00D0204E" w:rsidRDefault="00D0204E">
      <w:pPr>
        <w:pStyle w:val="FootnoteText"/>
      </w:pPr>
      <w:r>
        <w:rPr>
          <w:rStyle w:val="FootnoteReference"/>
        </w:rPr>
        <w:footnoteRef/>
      </w:r>
      <w:r>
        <w:t xml:space="preserve"> Here and afterwards urban areas do not include the capital Bishkek. </w:t>
      </w:r>
    </w:p>
  </w:footnote>
  <w:footnote w:id="5">
    <w:p w:rsidR="00D0204E" w:rsidRDefault="00D0204E" w:rsidP="00EF3946">
      <w:pPr>
        <w:pStyle w:val="FootnoteText"/>
      </w:pPr>
      <w:r>
        <w:rPr>
          <w:rStyle w:val="FootnoteReference"/>
        </w:rPr>
        <w:footnoteRef/>
      </w:r>
      <w:r>
        <w:t xml:space="preserve"> </w:t>
      </w:r>
      <w:r w:rsidRPr="00912311">
        <w:t xml:space="preserve">For the estimation of the RIF we use the </w:t>
      </w:r>
      <w:proofErr w:type="spellStart"/>
      <w:r w:rsidRPr="00912311">
        <w:rPr>
          <w:i/>
          <w:iCs/>
        </w:rPr>
        <w:t>Stata</w:t>
      </w:r>
      <w:proofErr w:type="spellEnd"/>
      <w:r w:rsidRPr="00912311">
        <w:t xml:space="preserve"> ado file </w:t>
      </w:r>
      <w:proofErr w:type="spellStart"/>
      <w:r w:rsidRPr="00912311">
        <w:t>rifreg</w:t>
      </w:r>
      <w:proofErr w:type="spellEnd"/>
      <w:r w:rsidRPr="00912311">
        <w:t xml:space="preserve"> written by </w:t>
      </w:r>
      <w:proofErr w:type="spellStart"/>
      <w:r w:rsidRPr="00912311">
        <w:t>Firpo</w:t>
      </w:r>
      <w:proofErr w:type="spellEnd"/>
      <w:r w:rsidRPr="00912311">
        <w:t xml:space="preserve"> </w:t>
      </w:r>
      <w:r w:rsidRPr="00912311">
        <w:rPr>
          <w:i/>
          <w:iCs/>
        </w:rPr>
        <w:t>et al</w:t>
      </w:r>
      <w:r w:rsidRPr="00912311">
        <w:t xml:space="preserve">. (2009) and downloadable from </w:t>
      </w:r>
      <w:hyperlink r:id="rId1" w:history="1">
        <w:r w:rsidRPr="00912311">
          <w:rPr>
            <w:rStyle w:val="Hyperlink"/>
          </w:rPr>
          <w:t>http://faculty.arts.ubc.ca/nfortin/datahead.html</w:t>
        </w:r>
      </w:hyperlink>
      <w:r>
        <w:t xml:space="preserve">. </w:t>
      </w:r>
    </w:p>
  </w:footnote>
  <w:footnote w:id="6">
    <w:p w:rsidR="00D0204E" w:rsidRDefault="00D0204E">
      <w:pPr>
        <w:pStyle w:val="FootnoteText"/>
      </w:pPr>
      <w:r>
        <w:rPr>
          <w:rStyle w:val="FootnoteReference"/>
        </w:rPr>
        <w:footnoteRef/>
      </w:r>
      <w:r>
        <w:t xml:space="preserve"> Results from separate OLS regressions explaining log welfare ratio in the capital and the urban and rural areas are presented in the appendix. The specification of these regressions differs from what was used in Oaxaca-Blinder decomposition by including regional dummies.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29" w:type="pct"/>
      <w:tblLook w:val="00A0" w:firstRow="1" w:lastRow="0" w:firstColumn="1" w:lastColumn="0" w:noHBand="0" w:noVBand="0"/>
    </w:tblPr>
    <w:tblGrid>
      <w:gridCol w:w="2969"/>
      <w:gridCol w:w="4339"/>
      <w:gridCol w:w="2132"/>
    </w:tblGrid>
    <w:tr w:rsidR="00D0204E" w:rsidRPr="001520FF" w:rsidTr="00852B0F">
      <w:trPr>
        <w:trHeight w:val="151"/>
      </w:trPr>
      <w:tc>
        <w:tcPr>
          <w:tcW w:w="1573" w:type="pct"/>
        </w:tcPr>
        <w:p w:rsidR="00D0204E" w:rsidRPr="008E0D90" w:rsidRDefault="00D0204E">
          <w:pPr>
            <w:pStyle w:val="Header"/>
            <w:spacing w:line="276" w:lineRule="auto"/>
            <w:rPr>
              <w:rFonts w:ascii="Cambria" w:hAnsi="Cambria"/>
              <w:b/>
              <w:bCs/>
              <w:color w:val="4F81BD"/>
            </w:rPr>
          </w:pPr>
        </w:p>
      </w:tc>
      <w:tc>
        <w:tcPr>
          <w:tcW w:w="2298" w:type="pct"/>
          <w:vMerge w:val="restart"/>
          <w:noWrap/>
          <w:vAlign w:val="center"/>
        </w:tcPr>
        <w:p w:rsidR="00D0204E" w:rsidRPr="001520FF" w:rsidRDefault="00D0204E" w:rsidP="008453C6">
          <w:pPr>
            <w:pStyle w:val="NoSpacing"/>
            <w:jc w:val="center"/>
            <w:rPr>
              <w:rFonts w:ascii="Cambria" w:hAnsi="Cambria"/>
              <w:color w:val="4F81BD"/>
              <w:szCs w:val="20"/>
            </w:rPr>
          </w:pPr>
        </w:p>
      </w:tc>
      <w:tc>
        <w:tcPr>
          <w:tcW w:w="1129" w:type="pct"/>
        </w:tcPr>
        <w:p w:rsidR="00D0204E" w:rsidRPr="008E0D90" w:rsidRDefault="00D0204E">
          <w:pPr>
            <w:pStyle w:val="Header"/>
            <w:spacing w:line="276" w:lineRule="auto"/>
            <w:rPr>
              <w:rFonts w:ascii="Cambria" w:hAnsi="Cambria"/>
              <w:b/>
              <w:bCs/>
              <w:color w:val="4F81BD"/>
            </w:rPr>
          </w:pPr>
        </w:p>
      </w:tc>
    </w:tr>
    <w:tr w:rsidR="00D0204E" w:rsidRPr="001520FF" w:rsidTr="00852B0F">
      <w:trPr>
        <w:trHeight w:val="150"/>
      </w:trPr>
      <w:tc>
        <w:tcPr>
          <w:tcW w:w="1573" w:type="pct"/>
        </w:tcPr>
        <w:p w:rsidR="00D0204E" w:rsidRPr="008E0D90" w:rsidRDefault="00D0204E">
          <w:pPr>
            <w:pStyle w:val="Header"/>
            <w:spacing w:line="276" w:lineRule="auto"/>
            <w:rPr>
              <w:rFonts w:ascii="Cambria" w:hAnsi="Cambria"/>
              <w:b/>
              <w:bCs/>
              <w:color w:val="4F81BD"/>
            </w:rPr>
          </w:pPr>
        </w:p>
      </w:tc>
      <w:tc>
        <w:tcPr>
          <w:tcW w:w="2298" w:type="pct"/>
          <w:vMerge/>
          <w:vAlign w:val="center"/>
        </w:tcPr>
        <w:p w:rsidR="00D0204E" w:rsidRPr="001520FF" w:rsidRDefault="00D0204E">
          <w:pPr>
            <w:spacing w:after="0" w:line="240" w:lineRule="auto"/>
            <w:rPr>
              <w:rFonts w:ascii="Cambria" w:hAnsi="Cambria"/>
              <w:color w:val="4F81BD"/>
            </w:rPr>
          </w:pPr>
        </w:p>
      </w:tc>
      <w:tc>
        <w:tcPr>
          <w:tcW w:w="1129" w:type="pct"/>
        </w:tcPr>
        <w:p w:rsidR="00D0204E" w:rsidRPr="008E0D90" w:rsidRDefault="00D0204E">
          <w:pPr>
            <w:pStyle w:val="Header"/>
            <w:spacing w:line="276" w:lineRule="auto"/>
            <w:rPr>
              <w:rFonts w:ascii="Cambria" w:hAnsi="Cambria"/>
              <w:b/>
              <w:bCs/>
              <w:color w:val="4F81BD"/>
            </w:rPr>
          </w:pPr>
        </w:p>
      </w:tc>
    </w:tr>
  </w:tbl>
  <w:p w:rsidR="00D0204E" w:rsidRPr="00852B0F" w:rsidRDefault="00D0204E" w:rsidP="00852B0F">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146B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44C7C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B6830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9810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62F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3065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EEB1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6A6E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EA48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96813E"/>
    <w:lvl w:ilvl="0">
      <w:start w:val="1"/>
      <w:numFmt w:val="bullet"/>
      <w:lvlText w:val=""/>
      <w:lvlJc w:val="left"/>
      <w:pPr>
        <w:tabs>
          <w:tab w:val="num" w:pos="360"/>
        </w:tabs>
        <w:ind w:left="360" w:hanging="360"/>
      </w:pPr>
      <w:rPr>
        <w:rFonts w:ascii="Symbol" w:hAnsi="Symbol" w:hint="default"/>
      </w:rPr>
    </w:lvl>
  </w:abstractNum>
  <w:abstractNum w:abstractNumId="10">
    <w:nsid w:val="001C66B3"/>
    <w:multiLevelType w:val="hybridMultilevel"/>
    <w:tmpl w:val="54C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5335A"/>
    <w:multiLevelType w:val="hybridMultilevel"/>
    <w:tmpl w:val="C19AA44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C12ABC"/>
    <w:multiLevelType w:val="multilevel"/>
    <w:tmpl w:val="055846CA"/>
    <w:lvl w:ilvl="0">
      <w:start w:val="1"/>
      <w:numFmt w:val="decimal"/>
      <w:pStyle w:val="StyleJ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BA54A7"/>
    <w:multiLevelType w:val="hybridMultilevel"/>
    <w:tmpl w:val="F24024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854F0C"/>
    <w:multiLevelType w:val="hybridMultilevel"/>
    <w:tmpl w:val="AED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4668"/>
    <w:multiLevelType w:val="hybridMultilevel"/>
    <w:tmpl w:val="6BA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83FAC"/>
    <w:multiLevelType w:val="hybridMultilevel"/>
    <w:tmpl w:val="9424D7A2"/>
    <w:lvl w:ilvl="0" w:tplc="1EC0F0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9F2C28"/>
    <w:multiLevelType w:val="hybridMultilevel"/>
    <w:tmpl w:val="0A2A3B04"/>
    <w:lvl w:ilvl="0" w:tplc="5CCC90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9654B5"/>
    <w:multiLevelType w:val="hybridMultilevel"/>
    <w:tmpl w:val="E318C2F6"/>
    <w:lvl w:ilvl="0" w:tplc="00A03236">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3D2DD0"/>
    <w:multiLevelType w:val="multilevel"/>
    <w:tmpl w:val="2BF82E4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6D465C99"/>
    <w:multiLevelType w:val="hybridMultilevel"/>
    <w:tmpl w:val="D4D0E9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3D488B"/>
    <w:multiLevelType w:val="hybridMultilevel"/>
    <w:tmpl w:val="B79ED9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8F57E4"/>
    <w:multiLevelType w:val="hybridMultilevel"/>
    <w:tmpl w:val="40FC6D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BD28AC"/>
    <w:multiLevelType w:val="hybridMultilevel"/>
    <w:tmpl w:val="F22E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A2A01"/>
    <w:multiLevelType w:val="hybridMultilevel"/>
    <w:tmpl w:val="200844EE"/>
    <w:lvl w:ilvl="0" w:tplc="4788B26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E4F04"/>
    <w:multiLevelType w:val="hybridMultilevel"/>
    <w:tmpl w:val="1374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0"/>
  </w:num>
  <w:num w:numId="4">
    <w:abstractNumId w:val="15"/>
  </w:num>
  <w:num w:numId="5">
    <w:abstractNumId w:val="23"/>
  </w:num>
  <w:num w:numId="6">
    <w:abstractNumId w:val="16"/>
  </w:num>
  <w:num w:numId="7">
    <w:abstractNumId w:val="14"/>
  </w:num>
  <w:num w:numId="8">
    <w:abstractNumId w:val="24"/>
  </w:num>
  <w:num w:numId="9">
    <w:abstractNumId w:val="19"/>
  </w:num>
  <w:num w:numId="10">
    <w:abstractNumId w:val="18"/>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2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34"/>
    <w:rsid w:val="00000367"/>
    <w:rsid w:val="000003C2"/>
    <w:rsid w:val="00001F5C"/>
    <w:rsid w:val="00002997"/>
    <w:rsid w:val="00003C83"/>
    <w:rsid w:val="000043E3"/>
    <w:rsid w:val="00004A59"/>
    <w:rsid w:val="00004ED2"/>
    <w:rsid w:val="00004F4F"/>
    <w:rsid w:val="00004F77"/>
    <w:rsid w:val="000053FA"/>
    <w:rsid w:val="00005D7D"/>
    <w:rsid w:val="00006798"/>
    <w:rsid w:val="00006917"/>
    <w:rsid w:val="00006B95"/>
    <w:rsid w:val="00006BDB"/>
    <w:rsid w:val="00006F08"/>
    <w:rsid w:val="00007249"/>
    <w:rsid w:val="0000732A"/>
    <w:rsid w:val="000075F3"/>
    <w:rsid w:val="0000798A"/>
    <w:rsid w:val="00007E30"/>
    <w:rsid w:val="00007FE5"/>
    <w:rsid w:val="000101BE"/>
    <w:rsid w:val="00010222"/>
    <w:rsid w:val="00011155"/>
    <w:rsid w:val="0001130A"/>
    <w:rsid w:val="000116B9"/>
    <w:rsid w:val="000124F4"/>
    <w:rsid w:val="00012832"/>
    <w:rsid w:val="00012E26"/>
    <w:rsid w:val="0001303B"/>
    <w:rsid w:val="00013682"/>
    <w:rsid w:val="000136AC"/>
    <w:rsid w:val="000138D1"/>
    <w:rsid w:val="00013967"/>
    <w:rsid w:val="00013F21"/>
    <w:rsid w:val="00014260"/>
    <w:rsid w:val="000150F5"/>
    <w:rsid w:val="000159A5"/>
    <w:rsid w:val="00015C54"/>
    <w:rsid w:val="00015E11"/>
    <w:rsid w:val="0001636B"/>
    <w:rsid w:val="00016513"/>
    <w:rsid w:val="0001690B"/>
    <w:rsid w:val="00016B98"/>
    <w:rsid w:val="00021492"/>
    <w:rsid w:val="00022AE9"/>
    <w:rsid w:val="00022BDE"/>
    <w:rsid w:val="00023C80"/>
    <w:rsid w:val="00025094"/>
    <w:rsid w:val="00025878"/>
    <w:rsid w:val="00027561"/>
    <w:rsid w:val="00027A39"/>
    <w:rsid w:val="00030479"/>
    <w:rsid w:val="00030504"/>
    <w:rsid w:val="00030D21"/>
    <w:rsid w:val="000317D9"/>
    <w:rsid w:val="000320BF"/>
    <w:rsid w:val="00032397"/>
    <w:rsid w:val="000334E7"/>
    <w:rsid w:val="00033A07"/>
    <w:rsid w:val="00033FAA"/>
    <w:rsid w:val="0003459D"/>
    <w:rsid w:val="00034F63"/>
    <w:rsid w:val="00035171"/>
    <w:rsid w:val="0003538B"/>
    <w:rsid w:val="00035C64"/>
    <w:rsid w:val="00035D84"/>
    <w:rsid w:val="00035F29"/>
    <w:rsid w:val="000360C8"/>
    <w:rsid w:val="00036A7B"/>
    <w:rsid w:val="00036BDA"/>
    <w:rsid w:val="000377AC"/>
    <w:rsid w:val="00037F84"/>
    <w:rsid w:val="00037F92"/>
    <w:rsid w:val="0004005C"/>
    <w:rsid w:val="00040192"/>
    <w:rsid w:val="00040200"/>
    <w:rsid w:val="00041789"/>
    <w:rsid w:val="00041B72"/>
    <w:rsid w:val="00042089"/>
    <w:rsid w:val="00043068"/>
    <w:rsid w:val="000433EF"/>
    <w:rsid w:val="00043E6E"/>
    <w:rsid w:val="0004498D"/>
    <w:rsid w:val="000458CE"/>
    <w:rsid w:val="00046065"/>
    <w:rsid w:val="0004620F"/>
    <w:rsid w:val="0004628B"/>
    <w:rsid w:val="00046667"/>
    <w:rsid w:val="00046B0A"/>
    <w:rsid w:val="00047374"/>
    <w:rsid w:val="000474D2"/>
    <w:rsid w:val="00050C16"/>
    <w:rsid w:val="000516FB"/>
    <w:rsid w:val="000518E6"/>
    <w:rsid w:val="000526BA"/>
    <w:rsid w:val="00052B1A"/>
    <w:rsid w:val="00052BB9"/>
    <w:rsid w:val="00052DF0"/>
    <w:rsid w:val="00052E0C"/>
    <w:rsid w:val="00052F0F"/>
    <w:rsid w:val="00052FFD"/>
    <w:rsid w:val="000532F1"/>
    <w:rsid w:val="0005366C"/>
    <w:rsid w:val="000543B3"/>
    <w:rsid w:val="0005466A"/>
    <w:rsid w:val="00054AFF"/>
    <w:rsid w:val="00054B6F"/>
    <w:rsid w:val="000558ED"/>
    <w:rsid w:val="00055AA4"/>
    <w:rsid w:val="00056838"/>
    <w:rsid w:val="00057CDB"/>
    <w:rsid w:val="0006038F"/>
    <w:rsid w:val="000609D9"/>
    <w:rsid w:val="00061F63"/>
    <w:rsid w:val="0006265F"/>
    <w:rsid w:val="00062E62"/>
    <w:rsid w:val="0006315B"/>
    <w:rsid w:val="00063399"/>
    <w:rsid w:val="00063E5B"/>
    <w:rsid w:val="00063E91"/>
    <w:rsid w:val="0006479E"/>
    <w:rsid w:val="0006491C"/>
    <w:rsid w:val="000649F4"/>
    <w:rsid w:val="00064DD4"/>
    <w:rsid w:val="000656A6"/>
    <w:rsid w:val="0006577E"/>
    <w:rsid w:val="000702AA"/>
    <w:rsid w:val="0007143A"/>
    <w:rsid w:val="00071570"/>
    <w:rsid w:val="00071758"/>
    <w:rsid w:val="000717A0"/>
    <w:rsid w:val="00072E3B"/>
    <w:rsid w:val="0007312F"/>
    <w:rsid w:val="00073A1D"/>
    <w:rsid w:val="00073AE8"/>
    <w:rsid w:val="000746DC"/>
    <w:rsid w:val="000748A9"/>
    <w:rsid w:val="00075AFE"/>
    <w:rsid w:val="00075E00"/>
    <w:rsid w:val="00076995"/>
    <w:rsid w:val="000769E5"/>
    <w:rsid w:val="00076DC7"/>
    <w:rsid w:val="00077767"/>
    <w:rsid w:val="0007780D"/>
    <w:rsid w:val="00077B44"/>
    <w:rsid w:val="00077E6F"/>
    <w:rsid w:val="00077F21"/>
    <w:rsid w:val="00077FD6"/>
    <w:rsid w:val="000801C0"/>
    <w:rsid w:val="00080481"/>
    <w:rsid w:val="000804C1"/>
    <w:rsid w:val="0008052B"/>
    <w:rsid w:val="00080DF3"/>
    <w:rsid w:val="0008151E"/>
    <w:rsid w:val="000815EC"/>
    <w:rsid w:val="00081BC3"/>
    <w:rsid w:val="00081F26"/>
    <w:rsid w:val="0008268A"/>
    <w:rsid w:val="000828F1"/>
    <w:rsid w:val="00082DAA"/>
    <w:rsid w:val="000832AC"/>
    <w:rsid w:val="00083A60"/>
    <w:rsid w:val="00083C5A"/>
    <w:rsid w:val="00083E23"/>
    <w:rsid w:val="00085050"/>
    <w:rsid w:val="000851DB"/>
    <w:rsid w:val="00085FD3"/>
    <w:rsid w:val="00086403"/>
    <w:rsid w:val="00086881"/>
    <w:rsid w:val="000869F0"/>
    <w:rsid w:val="00087C56"/>
    <w:rsid w:val="00087CB1"/>
    <w:rsid w:val="0009023B"/>
    <w:rsid w:val="0009033F"/>
    <w:rsid w:val="000909C5"/>
    <w:rsid w:val="00090EF9"/>
    <w:rsid w:val="00090F62"/>
    <w:rsid w:val="000921AB"/>
    <w:rsid w:val="00092886"/>
    <w:rsid w:val="000930DE"/>
    <w:rsid w:val="000935CE"/>
    <w:rsid w:val="000938B2"/>
    <w:rsid w:val="00093F3F"/>
    <w:rsid w:val="0009450A"/>
    <w:rsid w:val="0009500D"/>
    <w:rsid w:val="00095274"/>
    <w:rsid w:val="00095AB3"/>
    <w:rsid w:val="00096209"/>
    <w:rsid w:val="0009628D"/>
    <w:rsid w:val="00096561"/>
    <w:rsid w:val="000977B0"/>
    <w:rsid w:val="00097A38"/>
    <w:rsid w:val="00097B2B"/>
    <w:rsid w:val="00097DCF"/>
    <w:rsid w:val="000A1A3C"/>
    <w:rsid w:val="000A3361"/>
    <w:rsid w:val="000A37FD"/>
    <w:rsid w:val="000A3B8C"/>
    <w:rsid w:val="000A4515"/>
    <w:rsid w:val="000A474F"/>
    <w:rsid w:val="000A4C9B"/>
    <w:rsid w:val="000A5CF9"/>
    <w:rsid w:val="000A6A0E"/>
    <w:rsid w:val="000A6BA2"/>
    <w:rsid w:val="000A79C9"/>
    <w:rsid w:val="000B004E"/>
    <w:rsid w:val="000B0110"/>
    <w:rsid w:val="000B0138"/>
    <w:rsid w:val="000B15C0"/>
    <w:rsid w:val="000B1722"/>
    <w:rsid w:val="000B176E"/>
    <w:rsid w:val="000B2B6B"/>
    <w:rsid w:val="000B3103"/>
    <w:rsid w:val="000B3551"/>
    <w:rsid w:val="000B3DB7"/>
    <w:rsid w:val="000B4863"/>
    <w:rsid w:val="000B4872"/>
    <w:rsid w:val="000B49D0"/>
    <w:rsid w:val="000B56EF"/>
    <w:rsid w:val="000B58BC"/>
    <w:rsid w:val="000B5911"/>
    <w:rsid w:val="000B5A3D"/>
    <w:rsid w:val="000B5D8A"/>
    <w:rsid w:val="000B6082"/>
    <w:rsid w:val="000B713C"/>
    <w:rsid w:val="000B7F5F"/>
    <w:rsid w:val="000B7FE7"/>
    <w:rsid w:val="000C036D"/>
    <w:rsid w:val="000C066C"/>
    <w:rsid w:val="000C0925"/>
    <w:rsid w:val="000C0D02"/>
    <w:rsid w:val="000C19F8"/>
    <w:rsid w:val="000C34E2"/>
    <w:rsid w:val="000C3BCC"/>
    <w:rsid w:val="000C48EA"/>
    <w:rsid w:val="000C4992"/>
    <w:rsid w:val="000C53EF"/>
    <w:rsid w:val="000C5F92"/>
    <w:rsid w:val="000C5FB0"/>
    <w:rsid w:val="000C663E"/>
    <w:rsid w:val="000C7237"/>
    <w:rsid w:val="000C766D"/>
    <w:rsid w:val="000D09DC"/>
    <w:rsid w:val="000D0B43"/>
    <w:rsid w:val="000D23F7"/>
    <w:rsid w:val="000D2839"/>
    <w:rsid w:val="000D39C9"/>
    <w:rsid w:val="000D3A81"/>
    <w:rsid w:val="000D3B8E"/>
    <w:rsid w:val="000D3E88"/>
    <w:rsid w:val="000D4472"/>
    <w:rsid w:val="000D495F"/>
    <w:rsid w:val="000D4C62"/>
    <w:rsid w:val="000D4D54"/>
    <w:rsid w:val="000D4D92"/>
    <w:rsid w:val="000D4DB8"/>
    <w:rsid w:val="000D4DBE"/>
    <w:rsid w:val="000D575F"/>
    <w:rsid w:val="000D61DD"/>
    <w:rsid w:val="000D70C6"/>
    <w:rsid w:val="000D7197"/>
    <w:rsid w:val="000D74CF"/>
    <w:rsid w:val="000D7555"/>
    <w:rsid w:val="000D7703"/>
    <w:rsid w:val="000D78A0"/>
    <w:rsid w:val="000D7FCD"/>
    <w:rsid w:val="000E006A"/>
    <w:rsid w:val="000E018D"/>
    <w:rsid w:val="000E0370"/>
    <w:rsid w:val="000E03D2"/>
    <w:rsid w:val="000E09B6"/>
    <w:rsid w:val="000E190D"/>
    <w:rsid w:val="000E1994"/>
    <w:rsid w:val="000E1D2F"/>
    <w:rsid w:val="000E279D"/>
    <w:rsid w:val="000E3929"/>
    <w:rsid w:val="000E5A09"/>
    <w:rsid w:val="000E7E83"/>
    <w:rsid w:val="000F01AE"/>
    <w:rsid w:val="000F03DA"/>
    <w:rsid w:val="000F07FA"/>
    <w:rsid w:val="000F0990"/>
    <w:rsid w:val="000F0AEB"/>
    <w:rsid w:val="000F0DD1"/>
    <w:rsid w:val="000F1006"/>
    <w:rsid w:val="000F21D8"/>
    <w:rsid w:val="000F2BA6"/>
    <w:rsid w:val="000F3BBB"/>
    <w:rsid w:val="000F3E66"/>
    <w:rsid w:val="000F440E"/>
    <w:rsid w:val="000F4BED"/>
    <w:rsid w:val="000F4C98"/>
    <w:rsid w:val="000F5665"/>
    <w:rsid w:val="000F5703"/>
    <w:rsid w:val="000F57FD"/>
    <w:rsid w:val="000F5844"/>
    <w:rsid w:val="000F5877"/>
    <w:rsid w:val="000F5B81"/>
    <w:rsid w:val="000F618F"/>
    <w:rsid w:val="000F6525"/>
    <w:rsid w:val="000F693F"/>
    <w:rsid w:val="000F77C5"/>
    <w:rsid w:val="00100679"/>
    <w:rsid w:val="001006FA"/>
    <w:rsid w:val="00100954"/>
    <w:rsid w:val="00100A42"/>
    <w:rsid w:val="00101753"/>
    <w:rsid w:val="00101CF5"/>
    <w:rsid w:val="00102210"/>
    <w:rsid w:val="00103A04"/>
    <w:rsid w:val="00103FD1"/>
    <w:rsid w:val="0010459C"/>
    <w:rsid w:val="00105111"/>
    <w:rsid w:val="0010729E"/>
    <w:rsid w:val="001107CA"/>
    <w:rsid w:val="00111086"/>
    <w:rsid w:val="001117F8"/>
    <w:rsid w:val="00112BB0"/>
    <w:rsid w:val="00113783"/>
    <w:rsid w:val="001145F2"/>
    <w:rsid w:val="00114E76"/>
    <w:rsid w:val="001151DA"/>
    <w:rsid w:val="0011541C"/>
    <w:rsid w:val="0011694F"/>
    <w:rsid w:val="00116D49"/>
    <w:rsid w:val="001177B1"/>
    <w:rsid w:val="001205D2"/>
    <w:rsid w:val="001212F9"/>
    <w:rsid w:val="0012174F"/>
    <w:rsid w:val="00121A38"/>
    <w:rsid w:val="00121C92"/>
    <w:rsid w:val="00121F77"/>
    <w:rsid w:val="00122655"/>
    <w:rsid w:val="00123328"/>
    <w:rsid w:val="0012390F"/>
    <w:rsid w:val="00123F05"/>
    <w:rsid w:val="001249B4"/>
    <w:rsid w:val="00124E0F"/>
    <w:rsid w:val="0012556B"/>
    <w:rsid w:val="00125586"/>
    <w:rsid w:val="00125BDE"/>
    <w:rsid w:val="00125DD7"/>
    <w:rsid w:val="0012655E"/>
    <w:rsid w:val="001269A3"/>
    <w:rsid w:val="001271D1"/>
    <w:rsid w:val="00127A62"/>
    <w:rsid w:val="00127C37"/>
    <w:rsid w:val="00127C7A"/>
    <w:rsid w:val="00127EC5"/>
    <w:rsid w:val="001300E8"/>
    <w:rsid w:val="001305E4"/>
    <w:rsid w:val="00130955"/>
    <w:rsid w:val="00130AFC"/>
    <w:rsid w:val="001311D9"/>
    <w:rsid w:val="0013181D"/>
    <w:rsid w:val="00131A65"/>
    <w:rsid w:val="00131B0C"/>
    <w:rsid w:val="001325DA"/>
    <w:rsid w:val="00132698"/>
    <w:rsid w:val="001326D2"/>
    <w:rsid w:val="00132D23"/>
    <w:rsid w:val="001331FE"/>
    <w:rsid w:val="00133409"/>
    <w:rsid w:val="00133623"/>
    <w:rsid w:val="00133766"/>
    <w:rsid w:val="00133EA3"/>
    <w:rsid w:val="00134540"/>
    <w:rsid w:val="001348FB"/>
    <w:rsid w:val="00134967"/>
    <w:rsid w:val="00135404"/>
    <w:rsid w:val="00135FAF"/>
    <w:rsid w:val="00136C00"/>
    <w:rsid w:val="00136FD6"/>
    <w:rsid w:val="001370C9"/>
    <w:rsid w:val="00140028"/>
    <w:rsid w:val="001404E0"/>
    <w:rsid w:val="001406F9"/>
    <w:rsid w:val="00140823"/>
    <w:rsid w:val="001408D9"/>
    <w:rsid w:val="00140A4F"/>
    <w:rsid w:val="001415EF"/>
    <w:rsid w:val="00141A36"/>
    <w:rsid w:val="001429C5"/>
    <w:rsid w:val="00143660"/>
    <w:rsid w:val="00143796"/>
    <w:rsid w:val="001439FA"/>
    <w:rsid w:val="00143D5B"/>
    <w:rsid w:val="001441A9"/>
    <w:rsid w:val="00144E7D"/>
    <w:rsid w:val="0014557B"/>
    <w:rsid w:val="001457D9"/>
    <w:rsid w:val="00145E08"/>
    <w:rsid w:val="0014653B"/>
    <w:rsid w:val="00147479"/>
    <w:rsid w:val="00147822"/>
    <w:rsid w:val="00147B26"/>
    <w:rsid w:val="00147D5E"/>
    <w:rsid w:val="00150368"/>
    <w:rsid w:val="00150891"/>
    <w:rsid w:val="00151323"/>
    <w:rsid w:val="00151E16"/>
    <w:rsid w:val="00152049"/>
    <w:rsid w:val="001520FF"/>
    <w:rsid w:val="001526E0"/>
    <w:rsid w:val="001528AE"/>
    <w:rsid w:val="00153C06"/>
    <w:rsid w:val="00154143"/>
    <w:rsid w:val="00154487"/>
    <w:rsid w:val="001550F8"/>
    <w:rsid w:val="00155DD9"/>
    <w:rsid w:val="001578E8"/>
    <w:rsid w:val="0016124D"/>
    <w:rsid w:val="001613CD"/>
    <w:rsid w:val="00161606"/>
    <w:rsid w:val="00161DCA"/>
    <w:rsid w:val="00162A1C"/>
    <w:rsid w:val="00162AA4"/>
    <w:rsid w:val="00162C08"/>
    <w:rsid w:val="00162FF8"/>
    <w:rsid w:val="001636CA"/>
    <w:rsid w:val="001638DE"/>
    <w:rsid w:val="00165356"/>
    <w:rsid w:val="00165702"/>
    <w:rsid w:val="001659B6"/>
    <w:rsid w:val="00165A2E"/>
    <w:rsid w:val="00165B38"/>
    <w:rsid w:val="001671E3"/>
    <w:rsid w:val="00170391"/>
    <w:rsid w:val="001704C4"/>
    <w:rsid w:val="0017118B"/>
    <w:rsid w:val="00171301"/>
    <w:rsid w:val="00171436"/>
    <w:rsid w:val="00172BF0"/>
    <w:rsid w:val="00172CB9"/>
    <w:rsid w:val="0017356A"/>
    <w:rsid w:val="0017399A"/>
    <w:rsid w:val="0017411A"/>
    <w:rsid w:val="00174682"/>
    <w:rsid w:val="00175B62"/>
    <w:rsid w:val="00176636"/>
    <w:rsid w:val="00177172"/>
    <w:rsid w:val="00177885"/>
    <w:rsid w:val="00177FBA"/>
    <w:rsid w:val="0018059B"/>
    <w:rsid w:val="00180616"/>
    <w:rsid w:val="00180D65"/>
    <w:rsid w:val="001828B1"/>
    <w:rsid w:val="001837E3"/>
    <w:rsid w:val="0018453A"/>
    <w:rsid w:val="00184DCC"/>
    <w:rsid w:val="00185215"/>
    <w:rsid w:val="0018552E"/>
    <w:rsid w:val="00185B80"/>
    <w:rsid w:val="00186718"/>
    <w:rsid w:val="001871BB"/>
    <w:rsid w:val="00187A53"/>
    <w:rsid w:val="00187D59"/>
    <w:rsid w:val="001910BC"/>
    <w:rsid w:val="001912C4"/>
    <w:rsid w:val="00191777"/>
    <w:rsid w:val="0019251E"/>
    <w:rsid w:val="00192756"/>
    <w:rsid w:val="00192822"/>
    <w:rsid w:val="00192D2E"/>
    <w:rsid w:val="00193297"/>
    <w:rsid w:val="0019402C"/>
    <w:rsid w:val="001944F4"/>
    <w:rsid w:val="00194787"/>
    <w:rsid w:val="001955A0"/>
    <w:rsid w:val="0019563B"/>
    <w:rsid w:val="001956CD"/>
    <w:rsid w:val="0019576D"/>
    <w:rsid w:val="00195845"/>
    <w:rsid w:val="0019604C"/>
    <w:rsid w:val="00196133"/>
    <w:rsid w:val="0019647E"/>
    <w:rsid w:val="0019690E"/>
    <w:rsid w:val="00196FD1"/>
    <w:rsid w:val="001A058F"/>
    <w:rsid w:val="001A075C"/>
    <w:rsid w:val="001A182C"/>
    <w:rsid w:val="001A20B9"/>
    <w:rsid w:val="001A2B69"/>
    <w:rsid w:val="001A2B9B"/>
    <w:rsid w:val="001A3557"/>
    <w:rsid w:val="001A4072"/>
    <w:rsid w:val="001A45A4"/>
    <w:rsid w:val="001A48D6"/>
    <w:rsid w:val="001A4F41"/>
    <w:rsid w:val="001A5D79"/>
    <w:rsid w:val="001A605A"/>
    <w:rsid w:val="001A6417"/>
    <w:rsid w:val="001A6852"/>
    <w:rsid w:val="001A6939"/>
    <w:rsid w:val="001A78FB"/>
    <w:rsid w:val="001A7A59"/>
    <w:rsid w:val="001B018D"/>
    <w:rsid w:val="001B0558"/>
    <w:rsid w:val="001B0F16"/>
    <w:rsid w:val="001B177A"/>
    <w:rsid w:val="001B1F96"/>
    <w:rsid w:val="001B2079"/>
    <w:rsid w:val="001B23FE"/>
    <w:rsid w:val="001B2EDF"/>
    <w:rsid w:val="001B36C3"/>
    <w:rsid w:val="001B3CD1"/>
    <w:rsid w:val="001B3EA9"/>
    <w:rsid w:val="001B3F2E"/>
    <w:rsid w:val="001B6933"/>
    <w:rsid w:val="001B6FD5"/>
    <w:rsid w:val="001B75FE"/>
    <w:rsid w:val="001C0356"/>
    <w:rsid w:val="001C03C1"/>
    <w:rsid w:val="001C0B61"/>
    <w:rsid w:val="001C1266"/>
    <w:rsid w:val="001C21C8"/>
    <w:rsid w:val="001C3073"/>
    <w:rsid w:val="001C3B06"/>
    <w:rsid w:val="001C42DD"/>
    <w:rsid w:val="001C440D"/>
    <w:rsid w:val="001C46A8"/>
    <w:rsid w:val="001C47BC"/>
    <w:rsid w:val="001C4A0C"/>
    <w:rsid w:val="001C5547"/>
    <w:rsid w:val="001C5CCF"/>
    <w:rsid w:val="001C6AA7"/>
    <w:rsid w:val="001C6EB5"/>
    <w:rsid w:val="001D00C1"/>
    <w:rsid w:val="001D0220"/>
    <w:rsid w:val="001D08C8"/>
    <w:rsid w:val="001D0ABC"/>
    <w:rsid w:val="001D201E"/>
    <w:rsid w:val="001D2749"/>
    <w:rsid w:val="001D29C3"/>
    <w:rsid w:val="001D2DDC"/>
    <w:rsid w:val="001D2F26"/>
    <w:rsid w:val="001D37C6"/>
    <w:rsid w:val="001D381F"/>
    <w:rsid w:val="001D3AF3"/>
    <w:rsid w:val="001D3B5C"/>
    <w:rsid w:val="001D3DDD"/>
    <w:rsid w:val="001D3FBD"/>
    <w:rsid w:val="001D4506"/>
    <w:rsid w:val="001D46B2"/>
    <w:rsid w:val="001D4A12"/>
    <w:rsid w:val="001D4BC5"/>
    <w:rsid w:val="001D5073"/>
    <w:rsid w:val="001D59CF"/>
    <w:rsid w:val="001D6082"/>
    <w:rsid w:val="001D688F"/>
    <w:rsid w:val="001D6A4F"/>
    <w:rsid w:val="001D6F76"/>
    <w:rsid w:val="001D7E2F"/>
    <w:rsid w:val="001E151D"/>
    <w:rsid w:val="001E1785"/>
    <w:rsid w:val="001E17FE"/>
    <w:rsid w:val="001E19E5"/>
    <w:rsid w:val="001E1A3F"/>
    <w:rsid w:val="001E244D"/>
    <w:rsid w:val="001E25E7"/>
    <w:rsid w:val="001E2C0A"/>
    <w:rsid w:val="001E3105"/>
    <w:rsid w:val="001E3E46"/>
    <w:rsid w:val="001E48FE"/>
    <w:rsid w:val="001E4977"/>
    <w:rsid w:val="001E5A44"/>
    <w:rsid w:val="001E5C5D"/>
    <w:rsid w:val="001E6077"/>
    <w:rsid w:val="001E60C0"/>
    <w:rsid w:val="001E6554"/>
    <w:rsid w:val="001E77B9"/>
    <w:rsid w:val="001F009B"/>
    <w:rsid w:val="001F0171"/>
    <w:rsid w:val="001F036D"/>
    <w:rsid w:val="001F04BC"/>
    <w:rsid w:val="001F18D6"/>
    <w:rsid w:val="001F1B97"/>
    <w:rsid w:val="001F1C8F"/>
    <w:rsid w:val="001F1FF5"/>
    <w:rsid w:val="001F279C"/>
    <w:rsid w:val="001F35F7"/>
    <w:rsid w:val="001F3F65"/>
    <w:rsid w:val="001F41B5"/>
    <w:rsid w:val="001F5E2A"/>
    <w:rsid w:val="001F5E58"/>
    <w:rsid w:val="001F5E82"/>
    <w:rsid w:val="001F631D"/>
    <w:rsid w:val="001F694B"/>
    <w:rsid w:val="001F6F66"/>
    <w:rsid w:val="001F730C"/>
    <w:rsid w:val="00200550"/>
    <w:rsid w:val="00200E69"/>
    <w:rsid w:val="0020207D"/>
    <w:rsid w:val="002026D2"/>
    <w:rsid w:val="00202EFE"/>
    <w:rsid w:val="00202F56"/>
    <w:rsid w:val="00202FE1"/>
    <w:rsid w:val="00203761"/>
    <w:rsid w:val="00203B07"/>
    <w:rsid w:val="002053AF"/>
    <w:rsid w:val="002053B2"/>
    <w:rsid w:val="0020593D"/>
    <w:rsid w:val="00205A71"/>
    <w:rsid w:val="00205F4C"/>
    <w:rsid w:val="00206380"/>
    <w:rsid w:val="002065F5"/>
    <w:rsid w:val="0020677F"/>
    <w:rsid w:val="00207062"/>
    <w:rsid w:val="002074CB"/>
    <w:rsid w:val="0020757C"/>
    <w:rsid w:val="00210B18"/>
    <w:rsid w:val="00211A8A"/>
    <w:rsid w:val="00212844"/>
    <w:rsid w:val="00212A5A"/>
    <w:rsid w:val="002130FD"/>
    <w:rsid w:val="002136A3"/>
    <w:rsid w:val="002137AF"/>
    <w:rsid w:val="0021394B"/>
    <w:rsid w:val="002139CB"/>
    <w:rsid w:val="00213CFE"/>
    <w:rsid w:val="00214394"/>
    <w:rsid w:val="002145E5"/>
    <w:rsid w:val="0021585D"/>
    <w:rsid w:val="002161F8"/>
    <w:rsid w:val="002162EC"/>
    <w:rsid w:val="002165A0"/>
    <w:rsid w:val="002165EF"/>
    <w:rsid w:val="002171F5"/>
    <w:rsid w:val="00217FBB"/>
    <w:rsid w:val="002208DA"/>
    <w:rsid w:val="00220C19"/>
    <w:rsid w:val="00220DA5"/>
    <w:rsid w:val="00220FBE"/>
    <w:rsid w:val="0022118A"/>
    <w:rsid w:val="0022167A"/>
    <w:rsid w:val="002217F1"/>
    <w:rsid w:val="00222015"/>
    <w:rsid w:val="0022244D"/>
    <w:rsid w:val="00222854"/>
    <w:rsid w:val="00222E22"/>
    <w:rsid w:val="0022398F"/>
    <w:rsid w:val="00223A76"/>
    <w:rsid w:val="0022492C"/>
    <w:rsid w:val="00224C49"/>
    <w:rsid w:val="00225282"/>
    <w:rsid w:val="002254E1"/>
    <w:rsid w:val="002257ED"/>
    <w:rsid w:val="00225874"/>
    <w:rsid w:val="00226273"/>
    <w:rsid w:val="00227D3C"/>
    <w:rsid w:val="00227FDB"/>
    <w:rsid w:val="002304EB"/>
    <w:rsid w:val="00230BE4"/>
    <w:rsid w:val="00231C00"/>
    <w:rsid w:val="00231C28"/>
    <w:rsid w:val="00231F39"/>
    <w:rsid w:val="002322B5"/>
    <w:rsid w:val="0023264D"/>
    <w:rsid w:val="00232EDA"/>
    <w:rsid w:val="00234036"/>
    <w:rsid w:val="002344C5"/>
    <w:rsid w:val="00234606"/>
    <w:rsid w:val="00234AC3"/>
    <w:rsid w:val="00235597"/>
    <w:rsid w:val="00235EFB"/>
    <w:rsid w:val="00235FB2"/>
    <w:rsid w:val="002365B7"/>
    <w:rsid w:val="00236985"/>
    <w:rsid w:val="002371D4"/>
    <w:rsid w:val="0023789A"/>
    <w:rsid w:val="00237AB6"/>
    <w:rsid w:val="00237F54"/>
    <w:rsid w:val="00240256"/>
    <w:rsid w:val="00240803"/>
    <w:rsid w:val="00240D72"/>
    <w:rsid w:val="00240DE8"/>
    <w:rsid w:val="00240DED"/>
    <w:rsid w:val="002422E0"/>
    <w:rsid w:val="00242343"/>
    <w:rsid w:val="00243B5B"/>
    <w:rsid w:val="00243ECB"/>
    <w:rsid w:val="00244674"/>
    <w:rsid w:val="0024483C"/>
    <w:rsid w:val="00245E30"/>
    <w:rsid w:val="00246895"/>
    <w:rsid w:val="00246E26"/>
    <w:rsid w:val="0024770B"/>
    <w:rsid w:val="0025009A"/>
    <w:rsid w:val="0025073E"/>
    <w:rsid w:val="00251121"/>
    <w:rsid w:val="002545D5"/>
    <w:rsid w:val="00255014"/>
    <w:rsid w:val="002550E2"/>
    <w:rsid w:val="002557B2"/>
    <w:rsid w:val="002559EB"/>
    <w:rsid w:val="00257138"/>
    <w:rsid w:val="00257161"/>
    <w:rsid w:val="00257A37"/>
    <w:rsid w:val="00260154"/>
    <w:rsid w:val="00261AF8"/>
    <w:rsid w:val="00263FC8"/>
    <w:rsid w:val="00265804"/>
    <w:rsid w:val="00266B8D"/>
    <w:rsid w:val="00266D38"/>
    <w:rsid w:val="00267027"/>
    <w:rsid w:val="00267725"/>
    <w:rsid w:val="002677A7"/>
    <w:rsid w:val="00267A23"/>
    <w:rsid w:val="00267C47"/>
    <w:rsid w:val="00270CCB"/>
    <w:rsid w:val="00270EC3"/>
    <w:rsid w:val="002712F3"/>
    <w:rsid w:val="0027225E"/>
    <w:rsid w:val="002722C7"/>
    <w:rsid w:val="00272C14"/>
    <w:rsid w:val="00272EBA"/>
    <w:rsid w:val="0027315D"/>
    <w:rsid w:val="00273910"/>
    <w:rsid w:val="00273A8A"/>
    <w:rsid w:val="0027418C"/>
    <w:rsid w:val="0027437D"/>
    <w:rsid w:val="00274BB9"/>
    <w:rsid w:val="00274DD1"/>
    <w:rsid w:val="00275039"/>
    <w:rsid w:val="00275076"/>
    <w:rsid w:val="0027535F"/>
    <w:rsid w:val="00275422"/>
    <w:rsid w:val="00275574"/>
    <w:rsid w:val="00275732"/>
    <w:rsid w:val="002759E8"/>
    <w:rsid w:val="00276344"/>
    <w:rsid w:val="002764D4"/>
    <w:rsid w:val="00277545"/>
    <w:rsid w:val="002777C2"/>
    <w:rsid w:val="00277A2A"/>
    <w:rsid w:val="0028044A"/>
    <w:rsid w:val="0028048F"/>
    <w:rsid w:val="00280886"/>
    <w:rsid w:val="00280FE6"/>
    <w:rsid w:val="00281673"/>
    <w:rsid w:val="00282BC6"/>
    <w:rsid w:val="00282EA2"/>
    <w:rsid w:val="00283F2A"/>
    <w:rsid w:val="0028454C"/>
    <w:rsid w:val="00284C68"/>
    <w:rsid w:val="0028556E"/>
    <w:rsid w:val="00285865"/>
    <w:rsid w:val="00285AAC"/>
    <w:rsid w:val="00285CCB"/>
    <w:rsid w:val="002867EF"/>
    <w:rsid w:val="00286A18"/>
    <w:rsid w:val="00287113"/>
    <w:rsid w:val="0028713B"/>
    <w:rsid w:val="00287856"/>
    <w:rsid w:val="00287A41"/>
    <w:rsid w:val="00287C5F"/>
    <w:rsid w:val="002910EF"/>
    <w:rsid w:val="0029169D"/>
    <w:rsid w:val="002919DF"/>
    <w:rsid w:val="00292763"/>
    <w:rsid w:val="00292B2D"/>
    <w:rsid w:val="00292FDD"/>
    <w:rsid w:val="0029367F"/>
    <w:rsid w:val="0029395E"/>
    <w:rsid w:val="002942D9"/>
    <w:rsid w:val="00294DC8"/>
    <w:rsid w:val="00295228"/>
    <w:rsid w:val="0029561F"/>
    <w:rsid w:val="00295E87"/>
    <w:rsid w:val="00295EE8"/>
    <w:rsid w:val="00296E1F"/>
    <w:rsid w:val="002A0756"/>
    <w:rsid w:val="002A0FFB"/>
    <w:rsid w:val="002A26DF"/>
    <w:rsid w:val="002A2EB5"/>
    <w:rsid w:val="002A3922"/>
    <w:rsid w:val="002A4A8A"/>
    <w:rsid w:val="002A52A6"/>
    <w:rsid w:val="002A5334"/>
    <w:rsid w:val="002A5342"/>
    <w:rsid w:val="002A5665"/>
    <w:rsid w:val="002A5CDF"/>
    <w:rsid w:val="002A6034"/>
    <w:rsid w:val="002A690C"/>
    <w:rsid w:val="002A6EC8"/>
    <w:rsid w:val="002A7618"/>
    <w:rsid w:val="002A7EEE"/>
    <w:rsid w:val="002B005B"/>
    <w:rsid w:val="002B019A"/>
    <w:rsid w:val="002B0887"/>
    <w:rsid w:val="002B0A52"/>
    <w:rsid w:val="002B0CEB"/>
    <w:rsid w:val="002B0D09"/>
    <w:rsid w:val="002B200E"/>
    <w:rsid w:val="002B2192"/>
    <w:rsid w:val="002B2274"/>
    <w:rsid w:val="002B26E4"/>
    <w:rsid w:val="002B2F8E"/>
    <w:rsid w:val="002B3B74"/>
    <w:rsid w:val="002B3D2F"/>
    <w:rsid w:val="002B4017"/>
    <w:rsid w:val="002B42C2"/>
    <w:rsid w:val="002B5A5A"/>
    <w:rsid w:val="002B6163"/>
    <w:rsid w:val="002B624E"/>
    <w:rsid w:val="002C02E5"/>
    <w:rsid w:val="002C09A8"/>
    <w:rsid w:val="002C0AB9"/>
    <w:rsid w:val="002C0E18"/>
    <w:rsid w:val="002C0FBF"/>
    <w:rsid w:val="002C1520"/>
    <w:rsid w:val="002C1C61"/>
    <w:rsid w:val="002C1D8A"/>
    <w:rsid w:val="002C1EF7"/>
    <w:rsid w:val="002C1FC1"/>
    <w:rsid w:val="002C2327"/>
    <w:rsid w:val="002C26E3"/>
    <w:rsid w:val="002C420E"/>
    <w:rsid w:val="002C4245"/>
    <w:rsid w:val="002C6662"/>
    <w:rsid w:val="002C69BF"/>
    <w:rsid w:val="002C6B19"/>
    <w:rsid w:val="002C6FA4"/>
    <w:rsid w:val="002C7171"/>
    <w:rsid w:val="002D01AC"/>
    <w:rsid w:val="002D0A9A"/>
    <w:rsid w:val="002D0F9F"/>
    <w:rsid w:val="002D17EB"/>
    <w:rsid w:val="002D1E5E"/>
    <w:rsid w:val="002D20BA"/>
    <w:rsid w:val="002D4285"/>
    <w:rsid w:val="002D50E3"/>
    <w:rsid w:val="002D5A84"/>
    <w:rsid w:val="002D5C8C"/>
    <w:rsid w:val="002D6AFB"/>
    <w:rsid w:val="002D6E8D"/>
    <w:rsid w:val="002D6F59"/>
    <w:rsid w:val="002D750E"/>
    <w:rsid w:val="002D7C4A"/>
    <w:rsid w:val="002E010E"/>
    <w:rsid w:val="002E06F6"/>
    <w:rsid w:val="002E0D20"/>
    <w:rsid w:val="002E2626"/>
    <w:rsid w:val="002E2D8E"/>
    <w:rsid w:val="002E363E"/>
    <w:rsid w:val="002E365C"/>
    <w:rsid w:val="002E376B"/>
    <w:rsid w:val="002E3F3D"/>
    <w:rsid w:val="002E4045"/>
    <w:rsid w:val="002E5046"/>
    <w:rsid w:val="002E6A46"/>
    <w:rsid w:val="002E6C09"/>
    <w:rsid w:val="002E7314"/>
    <w:rsid w:val="002F10DA"/>
    <w:rsid w:val="002F25AA"/>
    <w:rsid w:val="002F2FB3"/>
    <w:rsid w:val="002F31AB"/>
    <w:rsid w:val="002F36C4"/>
    <w:rsid w:val="002F382C"/>
    <w:rsid w:val="002F450D"/>
    <w:rsid w:val="002F52EF"/>
    <w:rsid w:val="002F54F5"/>
    <w:rsid w:val="002F5823"/>
    <w:rsid w:val="002F6542"/>
    <w:rsid w:val="002F6758"/>
    <w:rsid w:val="002F678E"/>
    <w:rsid w:val="002F7050"/>
    <w:rsid w:val="002F756A"/>
    <w:rsid w:val="002F7645"/>
    <w:rsid w:val="002F7BFF"/>
    <w:rsid w:val="002F7E75"/>
    <w:rsid w:val="002F7FB1"/>
    <w:rsid w:val="00300558"/>
    <w:rsid w:val="00300BA9"/>
    <w:rsid w:val="00300D78"/>
    <w:rsid w:val="00300EF5"/>
    <w:rsid w:val="00301193"/>
    <w:rsid w:val="00301C6A"/>
    <w:rsid w:val="00301FC1"/>
    <w:rsid w:val="0030285B"/>
    <w:rsid w:val="003028B3"/>
    <w:rsid w:val="00303D87"/>
    <w:rsid w:val="003041F6"/>
    <w:rsid w:val="003044CB"/>
    <w:rsid w:val="00304E3D"/>
    <w:rsid w:val="0030504E"/>
    <w:rsid w:val="0030533C"/>
    <w:rsid w:val="003053E0"/>
    <w:rsid w:val="00305717"/>
    <w:rsid w:val="00305E10"/>
    <w:rsid w:val="0030666D"/>
    <w:rsid w:val="003068E5"/>
    <w:rsid w:val="00310592"/>
    <w:rsid w:val="0031090E"/>
    <w:rsid w:val="00310E16"/>
    <w:rsid w:val="00311819"/>
    <w:rsid w:val="00311D40"/>
    <w:rsid w:val="003125E7"/>
    <w:rsid w:val="00314016"/>
    <w:rsid w:val="003142F5"/>
    <w:rsid w:val="0031678C"/>
    <w:rsid w:val="00317691"/>
    <w:rsid w:val="00317770"/>
    <w:rsid w:val="00317D18"/>
    <w:rsid w:val="00317FCE"/>
    <w:rsid w:val="0032032D"/>
    <w:rsid w:val="003204E8"/>
    <w:rsid w:val="0032054E"/>
    <w:rsid w:val="003208FD"/>
    <w:rsid w:val="00320EAF"/>
    <w:rsid w:val="00321ED3"/>
    <w:rsid w:val="00322B65"/>
    <w:rsid w:val="00323578"/>
    <w:rsid w:val="00323646"/>
    <w:rsid w:val="003238C8"/>
    <w:rsid w:val="00323999"/>
    <w:rsid w:val="00324127"/>
    <w:rsid w:val="0032430E"/>
    <w:rsid w:val="003259D6"/>
    <w:rsid w:val="00325E7B"/>
    <w:rsid w:val="00326BFC"/>
    <w:rsid w:val="0032746D"/>
    <w:rsid w:val="00330153"/>
    <w:rsid w:val="0033151E"/>
    <w:rsid w:val="0033184E"/>
    <w:rsid w:val="00331877"/>
    <w:rsid w:val="00331F66"/>
    <w:rsid w:val="003320E1"/>
    <w:rsid w:val="00332263"/>
    <w:rsid w:val="003328BB"/>
    <w:rsid w:val="00332AD7"/>
    <w:rsid w:val="00332B8F"/>
    <w:rsid w:val="003335F4"/>
    <w:rsid w:val="00333D78"/>
    <w:rsid w:val="00334994"/>
    <w:rsid w:val="00334B85"/>
    <w:rsid w:val="0033546B"/>
    <w:rsid w:val="003354BE"/>
    <w:rsid w:val="00335702"/>
    <w:rsid w:val="00335D86"/>
    <w:rsid w:val="00335DFE"/>
    <w:rsid w:val="003368BC"/>
    <w:rsid w:val="00336964"/>
    <w:rsid w:val="00337414"/>
    <w:rsid w:val="00337532"/>
    <w:rsid w:val="0034035F"/>
    <w:rsid w:val="00340A34"/>
    <w:rsid w:val="00341605"/>
    <w:rsid w:val="0034178D"/>
    <w:rsid w:val="003420EE"/>
    <w:rsid w:val="0034320D"/>
    <w:rsid w:val="00343272"/>
    <w:rsid w:val="00343483"/>
    <w:rsid w:val="00344E0B"/>
    <w:rsid w:val="00344F82"/>
    <w:rsid w:val="00345498"/>
    <w:rsid w:val="00345B7A"/>
    <w:rsid w:val="00345F48"/>
    <w:rsid w:val="00345FD7"/>
    <w:rsid w:val="00346257"/>
    <w:rsid w:val="003464C5"/>
    <w:rsid w:val="00347070"/>
    <w:rsid w:val="00347081"/>
    <w:rsid w:val="0034744D"/>
    <w:rsid w:val="00347B94"/>
    <w:rsid w:val="00347D63"/>
    <w:rsid w:val="0035057E"/>
    <w:rsid w:val="00350DDA"/>
    <w:rsid w:val="00351035"/>
    <w:rsid w:val="003515BE"/>
    <w:rsid w:val="00351BD8"/>
    <w:rsid w:val="00351F74"/>
    <w:rsid w:val="00352206"/>
    <w:rsid w:val="003523A3"/>
    <w:rsid w:val="003523AE"/>
    <w:rsid w:val="00353F27"/>
    <w:rsid w:val="00354265"/>
    <w:rsid w:val="00355933"/>
    <w:rsid w:val="00355A14"/>
    <w:rsid w:val="00355DAA"/>
    <w:rsid w:val="0035632E"/>
    <w:rsid w:val="00356E2E"/>
    <w:rsid w:val="00356F46"/>
    <w:rsid w:val="00357F04"/>
    <w:rsid w:val="00360CC6"/>
    <w:rsid w:val="00360E4A"/>
    <w:rsid w:val="003614C4"/>
    <w:rsid w:val="00361FA6"/>
    <w:rsid w:val="003621CB"/>
    <w:rsid w:val="00362B45"/>
    <w:rsid w:val="0036352B"/>
    <w:rsid w:val="00363D15"/>
    <w:rsid w:val="00363D7C"/>
    <w:rsid w:val="00363F8A"/>
    <w:rsid w:val="0036463C"/>
    <w:rsid w:val="003647DA"/>
    <w:rsid w:val="00364A97"/>
    <w:rsid w:val="0036540E"/>
    <w:rsid w:val="00365769"/>
    <w:rsid w:val="00365FCC"/>
    <w:rsid w:val="003660BE"/>
    <w:rsid w:val="0036677D"/>
    <w:rsid w:val="00366B20"/>
    <w:rsid w:val="00366D74"/>
    <w:rsid w:val="00367DE9"/>
    <w:rsid w:val="003700D4"/>
    <w:rsid w:val="0037103D"/>
    <w:rsid w:val="003711B4"/>
    <w:rsid w:val="00371528"/>
    <w:rsid w:val="0037198A"/>
    <w:rsid w:val="003725A6"/>
    <w:rsid w:val="00372729"/>
    <w:rsid w:val="0037284D"/>
    <w:rsid w:val="0037287C"/>
    <w:rsid w:val="00372B3A"/>
    <w:rsid w:val="00372DE8"/>
    <w:rsid w:val="0037308D"/>
    <w:rsid w:val="00373306"/>
    <w:rsid w:val="0037417E"/>
    <w:rsid w:val="003744CD"/>
    <w:rsid w:val="00374DA8"/>
    <w:rsid w:val="00374DB2"/>
    <w:rsid w:val="00375375"/>
    <w:rsid w:val="00375970"/>
    <w:rsid w:val="00375B63"/>
    <w:rsid w:val="003760BF"/>
    <w:rsid w:val="0037610E"/>
    <w:rsid w:val="003764F8"/>
    <w:rsid w:val="00376712"/>
    <w:rsid w:val="00376F1F"/>
    <w:rsid w:val="00377658"/>
    <w:rsid w:val="00377F5C"/>
    <w:rsid w:val="003802C0"/>
    <w:rsid w:val="0038064C"/>
    <w:rsid w:val="00380CDF"/>
    <w:rsid w:val="0038105C"/>
    <w:rsid w:val="00381BD5"/>
    <w:rsid w:val="00381BDD"/>
    <w:rsid w:val="00381E2E"/>
    <w:rsid w:val="00382591"/>
    <w:rsid w:val="00382864"/>
    <w:rsid w:val="003829E2"/>
    <w:rsid w:val="003837F7"/>
    <w:rsid w:val="00384282"/>
    <w:rsid w:val="003842A9"/>
    <w:rsid w:val="003860B8"/>
    <w:rsid w:val="003874AE"/>
    <w:rsid w:val="003878F0"/>
    <w:rsid w:val="00391113"/>
    <w:rsid w:val="00391A5A"/>
    <w:rsid w:val="00393A5E"/>
    <w:rsid w:val="00393EEC"/>
    <w:rsid w:val="003944B3"/>
    <w:rsid w:val="003948D2"/>
    <w:rsid w:val="00394E66"/>
    <w:rsid w:val="00397932"/>
    <w:rsid w:val="00397A75"/>
    <w:rsid w:val="003A04D7"/>
    <w:rsid w:val="003A0D5F"/>
    <w:rsid w:val="003A1F75"/>
    <w:rsid w:val="003A23A0"/>
    <w:rsid w:val="003A24BC"/>
    <w:rsid w:val="003A28B9"/>
    <w:rsid w:val="003A334E"/>
    <w:rsid w:val="003A4110"/>
    <w:rsid w:val="003A417F"/>
    <w:rsid w:val="003A4317"/>
    <w:rsid w:val="003A45BF"/>
    <w:rsid w:val="003A528D"/>
    <w:rsid w:val="003A5C18"/>
    <w:rsid w:val="003A5FF6"/>
    <w:rsid w:val="003A68EB"/>
    <w:rsid w:val="003A76D7"/>
    <w:rsid w:val="003A76F2"/>
    <w:rsid w:val="003A7BB1"/>
    <w:rsid w:val="003A7E29"/>
    <w:rsid w:val="003B0281"/>
    <w:rsid w:val="003B083E"/>
    <w:rsid w:val="003B0D1D"/>
    <w:rsid w:val="003B0E0A"/>
    <w:rsid w:val="003B0EDE"/>
    <w:rsid w:val="003B0F2B"/>
    <w:rsid w:val="003B10EA"/>
    <w:rsid w:val="003B13DD"/>
    <w:rsid w:val="003B1426"/>
    <w:rsid w:val="003B15ED"/>
    <w:rsid w:val="003B19C3"/>
    <w:rsid w:val="003B2E99"/>
    <w:rsid w:val="003B2F6F"/>
    <w:rsid w:val="003B3119"/>
    <w:rsid w:val="003B3443"/>
    <w:rsid w:val="003B3543"/>
    <w:rsid w:val="003B3D3E"/>
    <w:rsid w:val="003B3FA4"/>
    <w:rsid w:val="003B4B4F"/>
    <w:rsid w:val="003B5175"/>
    <w:rsid w:val="003B56D4"/>
    <w:rsid w:val="003B58C8"/>
    <w:rsid w:val="003B58CA"/>
    <w:rsid w:val="003B5CF4"/>
    <w:rsid w:val="003B5D01"/>
    <w:rsid w:val="003B5E5A"/>
    <w:rsid w:val="003B68E1"/>
    <w:rsid w:val="003B7678"/>
    <w:rsid w:val="003C02EC"/>
    <w:rsid w:val="003C0607"/>
    <w:rsid w:val="003C0DE4"/>
    <w:rsid w:val="003C1221"/>
    <w:rsid w:val="003C1295"/>
    <w:rsid w:val="003C1323"/>
    <w:rsid w:val="003C1A88"/>
    <w:rsid w:val="003C250A"/>
    <w:rsid w:val="003C2A04"/>
    <w:rsid w:val="003C3261"/>
    <w:rsid w:val="003C3EEF"/>
    <w:rsid w:val="003C4266"/>
    <w:rsid w:val="003C4B3D"/>
    <w:rsid w:val="003C4CBE"/>
    <w:rsid w:val="003C558E"/>
    <w:rsid w:val="003C5C54"/>
    <w:rsid w:val="003C6375"/>
    <w:rsid w:val="003C645B"/>
    <w:rsid w:val="003C68C9"/>
    <w:rsid w:val="003C707D"/>
    <w:rsid w:val="003C7261"/>
    <w:rsid w:val="003C7776"/>
    <w:rsid w:val="003D01A7"/>
    <w:rsid w:val="003D09B8"/>
    <w:rsid w:val="003D0AC9"/>
    <w:rsid w:val="003D11F0"/>
    <w:rsid w:val="003D161E"/>
    <w:rsid w:val="003D174A"/>
    <w:rsid w:val="003D1D89"/>
    <w:rsid w:val="003D1ECA"/>
    <w:rsid w:val="003D1F55"/>
    <w:rsid w:val="003D21C0"/>
    <w:rsid w:val="003D2428"/>
    <w:rsid w:val="003D2896"/>
    <w:rsid w:val="003D337E"/>
    <w:rsid w:val="003D38FA"/>
    <w:rsid w:val="003D3D28"/>
    <w:rsid w:val="003D4269"/>
    <w:rsid w:val="003D4353"/>
    <w:rsid w:val="003D5B16"/>
    <w:rsid w:val="003D5D5C"/>
    <w:rsid w:val="003D6552"/>
    <w:rsid w:val="003D7074"/>
    <w:rsid w:val="003E00AF"/>
    <w:rsid w:val="003E2761"/>
    <w:rsid w:val="003E2E9F"/>
    <w:rsid w:val="003E3A65"/>
    <w:rsid w:val="003E40E9"/>
    <w:rsid w:val="003E5286"/>
    <w:rsid w:val="003E5705"/>
    <w:rsid w:val="003E5E87"/>
    <w:rsid w:val="003E765A"/>
    <w:rsid w:val="003E7BB0"/>
    <w:rsid w:val="003F00AB"/>
    <w:rsid w:val="003F07D3"/>
    <w:rsid w:val="003F2030"/>
    <w:rsid w:val="003F23A3"/>
    <w:rsid w:val="003F250F"/>
    <w:rsid w:val="003F256A"/>
    <w:rsid w:val="003F29C9"/>
    <w:rsid w:val="003F2E63"/>
    <w:rsid w:val="003F3134"/>
    <w:rsid w:val="003F31CC"/>
    <w:rsid w:val="003F4850"/>
    <w:rsid w:val="003F4B5A"/>
    <w:rsid w:val="003F56C8"/>
    <w:rsid w:val="003F5A15"/>
    <w:rsid w:val="003F5A36"/>
    <w:rsid w:val="003F5A7B"/>
    <w:rsid w:val="003F66CB"/>
    <w:rsid w:val="003F6F85"/>
    <w:rsid w:val="003F7016"/>
    <w:rsid w:val="003F7970"/>
    <w:rsid w:val="0040097D"/>
    <w:rsid w:val="0040175C"/>
    <w:rsid w:val="00401916"/>
    <w:rsid w:val="00401EF2"/>
    <w:rsid w:val="00401F09"/>
    <w:rsid w:val="0040280D"/>
    <w:rsid w:val="00402DFA"/>
    <w:rsid w:val="00403865"/>
    <w:rsid w:val="00403EB2"/>
    <w:rsid w:val="004043EF"/>
    <w:rsid w:val="004046C9"/>
    <w:rsid w:val="0040568A"/>
    <w:rsid w:val="0040596B"/>
    <w:rsid w:val="00405C30"/>
    <w:rsid w:val="00405CC9"/>
    <w:rsid w:val="004061A1"/>
    <w:rsid w:val="00406679"/>
    <w:rsid w:val="00406A80"/>
    <w:rsid w:val="00406AC8"/>
    <w:rsid w:val="00406C74"/>
    <w:rsid w:val="00407434"/>
    <w:rsid w:val="00407815"/>
    <w:rsid w:val="004108BA"/>
    <w:rsid w:val="004114AE"/>
    <w:rsid w:val="00411B3D"/>
    <w:rsid w:val="0041255A"/>
    <w:rsid w:val="00412691"/>
    <w:rsid w:val="004128CB"/>
    <w:rsid w:val="00412A77"/>
    <w:rsid w:val="00412C17"/>
    <w:rsid w:val="0041347B"/>
    <w:rsid w:val="0041363E"/>
    <w:rsid w:val="00414939"/>
    <w:rsid w:val="0041554E"/>
    <w:rsid w:val="00415704"/>
    <w:rsid w:val="004158CA"/>
    <w:rsid w:val="004163FC"/>
    <w:rsid w:val="004173C5"/>
    <w:rsid w:val="0041747B"/>
    <w:rsid w:val="00420439"/>
    <w:rsid w:val="00420963"/>
    <w:rsid w:val="00420A72"/>
    <w:rsid w:val="00422024"/>
    <w:rsid w:val="004225D1"/>
    <w:rsid w:val="0042369C"/>
    <w:rsid w:val="00423B90"/>
    <w:rsid w:val="00423E14"/>
    <w:rsid w:val="00424276"/>
    <w:rsid w:val="00424A8D"/>
    <w:rsid w:val="00424E82"/>
    <w:rsid w:val="00425197"/>
    <w:rsid w:val="0042552F"/>
    <w:rsid w:val="004256FE"/>
    <w:rsid w:val="00425C49"/>
    <w:rsid w:val="00426096"/>
    <w:rsid w:val="00426D00"/>
    <w:rsid w:val="00427770"/>
    <w:rsid w:val="00427F61"/>
    <w:rsid w:val="00427F8E"/>
    <w:rsid w:val="00430D17"/>
    <w:rsid w:val="00430DAA"/>
    <w:rsid w:val="00431B36"/>
    <w:rsid w:val="004325D7"/>
    <w:rsid w:val="00433677"/>
    <w:rsid w:val="00433A17"/>
    <w:rsid w:val="00435077"/>
    <w:rsid w:val="00435516"/>
    <w:rsid w:val="0043551D"/>
    <w:rsid w:val="00435A99"/>
    <w:rsid w:val="00436189"/>
    <w:rsid w:val="0043632F"/>
    <w:rsid w:val="0043690E"/>
    <w:rsid w:val="00437188"/>
    <w:rsid w:val="00437752"/>
    <w:rsid w:val="0044053B"/>
    <w:rsid w:val="0044063A"/>
    <w:rsid w:val="00441C0A"/>
    <w:rsid w:val="00441E77"/>
    <w:rsid w:val="00442878"/>
    <w:rsid w:val="00443544"/>
    <w:rsid w:val="004437E6"/>
    <w:rsid w:val="0044385B"/>
    <w:rsid w:val="004440D7"/>
    <w:rsid w:val="0044499D"/>
    <w:rsid w:val="00444E3B"/>
    <w:rsid w:val="00444F0E"/>
    <w:rsid w:val="00445062"/>
    <w:rsid w:val="00445E74"/>
    <w:rsid w:val="0044642E"/>
    <w:rsid w:val="004466E5"/>
    <w:rsid w:val="004468AF"/>
    <w:rsid w:val="00447556"/>
    <w:rsid w:val="00447958"/>
    <w:rsid w:val="00450876"/>
    <w:rsid w:val="00450A51"/>
    <w:rsid w:val="00450AAA"/>
    <w:rsid w:val="00450C4B"/>
    <w:rsid w:val="004516D2"/>
    <w:rsid w:val="0045172E"/>
    <w:rsid w:val="00451AD3"/>
    <w:rsid w:val="004520F2"/>
    <w:rsid w:val="0045270E"/>
    <w:rsid w:val="004527D3"/>
    <w:rsid w:val="0045354F"/>
    <w:rsid w:val="00454799"/>
    <w:rsid w:val="00454B39"/>
    <w:rsid w:val="00454E68"/>
    <w:rsid w:val="00454F43"/>
    <w:rsid w:val="004551BD"/>
    <w:rsid w:val="0045641F"/>
    <w:rsid w:val="004564FC"/>
    <w:rsid w:val="004575F8"/>
    <w:rsid w:val="00457C4C"/>
    <w:rsid w:val="00457DF0"/>
    <w:rsid w:val="004604BC"/>
    <w:rsid w:val="00460EFE"/>
    <w:rsid w:val="0046164A"/>
    <w:rsid w:val="004616D5"/>
    <w:rsid w:val="00461F3A"/>
    <w:rsid w:val="00461F42"/>
    <w:rsid w:val="00462847"/>
    <w:rsid w:val="00462A52"/>
    <w:rsid w:val="00462BD8"/>
    <w:rsid w:val="004634E3"/>
    <w:rsid w:val="00463D27"/>
    <w:rsid w:val="00464528"/>
    <w:rsid w:val="004655CB"/>
    <w:rsid w:val="004657D7"/>
    <w:rsid w:val="00465AEC"/>
    <w:rsid w:val="004663BE"/>
    <w:rsid w:val="004667FB"/>
    <w:rsid w:val="0046726E"/>
    <w:rsid w:val="00467CC6"/>
    <w:rsid w:val="00467CED"/>
    <w:rsid w:val="00467F6C"/>
    <w:rsid w:val="00470984"/>
    <w:rsid w:val="00471036"/>
    <w:rsid w:val="0047204B"/>
    <w:rsid w:val="00472EE3"/>
    <w:rsid w:val="0047448F"/>
    <w:rsid w:val="00474DA1"/>
    <w:rsid w:val="00474EB0"/>
    <w:rsid w:val="00474F4A"/>
    <w:rsid w:val="00475F3E"/>
    <w:rsid w:val="00476289"/>
    <w:rsid w:val="00476408"/>
    <w:rsid w:val="004765F2"/>
    <w:rsid w:val="004769F2"/>
    <w:rsid w:val="00476E1F"/>
    <w:rsid w:val="004771DF"/>
    <w:rsid w:val="00477375"/>
    <w:rsid w:val="004775C7"/>
    <w:rsid w:val="00477E89"/>
    <w:rsid w:val="004801B9"/>
    <w:rsid w:val="00480B75"/>
    <w:rsid w:val="00480B7D"/>
    <w:rsid w:val="00480C3D"/>
    <w:rsid w:val="0048132C"/>
    <w:rsid w:val="00481A1B"/>
    <w:rsid w:val="00481E28"/>
    <w:rsid w:val="00482184"/>
    <w:rsid w:val="004830CE"/>
    <w:rsid w:val="004833E8"/>
    <w:rsid w:val="00483572"/>
    <w:rsid w:val="00483F45"/>
    <w:rsid w:val="004841E4"/>
    <w:rsid w:val="00484389"/>
    <w:rsid w:val="00484B67"/>
    <w:rsid w:val="00484F58"/>
    <w:rsid w:val="004852C4"/>
    <w:rsid w:val="00487231"/>
    <w:rsid w:val="004878FE"/>
    <w:rsid w:val="00487976"/>
    <w:rsid w:val="00490061"/>
    <w:rsid w:val="004903FE"/>
    <w:rsid w:val="00490831"/>
    <w:rsid w:val="00490B9B"/>
    <w:rsid w:val="00490CF3"/>
    <w:rsid w:val="004915DB"/>
    <w:rsid w:val="004927D1"/>
    <w:rsid w:val="004927EA"/>
    <w:rsid w:val="004930C9"/>
    <w:rsid w:val="004933BB"/>
    <w:rsid w:val="00493D06"/>
    <w:rsid w:val="00493E8B"/>
    <w:rsid w:val="004944BE"/>
    <w:rsid w:val="00494653"/>
    <w:rsid w:val="00494801"/>
    <w:rsid w:val="00495B76"/>
    <w:rsid w:val="00496032"/>
    <w:rsid w:val="00497DBC"/>
    <w:rsid w:val="004A001D"/>
    <w:rsid w:val="004A03D0"/>
    <w:rsid w:val="004A0EB2"/>
    <w:rsid w:val="004A10D5"/>
    <w:rsid w:val="004A1721"/>
    <w:rsid w:val="004A19AC"/>
    <w:rsid w:val="004A1D16"/>
    <w:rsid w:val="004A20EB"/>
    <w:rsid w:val="004A2D56"/>
    <w:rsid w:val="004A2D5E"/>
    <w:rsid w:val="004A3DC1"/>
    <w:rsid w:val="004A4757"/>
    <w:rsid w:val="004A6497"/>
    <w:rsid w:val="004A6C31"/>
    <w:rsid w:val="004A762D"/>
    <w:rsid w:val="004A7BAC"/>
    <w:rsid w:val="004A7F51"/>
    <w:rsid w:val="004B0299"/>
    <w:rsid w:val="004B02BE"/>
    <w:rsid w:val="004B0461"/>
    <w:rsid w:val="004B0F26"/>
    <w:rsid w:val="004B107E"/>
    <w:rsid w:val="004B10BA"/>
    <w:rsid w:val="004B126E"/>
    <w:rsid w:val="004B217A"/>
    <w:rsid w:val="004B239B"/>
    <w:rsid w:val="004B282A"/>
    <w:rsid w:val="004B353B"/>
    <w:rsid w:val="004B3E7F"/>
    <w:rsid w:val="004B3EB0"/>
    <w:rsid w:val="004B4ACE"/>
    <w:rsid w:val="004B4DBE"/>
    <w:rsid w:val="004B567A"/>
    <w:rsid w:val="004B59FC"/>
    <w:rsid w:val="004B5C76"/>
    <w:rsid w:val="004B67CF"/>
    <w:rsid w:val="004B79BD"/>
    <w:rsid w:val="004B7C3F"/>
    <w:rsid w:val="004C1EED"/>
    <w:rsid w:val="004C23F5"/>
    <w:rsid w:val="004C280B"/>
    <w:rsid w:val="004C32B1"/>
    <w:rsid w:val="004C3D7F"/>
    <w:rsid w:val="004C3F10"/>
    <w:rsid w:val="004C4189"/>
    <w:rsid w:val="004C43B4"/>
    <w:rsid w:val="004C4594"/>
    <w:rsid w:val="004C477F"/>
    <w:rsid w:val="004C4795"/>
    <w:rsid w:val="004C4894"/>
    <w:rsid w:val="004C49A9"/>
    <w:rsid w:val="004C5969"/>
    <w:rsid w:val="004C6627"/>
    <w:rsid w:val="004C704C"/>
    <w:rsid w:val="004C70CF"/>
    <w:rsid w:val="004C7C9F"/>
    <w:rsid w:val="004D03A8"/>
    <w:rsid w:val="004D243C"/>
    <w:rsid w:val="004D303E"/>
    <w:rsid w:val="004D36FD"/>
    <w:rsid w:val="004D4052"/>
    <w:rsid w:val="004D4414"/>
    <w:rsid w:val="004D485C"/>
    <w:rsid w:val="004D5193"/>
    <w:rsid w:val="004D55CA"/>
    <w:rsid w:val="004D5BA7"/>
    <w:rsid w:val="004D5F4E"/>
    <w:rsid w:val="004D65BC"/>
    <w:rsid w:val="004D6CA9"/>
    <w:rsid w:val="004D73D9"/>
    <w:rsid w:val="004D7779"/>
    <w:rsid w:val="004D7ADF"/>
    <w:rsid w:val="004E0183"/>
    <w:rsid w:val="004E05E8"/>
    <w:rsid w:val="004E0865"/>
    <w:rsid w:val="004E0B55"/>
    <w:rsid w:val="004E12B9"/>
    <w:rsid w:val="004E1665"/>
    <w:rsid w:val="004E1ED2"/>
    <w:rsid w:val="004E2ED3"/>
    <w:rsid w:val="004E2F8C"/>
    <w:rsid w:val="004E4533"/>
    <w:rsid w:val="004E4F08"/>
    <w:rsid w:val="004E57A5"/>
    <w:rsid w:val="004E61E6"/>
    <w:rsid w:val="004E6659"/>
    <w:rsid w:val="004E69FD"/>
    <w:rsid w:val="004E7235"/>
    <w:rsid w:val="004E7820"/>
    <w:rsid w:val="004F05F9"/>
    <w:rsid w:val="004F09ED"/>
    <w:rsid w:val="004F1280"/>
    <w:rsid w:val="004F163E"/>
    <w:rsid w:val="004F1740"/>
    <w:rsid w:val="004F17DD"/>
    <w:rsid w:val="004F1D68"/>
    <w:rsid w:val="004F2369"/>
    <w:rsid w:val="004F269F"/>
    <w:rsid w:val="004F299C"/>
    <w:rsid w:val="004F327A"/>
    <w:rsid w:val="004F355F"/>
    <w:rsid w:val="004F36A8"/>
    <w:rsid w:val="004F3A73"/>
    <w:rsid w:val="004F414C"/>
    <w:rsid w:val="004F51B4"/>
    <w:rsid w:val="004F52D4"/>
    <w:rsid w:val="004F56B8"/>
    <w:rsid w:val="004F5FC0"/>
    <w:rsid w:val="004F6935"/>
    <w:rsid w:val="004F6C1E"/>
    <w:rsid w:val="004F71ED"/>
    <w:rsid w:val="004F7743"/>
    <w:rsid w:val="005009B0"/>
    <w:rsid w:val="00500BD7"/>
    <w:rsid w:val="005016F9"/>
    <w:rsid w:val="00502C13"/>
    <w:rsid w:val="0050384B"/>
    <w:rsid w:val="0050480F"/>
    <w:rsid w:val="005049A1"/>
    <w:rsid w:val="005049CC"/>
    <w:rsid w:val="00504D08"/>
    <w:rsid w:val="0050556B"/>
    <w:rsid w:val="00505909"/>
    <w:rsid w:val="00505AC9"/>
    <w:rsid w:val="00506693"/>
    <w:rsid w:val="00506C27"/>
    <w:rsid w:val="00506C2C"/>
    <w:rsid w:val="0050726A"/>
    <w:rsid w:val="00507CC9"/>
    <w:rsid w:val="00507D2A"/>
    <w:rsid w:val="00507DBF"/>
    <w:rsid w:val="0051003D"/>
    <w:rsid w:val="005108AC"/>
    <w:rsid w:val="00510D2E"/>
    <w:rsid w:val="00510D6C"/>
    <w:rsid w:val="00511041"/>
    <w:rsid w:val="00512A22"/>
    <w:rsid w:val="00512FAF"/>
    <w:rsid w:val="00513DD5"/>
    <w:rsid w:val="005141C8"/>
    <w:rsid w:val="00514AAF"/>
    <w:rsid w:val="00515361"/>
    <w:rsid w:val="005161A8"/>
    <w:rsid w:val="005161B1"/>
    <w:rsid w:val="00516650"/>
    <w:rsid w:val="005167D6"/>
    <w:rsid w:val="00516831"/>
    <w:rsid w:val="0051766C"/>
    <w:rsid w:val="005201B3"/>
    <w:rsid w:val="005211C7"/>
    <w:rsid w:val="00521D73"/>
    <w:rsid w:val="0052398D"/>
    <w:rsid w:val="005243B2"/>
    <w:rsid w:val="005244E4"/>
    <w:rsid w:val="00524C8D"/>
    <w:rsid w:val="005253E7"/>
    <w:rsid w:val="00525987"/>
    <w:rsid w:val="00525D32"/>
    <w:rsid w:val="00525DED"/>
    <w:rsid w:val="0052608A"/>
    <w:rsid w:val="005269A4"/>
    <w:rsid w:val="00526A98"/>
    <w:rsid w:val="00527BE5"/>
    <w:rsid w:val="00530AC7"/>
    <w:rsid w:val="00530F7C"/>
    <w:rsid w:val="00531268"/>
    <w:rsid w:val="00532ECC"/>
    <w:rsid w:val="00532F3D"/>
    <w:rsid w:val="00533070"/>
    <w:rsid w:val="00533167"/>
    <w:rsid w:val="005342B7"/>
    <w:rsid w:val="00536BE6"/>
    <w:rsid w:val="00540D2B"/>
    <w:rsid w:val="00540D3B"/>
    <w:rsid w:val="00541300"/>
    <w:rsid w:val="00541419"/>
    <w:rsid w:val="00541F22"/>
    <w:rsid w:val="0054275D"/>
    <w:rsid w:val="00543AC4"/>
    <w:rsid w:val="0054401B"/>
    <w:rsid w:val="0054409F"/>
    <w:rsid w:val="0054453B"/>
    <w:rsid w:val="00544C6C"/>
    <w:rsid w:val="00544EFD"/>
    <w:rsid w:val="00544F3A"/>
    <w:rsid w:val="005453B2"/>
    <w:rsid w:val="00546C5C"/>
    <w:rsid w:val="00546F38"/>
    <w:rsid w:val="00547524"/>
    <w:rsid w:val="00547602"/>
    <w:rsid w:val="00547D74"/>
    <w:rsid w:val="00550400"/>
    <w:rsid w:val="00550674"/>
    <w:rsid w:val="005506F8"/>
    <w:rsid w:val="00551490"/>
    <w:rsid w:val="0055156D"/>
    <w:rsid w:val="005526C9"/>
    <w:rsid w:val="00552ADE"/>
    <w:rsid w:val="00552D45"/>
    <w:rsid w:val="00553922"/>
    <w:rsid w:val="00553CD7"/>
    <w:rsid w:val="0055432F"/>
    <w:rsid w:val="00554A52"/>
    <w:rsid w:val="00555B66"/>
    <w:rsid w:val="005560B3"/>
    <w:rsid w:val="00556FA7"/>
    <w:rsid w:val="005572E6"/>
    <w:rsid w:val="00557553"/>
    <w:rsid w:val="00557B5F"/>
    <w:rsid w:val="00561202"/>
    <w:rsid w:val="00561BF3"/>
    <w:rsid w:val="00561FB6"/>
    <w:rsid w:val="00563515"/>
    <w:rsid w:val="00563B65"/>
    <w:rsid w:val="005645A5"/>
    <w:rsid w:val="00564CB3"/>
    <w:rsid w:val="0056513B"/>
    <w:rsid w:val="005655B5"/>
    <w:rsid w:val="00565617"/>
    <w:rsid w:val="00565D24"/>
    <w:rsid w:val="00565E07"/>
    <w:rsid w:val="005662EB"/>
    <w:rsid w:val="0056708A"/>
    <w:rsid w:val="0056783F"/>
    <w:rsid w:val="00567E3C"/>
    <w:rsid w:val="00567E3F"/>
    <w:rsid w:val="0057088F"/>
    <w:rsid w:val="00570E33"/>
    <w:rsid w:val="005713A4"/>
    <w:rsid w:val="00571D6C"/>
    <w:rsid w:val="00572275"/>
    <w:rsid w:val="00572A4C"/>
    <w:rsid w:val="00572DF8"/>
    <w:rsid w:val="00573A5E"/>
    <w:rsid w:val="00574C00"/>
    <w:rsid w:val="00574FA8"/>
    <w:rsid w:val="00575184"/>
    <w:rsid w:val="005759DB"/>
    <w:rsid w:val="005762DA"/>
    <w:rsid w:val="00576390"/>
    <w:rsid w:val="005766CC"/>
    <w:rsid w:val="00576BCA"/>
    <w:rsid w:val="00576F74"/>
    <w:rsid w:val="00577631"/>
    <w:rsid w:val="005777C7"/>
    <w:rsid w:val="00577C82"/>
    <w:rsid w:val="005807C1"/>
    <w:rsid w:val="00580805"/>
    <w:rsid w:val="005809DC"/>
    <w:rsid w:val="00580AA0"/>
    <w:rsid w:val="00581188"/>
    <w:rsid w:val="005814AA"/>
    <w:rsid w:val="00581D9F"/>
    <w:rsid w:val="005827D9"/>
    <w:rsid w:val="00583959"/>
    <w:rsid w:val="00584655"/>
    <w:rsid w:val="00584C9F"/>
    <w:rsid w:val="00585514"/>
    <w:rsid w:val="00585F3B"/>
    <w:rsid w:val="00586F11"/>
    <w:rsid w:val="005873F5"/>
    <w:rsid w:val="00590790"/>
    <w:rsid w:val="00590E3B"/>
    <w:rsid w:val="0059151F"/>
    <w:rsid w:val="00591642"/>
    <w:rsid w:val="0059204A"/>
    <w:rsid w:val="00592268"/>
    <w:rsid w:val="005928DA"/>
    <w:rsid w:val="005933D5"/>
    <w:rsid w:val="005934ED"/>
    <w:rsid w:val="005945F4"/>
    <w:rsid w:val="00594BDE"/>
    <w:rsid w:val="00594F8C"/>
    <w:rsid w:val="005953F5"/>
    <w:rsid w:val="00595972"/>
    <w:rsid w:val="00595E02"/>
    <w:rsid w:val="00596CA0"/>
    <w:rsid w:val="0059720F"/>
    <w:rsid w:val="00597DA4"/>
    <w:rsid w:val="005A0076"/>
    <w:rsid w:val="005A055F"/>
    <w:rsid w:val="005A0757"/>
    <w:rsid w:val="005A0D4C"/>
    <w:rsid w:val="005A2146"/>
    <w:rsid w:val="005A23B4"/>
    <w:rsid w:val="005A38E5"/>
    <w:rsid w:val="005A4679"/>
    <w:rsid w:val="005A4B37"/>
    <w:rsid w:val="005A5AE7"/>
    <w:rsid w:val="005A5BD2"/>
    <w:rsid w:val="005A6884"/>
    <w:rsid w:val="005A6B93"/>
    <w:rsid w:val="005A704A"/>
    <w:rsid w:val="005A728C"/>
    <w:rsid w:val="005A72A0"/>
    <w:rsid w:val="005A76E9"/>
    <w:rsid w:val="005A7E93"/>
    <w:rsid w:val="005B015D"/>
    <w:rsid w:val="005B0CF3"/>
    <w:rsid w:val="005B130D"/>
    <w:rsid w:val="005B1856"/>
    <w:rsid w:val="005B1B65"/>
    <w:rsid w:val="005B1E08"/>
    <w:rsid w:val="005B29E7"/>
    <w:rsid w:val="005B3459"/>
    <w:rsid w:val="005B350B"/>
    <w:rsid w:val="005B39AE"/>
    <w:rsid w:val="005B3ACD"/>
    <w:rsid w:val="005B3F0D"/>
    <w:rsid w:val="005B4AF0"/>
    <w:rsid w:val="005B4ED5"/>
    <w:rsid w:val="005B6120"/>
    <w:rsid w:val="005B6528"/>
    <w:rsid w:val="005B7111"/>
    <w:rsid w:val="005B72DD"/>
    <w:rsid w:val="005C018F"/>
    <w:rsid w:val="005C094D"/>
    <w:rsid w:val="005C1000"/>
    <w:rsid w:val="005C14F1"/>
    <w:rsid w:val="005C1D9B"/>
    <w:rsid w:val="005C2097"/>
    <w:rsid w:val="005C3934"/>
    <w:rsid w:val="005C4E59"/>
    <w:rsid w:val="005C5A76"/>
    <w:rsid w:val="005C5B0C"/>
    <w:rsid w:val="005C5CB1"/>
    <w:rsid w:val="005C62DF"/>
    <w:rsid w:val="005C6656"/>
    <w:rsid w:val="005C6A98"/>
    <w:rsid w:val="005D0817"/>
    <w:rsid w:val="005D0BA6"/>
    <w:rsid w:val="005D11F9"/>
    <w:rsid w:val="005D1524"/>
    <w:rsid w:val="005D203E"/>
    <w:rsid w:val="005D2293"/>
    <w:rsid w:val="005D2426"/>
    <w:rsid w:val="005D292B"/>
    <w:rsid w:val="005D2AD5"/>
    <w:rsid w:val="005D2F9F"/>
    <w:rsid w:val="005D31F4"/>
    <w:rsid w:val="005D3AAE"/>
    <w:rsid w:val="005D40FF"/>
    <w:rsid w:val="005D4347"/>
    <w:rsid w:val="005D457E"/>
    <w:rsid w:val="005D475D"/>
    <w:rsid w:val="005D4BE2"/>
    <w:rsid w:val="005D4F9A"/>
    <w:rsid w:val="005D61BA"/>
    <w:rsid w:val="005D6BCB"/>
    <w:rsid w:val="005D6FCE"/>
    <w:rsid w:val="005E03E5"/>
    <w:rsid w:val="005E0478"/>
    <w:rsid w:val="005E058E"/>
    <w:rsid w:val="005E08DE"/>
    <w:rsid w:val="005E090F"/>
    <w:rsid w:val="005E2366"/>
    <w:rsid w:val="005E2BE6"/>
    <w:rsid w:val="005E2C3C"/>
    <w:rsid w:val="005E3199"/>
    <w:rsid w:val="005E3B5D"/>
    <w:rsid w:val="005E3C7E"/>
    <w:rsid w:val="005E43B2"/>
    <w:rsid w:val="005E4F45"/>
    <w:rsid w:val="005E5741"/>
    <w:rsid w:val="005E57C7"/>
    <w:rsid w:val="005E599B"/>
    <w:rsid w:val="005E5F98"/>
    <w:rsid w:val="005E62C6"/>
    <w:rsid w:val="005E7392"/>
    <w:rsid w:val="005E7D8C"/>
    <w:rsid w:val="005F046E"/>
    <w:rsid w:val="005F0526"/>
    <w:rsid w:val="005F24C8"/>
    <w:rsid w:val="005F27CA"/>
    <w:rsid w:val="005F2BD0"/>
    <w:rsid w:val="005F43F7"/>
    <w:rsid w:val="005F47A6"/>
    <w:rsid w:val="005F4A49"/>
    <w:rsid w:val="005F4C77"/>
    <w:rsid w:val="005F5554"/>
    <w:rsid w:val="005F5E54"/>
    <w:rsid w:val="005F79E7"/>
    <w:rsid w:val="005F7CFE"/>
    <w:rsid w:val="005F7DEC"/>
    <w:rsid w:val="0060017D"/>
    <w:rsid w:val="00600B8A"/>
    <w:rsid w:val="006014F0"/>
    <w:rsid w:val="00601C6C"/>
    <w:rsid w:val="00601E76"/>
    <w:rsid w:val="006021C1"/>
    <w:rsid w:val="00602563"/>
    <w:rsid w:val="00603F0B"/>
    <w:rsid w:val="00604170"/>
    <w:rsid w:val="00604677"/>
    <w:rsid w:val="00604BCB"/>
    <w:rsid w:val="00604BE5"/>
    <w:rsid w:val="00604C38"/>
    <w:rsid w:val="00605FD5"/>
    <w:rsid w:val="006107C3"/>
    <w:rsid w:val="006114B4"/>
    <w:rsid w:val="006114FE"/>
    <w:rsid w:val="00611AC5"/>
    <w:rsid w:val="006123D6"/>
    <w:rsid w:val="00612D88"/>
    <w:rsid w:val="00612F0F"/>
    <w:rsid w:val="00613D97"/>
    <w:rsid w:val="00613FC2"/>
    <w:rsid w:val="0061408D"/>
    <w:rsid w:val="006140FD"/>
    <w:rsid w:val="006143E7"/>
    <w:rsid w:val="0061497C"/>
    <w:rsid w:val="0061504E"/>
    <w:rsid w:val="006153FF"/>
    <w:rsid w:val="00615B9B"/>
    <w:rsid w:val="00615CDF"/>
    <w:rsid w:val="00616473"/>
    <w:rsid w:val="0061678E"/>
    <w:rsid w:val="00616C84"/>
    <w:rsid w:val="006172DB"/>
    <w:rsid w:val="00617B4B"/>
    <w:rsid w:val="00617DFD"/>
    <w:rsid w:val="00621ABD"/>
    <w:rsid w:val="00621BBA"/>
    <w:rsid w:val="00622293"/>
    <w:rsid w:val="0062229E"/>
    <w:rsid w:val="006227A9"/>
    <w:rsid w:val="00622B2A"/>
    <w:rsid w:val="0062304F"/>
    <w:rsid w:val="00623274"/>
    <w:rsid w:val="00623D17"/>
    <w:rsid w:val="00623E66"/>
    <w:rsid w:val="0062482D"/>
    <w:rsid w:val="00624D94"/>
    <w:rsid w:val="006251D6"/>
    <w:rsid w:val="00625530"/>
    <w:rsid w:val="0062585D"/>
    <w:rsid w:val="00626D40"/>
    <w:rsid w:val="00626EFC"/>
    <w:rsid w:val="00627448"/>
    <w:rsid w:val="00627638"/>
    <w:rsid w:val="00627E57"/>
    <w:rsid w:val="006309AD"/>
    <w:rsid w:val="00630C1F"/>
    <w:rsid w:val="006326BD"/>
    <w:rsid w:val="006328D2"/>
    <w:rsid w:val="00633ACF"/>
    <w:rsid w:val="00633B63"/>
    <w:rsid w:val="00633F45"/>
    <w:rsid w:val="0063462E"/>
    <w:rsid w:val="00634EAF"/>
    <w:rsid w:val="00634ECA"/>
    <w:rsid w:val="00635551"/>
    <w:rsid w:val="00635F87"/>
    <w:rsid w:val="00636837"/>
    <w:rsid w:val="00636AC1"/>
    <w:rsid w:val="00636EE5"/>
    <w:rsid w:val="00637249"/>
    <w:rsid w:val="006372F4"/>
    <w:rsid w:val="006407B1"/>
    <w:rsid w:val="006411B0"/>
    <w:rsid w:val="00641841"/>
    <w:rsid w:val="00641C7D"/>
    <w:rsid w:val="0064268B"/>
    <w:rsid w:val="00642D49"/>
    <w:rsid w:val="00643933"/>
    <w:rsid w:val="00643DE1"/>
    <w:rsid w:val="006442DB"/>
    <w:rsid w:val="0064553B"/>
    <w:rsid w:val="0064558C"/>
    <w:rsid w:val="00645D94"/>
    <w:rsid w:val="00646130"/>
    <w:rsid w:val="006462C8"/>
    <w:rsid w:val="0064647F"/>
    <w:rsid w:val="00647308"/>
    <w:rsid w:val="00647C71"/>
    <w:rsid w:val="00647F05"/>
    <w:rsid w:val="0065080E"/>
    <w:rsid w:val="00650B46"/>
    <w:rsid w:val="00650BBB"/>
    <w:rsid w:val="00650E89"/>
    <w:rsid w:val="00650FCB"/>
    <w:rsid w:val="00650FFD"/>
    <w:rsid w:val="006514E2"/>
    <w:rsid w:val="00651564"/>
    <w:rsid w:val="006527B8"/>
    <w:rsid w:val="006532AB"/>
    <w:rsid w:val="0065349A"/>
    <w:rsid w:val="0065473C"/>
    <w:rsid w:val="00655349"/>
    <w:rsid w:val="00655882"/>
    <w:rsid w:val="00656166"/>
    <w:rsid w:val="0065691D"/>
    <w:rsid w:val="006569F1"/>
    <w:rsid w:val="006572AC"/>
    <w:rsid w:val="006576CD"/>
    <w:rsid w:val="00662E4E"/>
    <w:rsid w:val="00662EA1"/>
    <w:rsid w:val="00662ED6"/>
    <w:rsid w:val="006634A1"/>
    <w:rsid w:val="00663DA3"/>
    <w:rsid w:val="006640A0"/>
    <w:rsid w:val="006642D3"/>
    <w:rsid w:val="00664E2D"/>
    <w:rsid w:val="00664F41"/>
    <w:rsid w:val="00665A49"/>
    <w:rsid w:val="00666081"/>
    <w:rsid w:val="006667D5"/>
    <w:rsid w:val="00666B9F"/>
    <w:rsid w:val="00667424"/>
    <w:rsid w:val="006676D1"/>
    <w:rsid w:val="00667BCE"/>
    <w:rsid w:val="00667BE0"/>
    <w:rsid w:val="006705B4"/>
    <w:rsid w:val="0067128B"/>
    <w:rsid w:val="006715BE"/>
    <w:rsid w:val="00671BD1"/>
    <w:rsid w:val="0067207D"/>
    <w:rsid w:val="00672A69"/>
    <w:rsid w:val="006732DE"/>
    <w:rsid w:val="00674918"/>
    <w:rsid w:val="00674B7A"/>
    <w:rsid w:val="00674BF0"/>
    <w:rsid w:val="0067578F"/>
    <w:rsid w:val="00675B64"/>
    <w:rsid w:val="00675CB7"/>
    <w:rsid w:val="00676347"/>
    <w:rsid w:val="006763DB"/>
    <w:rsid w:val="00677244"/>
    <w:rsid w:val="0067725C"/>
    <w:rsid w:val="006774CD"/>
    <w:rsid w:val="00677A98"/>
    <w:rsid w:val="006803C5"/>
    <w:rsid w:val="0068130E"/>
    <w:rsid w:val="006816AA"/>
    <w:rsid w:val="00681AE9"/>
    <w:rsid w:val="006826F7"/>
    <w:rsid w:val="00682775"/>
    <w:rsid w:val="00682B05"/>
    <w:rsid w:val="006830F1"/>
    <w:rsid w:val="006836AD"/>
    <w:rsid w:val="006838A4"/>
    <w:rsid w:val="006839C4"/>
    <w:rsid w:val="006844F4"/>
    <w:rsid w:val="00684816"/>
    <w:rsid w:val="00684BB8"/>
    <w:rsid w:val="00684DE3"/>
    <w:rsid w:val="00685898"/>
    <w:rsid w:val="00685E08"/>
    <w:rsid w:val="006865FC"/>
    <w:rsid w:val="00686826"/>
    <w:rsid w:val="00686D66"/>
    <w:rsid w:val="0068790E"/>
    <w:rsid w:val="006879F5"/>
    <w:rsid w:val="00687B1C"/>
    <w:rsid w:val="0069075C"/>
    <w:rsid w:val="006916D7"/>
    <w:rsid w:val="00691C14"/>
    <w:rsid w:val="00692AF4"/>
    <w:rsid w:val="00692F53"/>
    <w:rsid w:val="0069370C"/>
    <w:rsid w:val="0069373A"/>
    <w:rsid w:val="00693C6F"/>
    <w:rsid w:val="006946BF"/>
    <w:rsid w:val="006951A9"/>
    <w:rsid w:val="00696897"/>
    <w:rsid w:val="00696B94"/>
    <w:rsid w:val="0069707A"/>
    <w:rsid w:val="006974F5"/>
    <w:rsid w:val="006976A3"/>
    <w:rsid w:val="00697837"/>
    <w:rsid w:val="00697D63"/>
    <w:rsid w:val="006A0EDA"/>
    <w:rsid w:val="006A109A"/>
    <w:rsid w:val="006A1AE4"/>
    <w:rsid w:val="006A1DD6"/>
    <w:rsid w:val="006A2EBD"/>
    <w:rsid w:val="006A405B"/>
    <w:rsid w:val="006A405F"/>
    <w:rsid w:val="006A46AE"/>
    <w:rsid w:val="006A507B"/>
    <w:rsid w:val="006A5C82"/>
    <w:rsid w:val="006A6051"/>
    <w:rsid w:val="006A6055"/>
    <w:rsid w:val="006A6E5B"/>
    <w:rsid w:val="006A7E1F"/>
    <w:rsid w:val="006A7E23"/>
    <w:rsid w:val="006B0351"/>
    <w:rsid w:val="006B07F1"/>
    <w:rsid w:val="006B0A81"/>
    <w:rsid w:val="006B17BD"/>
    <w:rsid w:val="006B1885"/>
    <w:rsid w:val="006B220E"/>
    <w:rsid w:val="006B26CB"/>
    <w:rsid w:val="006B28F8"/>
    <w:rsid w:val="006B36BD"/>
    <w:rsid w:val="006B4926"/>
    <w:rsid w:val="006B54F1"/>
    <w:rsid w:val="006B553B"/>
    <w:rsid w:val="006B5658"/>
    <w:rsid w:val="006B61C3"/>
    <w:rsid w:val="006B6935"/>
    <w:rsid w:val="006B6AE2"/>
    <w:rsid w:val="006B6D10"/>
    <w:rsid w:val="006B7219"/>
    <w:rsid w:val="006C04B0"/>
    <w:rsid w:val="006C09E6"/>
    <w:rsid w:val="006C1838"/>
    <w:rsid w:val="006C1F74"/>
    <w:rsid w:val="006C2473"/>
    <w:rsid w:val="006C2CC0"/>
    <w:rsid w:val="006C2E20"/>
    <w:rsid w:val="006C31B9"/>
    <w:rsid w:val="006C3358"/>
    <w:rsid w:val="006C364C"/>
    <w:rsid w:val="006C4B4C"/>
    <w:rsid w:val="006C4D0F"/>
    <w:rsid w:val="006C579E"/>
    <w:rsid w:val="006C58C1"/>
    <w:rsid w:val="006C5D04"/>
    <w:rsid w:val="006C66DF"/>
    <w:rsid w:val="006C6BCC"/>
    <w:rsid w:val="006C6C1C"/>
    <w:rsid w:val="006C6E04"/>
    <w:rsid w:val="006C6F28"/>
    <w:rsid w:val="006D05FF"/>
    <w:rsid w:val="006D0B65"/>
    <w:rsid w:val="006D0B91"/>
    <w:rsid w:val="006D0C42"/>
    <w:rsid w:val="006D0FC7"/>
    <w:rsid w:val="006D101F"/>
    <w:rsid w:val="006D192D"/>
    <w:rsid w:val="006D1A7C"/>
    <w:rsid w:val="006D2238"/>
    <w:rsid w:val="006D24CC"/>
    <w:rsid w:val="006D259F"/>
    <w:rsid w:val="006D2844"/>
    <w:rsid w:val="006D28F5"/>
    <w:rsid w:val="006D323B"/>
    <w:rsid w:val="006D347B"/>
    <w:rsid w:val="006D3FE2"/>
    <w:rsid w:val="006D4F5C"/>
    <w:rsid w:val="006D5346"/>
    <w:rsid w:val="006D56E5"/>
    <w:rsid w:val="006D5EC4"/>
    <w:rsid w:val="006D6061"/>
    <w:rsid w:val="006D68B0"/>
    <w:rsid w:val="006D7863"/>
    <w:rsid w:val="006E06E7"/>
    <w:rsid w:val="006E18EF"/>
    <w:rsid w:val="006E19F0"/>
    <w:rsid w:val="006E3100"/>
    <w:rsid w:val="006E32F9"/>
    <w:rsid w:val="006E4F3E"/>
    <w:rsid w:val="006E4FC6"/>
    <w:rsid w:val="006E5016"/>
    <w:rsid w:val="006E6363"/>
    <w:rsid w:val="006E63CE"/>
    <w:rsid w:val="006E6802"/>
    <w:rsid w:val="006E6AA5"/>
    <w:rsid w:val="006E7416"/>
    <w:rsid w:val="006E7C42"/>
    <w:rsid w:val="006E7D64"/>
    <w:rsid w:val="006F0159"/>
    <w:rsid w:val="006F01AA"/>
    <w:rsid w:val="006F0BD0"/>
    <w:rsid w:val="006F1AAC"/>
    <w:rsid w:val="006F20A4"/>
    <w:rsid w:val="006F2960"/>
    <w:rsid w:val="006F2DFF"/>
    <w:rsid w:val="006F46CB"/>
    <w:rsid w:val="006F5240"/>
    <w:rsid w:val="006F53AF"/>
    <w:rsid w:val="006F554A"/>
    <w:rsid w:val="006F7182"/>
    <w:rsid w:val="006F726D"/>
    <w:rsid w:val="006F72B4"/>
    <w:rsid w:val="006F73A6"/>
    <w:rsid w:val="006F79EB"/>
    <w:rsid w:val="0070052C"/>
    <w:rsid w:val="007005BA"/>
    <w:rsid w:val="00701151"/>
    <w:rsid w:val="007014B4"/>
    <w:rsid w:val="007029A5"/>
    <w:rsid w:val="00702E05"/>
    <w:rsid w:val="0070483E"/>
    <w:rsid w:val="00704B22"/>
    <w:rsid w:val="00705777"/>
    <w:rsid w:val="0070638E"/>
    <w:rsid w:val="00706460"/>
    <w:rsid w:val="00706AEE"/>
    <w:rsid w:val="007070AB"/>
    <w:rsid w:val="00707968"/>
    <w:rsid w:val="00707B28"/>
    <w:rsid w:val="00710356"/>
    <w:rsid w:val="007106BC"/>
    <w:rsid w:val="00711C1E"/>
    <w:rsid w:val="0071284C"/>
    <w:rsid w:val="00712B16"/>
    <w:rsid w:val="00712EF1"/>
    <w:rsid w:val="00713247"/>
    <w:rsid w:val="00713B41"/>
    <w:rsid w:val="00713E03"/>
    <w:rsid w:val="00714296"/>
    <w:rsid w:val="00714AFF"/>
    <w:rsid w:val="00714BA6"/>
    <w:rsid w:val="007157BB"/>
    <w:rsid w:val="00715F35"/>
    <w:rsid w:val="00716014"/>
    <w:rsid w:val="007162E6"/>
    <w:rsid w:val="00716665"/>
    <w:rsid w:val="007170E0"/>
    <w:rsid w:val="00717625"/>
    <w:rsid w:val="00717B2B"/>
    <w:rsid w:val="00720582"/>
    <w:rsid w:val="0072080B"/>
    <w:rsid w:val="00720950"/>
    <w:rsid w:val="00720D99"/>
    <w:rsid w:val="00720F4A"/>
    <w:rsid w:val="00720FA2"/>
    <w:rsid w:val="007211C2"/>
    <w:rsid w:val="0072125A"/>
    <w:rsid w:val="00721447"/>
    <w:rsid w:val="00721D89"/>
    <w:rsid w:val="007225EA"/>
    <w:rsid w:val="00723A68"/>
    <w:rsid w:val="00723D1D"/>
    <w:rsid w:val="00723DD9"/>
    <w:rsid w:val="00725484"/>
    <w:rsid w:val="00727A31"/>
    <w:rsid w:val="007306AD"/>
    <w:rsid w:val="00730C6C"/>
    <w:rsid w:val="00730DA0"/>
    <w:rsid w:val="00731A67"/>
    <w:rsid w:val="007320FB"/>
    <w:rsid w:val="00732761"/>
    <w:rsid w:val="007328BB"/>
    <w:rsid w:val="007329DC"/>
    <w:rsid w:val="00734C60"/>
    <w:rsid w:val="00734FB1"/>
    <w:rsid w:val="00734FB2"/>
    <w:rsid w:val="0073513F"/>
    <w:rsid w:val="00735CEB"/>
    <w:rsid w:val="00735E0C"/>
    <w:rsid w:val="007365C2"/>
    <w:rsid w:val="0074053E"/>
    <w:rsid w:val="00741825"/>
    <w:rsid w:val="00741FA2"/>
    <w:rsid w:val="00742048"/>
    <w:rsid w:val="007441B9"/>
    <w:rsid w:val="007442C3"/>
    <w:rsid w:val="00744643"/>
    <w:rsid w:val="00744681"/>
    <w:rsid w:val="00744C4F"/>
    <w:rsid w:val="00745C97"/>
    <w:rsid w:val="007460A6"/>
    <w:rsid w:val="007461D5"/>
    <w:rsid w:val="00746BE5"/>
    <w:rsid w:val="007475D4"/>
    <w:rsid w:val="00747F09"/>
    <w:rsid w:val="00750668"/>
    <w:rsid w:val="007509F7"/>
    <w:rsid w:val="00750A7D"/>
    <w:rsid w:val="00751B18"/>
    <w:rsid w:val="00751BDB"/>
    <w:rsid w:val="00751C70"/>
    <w:rsid w:val="007520D8"/>
    <w:rsid w:val="00752781"/>
    <w:rsid w:val="00752A4C"/>
    <w:rsid w:val="00752E66"/>
    <w:rsid w:val="00753015"/>
    <w:rsid w:val="00753050"/>
    <w:rsid w:val="007530CF"/>
    <w:rsid w:val="00753312"/>
    <w:rsid w:val="007536AD"/>
    <w:rsid w:val="00755D91"/>
    <w:rsid w:val="00756C32"/>
    <w:rsid w:val="00756E01"/>
    <w:rsid w:val="00757D2A"/>
    <w:rsid w:val="00760203"/>
    <w:rsid w:val="007605A3"/>
    <w:rsid w:val="00760842"/>
    <w:rsid w:val="00760E66"/>
    <w:rsid w:val="00760EA0"/>
    <w:rsid w:val="00761A07"/>
    <w:rsid w:val="007624A8"/>
    <w:rsid w:val="007626ED"/>
    <w:rsid w:val="007638CB"/>
    <w:rsid w:val="00763A45"/>
    <w:rsid w:val="00764965"/>
    <w:rsid w:val="007649C6"/>
    <w:rsid w:val="00764EBB"/>
    <w:rsid w:val="00764F68"/>
    <w:rsid w:val="007651A1"/>
    <w:rsid w:val="007662AB"/>
    <w:rsid w:val="00766F9B"/>
    <w:rsid w:val="00767364"/>
    <w:rsid w:val="00767F53"/>
    <w:rsid w:val="0077043B"/>
    <w:rsid w:val="00770964"/>
    <w:rsid w:val="00770F36"/>
    <w:rsid w:val="00771B64"/>
    <w:rsid w:val="0077268F"/>
    <w:rsid w:val="007736B8"/>
    <w:rsid w:val="00774449"/>
    <w:rsid w:val="00774E2A"/>
    <w:rsid w:val="0077518F"/>
    <w:rsid w:val="00775A96"/>
    <w:rsid w:val="00775DD0"/>
    <w:rsid w:val="00775E09"/>
    <w:rsid w:val="0077683C"/>
    <w:rsid w:val="00776CCD"/>
    <w:rsid w:val="00776DB6"/>
    <w:rsid w:val="00777294"/>
    <w:rsid w:val="00777406"/>
    <w:rsid w:val="007774A3"/>
    <w:rsid w:val="00777873"/>
    <w:rsid w:val="00777AE0"/>
    <w:rsid w:val="00780266"/>
    <w:rsid w:val="00780E9B"/>
    <w:rsid w:val="007827B9"/>
    <w:rsid w:val="00782B94"/>
    <w:rsid w:val="007830E0"/>
    <w:rsid w:val="0078341A"/>
    <w:rsid w:val="00785448"/>
    <w:rsid w:val="00785857"/>
    <w:rsid w:val="00786103"/>
    <w:rsid w:val="00786B6F"/>
    <w:rsid w:val="00787430"/>
    <w:rsid w:val="00787526"/>
    <w:rsid w:val="0078760A"/>
    <w:rsid w:val="00787639"/>
    <w:rsid w:val="007877BA"/>
    <w:rsid w:val="00787D6D"/>
    <w:rsid w:val="0079007E"/>
    <w:rsid w:val="007909EA"/>
    <w:rsid w:val="00790B6D"/>
    <w:rsid w:val="0079139A"/>
    <w:rsid w:val="00791500"/>
    <w:rsid w:val="00791590"/>
    <w:rsid w:val="00791659"/>
    <w:rsid w:val="00791E30"/>
    <w:rsid w:val="00792337"/>
    <w:rsid w:val="007926D0"/>
    <w:rsid w:val="00792CFD"/>
    <w:rsid w:val="0079370C"/>
    <w:rsid w:val="0079405A"/>
    <w:rsid w:val="00794304"/>
    <w:rsid w:val="00794AD4"/>
    <w:rsid w:val="00795E1C"/>
    <w:rsid w:val="00796367"/>
    <w:rsid w:val="0079641B"/>
    <w:rsid w:val="007964F5"/>
    <w:rsid w:val="007968A1"/>
    <w:rsid w:val="00796C24"/>
    <w:rsid w:val="00797A5B"/>
    <w:rsid w:val="007A0362"/>
    <w:rsid w:val="007A052D"/>
    <w:rsid w:val="007A057A"/>
    <w:rsid w:val="007A09FA"/>
    <w:rsid w:val="007A160A"/>
    <w:rsid w:val="007A1A79"/>
    <w:rsid w:val="007A34C2"/>
    <w:rsid w:val="007A3F89"/>
    <w:rsid w:val="007A4171"/>
    <w:rsid w:val="007A42C5"/>
    <w:rsid w:val="007A44F9"/>
    <w:rsid w:val="007A49E8"/>
    <w:rsid w:val="007A5C7D"/>
    <w:rsid w:val="007A6EA7"/>
    <w:rsid w:val="007A7519"/>
    <w:rsid w:val="007B0007"/>
    <w:rsid w:val="007B0107"/>
    <w:rsid w:val="007B1114"/>
    <w:rsid w:val="007B1F77"/>
    <w:rsid w:val="007B2382"/>
    <w:rsid w:val="007B44E6"/>
    <w:rsid w:val="007B465D"/>
    <w:rsid w:val="007B46A3"/>
    <w:rsid w:val="007B4B01"/>
    <w:rsid w:val="007B4DE5"/>
    <w:rsid w:val="007B5AEA"/>
    <w:rsid w:val="007B5CCA"/>
    <w:rsid w:val="007B6BC4"/>
    <w:rsid w:val="007B6F88"/>
    <w:rsid w:val="007B70AB"/>
    <w:rsid w:val="007B71EE"/>
    <w:rsid w:val="007B76D3"/>
    <w:rsid w:val="007B7A10"/>
    <w:rsid w:val="007B7CE1"/>
    <w:rsid w:val="007B7D8E"/>
    <w:rsid w:val="007C01BA"/>
    <w:rsid w:val="007C189F"/>
    <w:rsid w:val="007C1AF5"/>
    <w:rsid w:val="007C1B6B"/>
    <w:rsid w:val="007C2320"/>
    <w:rsid w:val="007C27F1"/>
    <w:rsid w:val="007C3B57"/>
    <w:rsid w:val="007C4CCF"/>
    <w:rsid w:val="007C5CB1"/>
    <w:rsid w:val="007C758E"/>
    <w:rsid w:val="007C76BC"/>
    <w:rsid w:val="007D0545"/>
    <w:rsid w:val="007D0F1C"/>
    <w:rsid w:val="007D11D7"/>
    <w:rsid w:val="007D201E"/>
    <w:rsid w:val="007D243D"/>
    <w:rsid w:val="007D34F1"/>
    <w:rsid w:val="007D3726"/>
    <w:rsid w:val="007D3C2B"/>
    <w:rsid w:val="007D46E8"/>
    <w:rsid w:val="007D4BFE"/>
    <w:rsid w:val="007D4E61"/>
    <w:rsid w:val="007D5240"/>
    <w:rsid w:val="007D67D4"/>
    <w:rsid w:val="007D6DEB"/>
    <w:rsid w:val="007D7212"/>
    <w:rsid w:val="007D7BE0"/>
    <w:rsid w:val="007E0355"/>
    <w:rsid w:val="007E09AF"/>
    <w:rsid w:val="007E0A3C"/>
    <w:rsid w:val="007E1843"/>
    <w:rsid w:val="007E1D07"/>
    <w:rsid w:val="007E2157"/>
    <w:rsid w:val="007E22EE"/>
    <w:rsid w:val="007E290A"/>
    <w:rsid w:val="007E293F"/>
    <w:rsid w:val="007E32CE"/>
    <w:rsid w:val="007E4177"/>
    <w:rsid w:val="007E4294"/>
    <w:rsid w:val="007E4D1C"/>
    <w:rsid w:val="007E54E6"/>
    <w:rsid w:val="007E61E1"/>
    <w:rsid w:val="007E6DD3"/>
    <w:rsid w:val="007F0506"/>
    <w:rsid w:val="007F098C"/>
    <w:rsid w:val="007F23FF"/>
    <w:rsid w:val="007F25DA"/>
    <w:rsid w:val="007F2AB3"/>
    <w:rsid w:val="007F2D28"/>
    <w:rsid w:val="007F2DB9"/>
    <w:rsid w:val="007F39B6"/>
    <w:rsid w:val="007F6633"/>
    <w:rsid w:val="007F6C0D"/>
    <w:rsid w:val="007F6F72"/>
    <w:rsid w:val="0080041D"/>
    <w:rsid w:val="00800B9B"/>
    <w:rsid w:val="00800E24"/>
    <w:rsid w:val="00801072"/>
    <w:rsid w:val="0080144F"/>
    <w:rsid w:val="00801B34"/>
    <w:rsid w:val="00801F7C"/>
    <w:rsid w:val="00801FA0"/>
    <w:rsid w:val="00802AF1"/>
    <w:rsid w:val="00802B48"/>
    <w:rsid w:val="00803510"/>
    <w:rsid w:val="00803B11"/>
    <w:rsid w:val="00803CBE"/>
    <w:rsid w:val="00804680"/>
    <w:rsid w:val="0080496D"/>
    <w:rsid w:val="00805A47"/>
    <w:rsid w:val="00806DBB"/>
    <w:rsid w:val="0080735C"/>
    <w:rsid w:val="008073ED"/>
    <w:rsid w:val="00807632"/>
    <w:rsid w:val="00807DC6"/>
    <w:rsid w:val="00807E3D"/>
    <w:rsid w:val="00807E77"/>
    <w:rsid w:val="0081095E"/>
    <w:rsid w:val="00810DE0"/>
    <w:rsid w:val="008116EA"/>
    <w:rsid w:val="00811AAE"/>
    <w:rsid w:val="0081227D"/>
    <w:rsid w:val="00812444"/>
    <w:rsid w:val="0081267C"/>
    <w:rsid w:val="0081373F"/>
    <w:rsid w:val="00813F44"/>
    <w:rsid w:val="008155DE"/>
    <w:rsid w:val="00815787"/>
    <w:rsid w:val="00815AEE"/>
    <w:rsid w:val="00816C46"/>
    <w:rsid w:val="008179B0"/>
    <w:rsid w:val="0082038A"/>
    <w:rsid w:val="008216CB"/>
    <w:rsid w:val="008217D0"/>
    <w:rsid w:val="00821F75"/>
    <w:rsid w:val="0082433B"/>
    <w:rsid w:val="00824AAD"/>
    <w:rsid w:val="0082627E"/>
    <w:rsid w:val="008267C6"/>
    <w:rsid w:val="00826B45"/>
    <w:rsid w:val="00826D58"/>
    <w:rsid w:val="00826E28"/>
    <w:rsid w:val="00827756"/>
    <w:rsid w:val="00827D90"/>
    <w:rsid w:val="00827E0F"/>
    <w:rsid w:val="00827F8C"/>
    <w:rsid w:val="008311DA"/>
    <w:rsid w:val="00831812"/>
    <w:rsid w:val="008320BB"/>
    <w:rsid w:val="0083227B"/>
    <w:rsid w:val="00832453"/>
    <w:rsid w:val="0083275F"/>
    <w:rsid w:val="008329E4"/>
    <w:rsid w:val="00832B4C"/>
    <w:rsid w:val="00833D65"/>
    <w:rsid w:val="008353A6"/>
    <w:rsid w:val="00835BAA"/>
    <w:rsid w:val="00836BD2"/>
    <w:rsid w:val="008402BA"/>
    <w:rsid w:val="00840C80"/>
    <w:rsid w:val="0084145D"/>
    <w:rsid w:val="008414E2"/>
    <w:rsid w:val="0084200E"/>
    <w:rsid w:val="00842D0D"/>
    <w:rsid w:val="00842D5B"/>
    <w:rsid w:val="008434BF"/>
    <w:rsid w:val="00843963"/>
    <w:rsid w:val="00843B11"/>
    <w:rsid w:val="00844867"/>
    <w:rsid w:val="00844A15"/>
    <w:rsid w:val="00844D00"/>
    <w:rsid w:val="00844D72"/>
    <w:rsid w:val="008450FB"/>
    <w:rsid w:val="008453C6"/>
    <w:rsid w:val="008455EE"/>
    <w:rsid w:val="0084576E"/>
    <w:rsid w:val="008458C8"/>
    <w:rsid w:val="00845F84"/>
    <w:rsid w:val="00846AF5"/>
    <w:rsid w:val="00846D54"/>
    <w:rsid w:val="00847137"/>
    <w:rsid w:val="00847561"/>
    <w:rsid w:val="00847F2E"/>
    <w:rsid w:val="00847FC2"/>
    <w:rsid w:val="008503B4"/>
    <w:rsid w:val="0085058C"/>
    <w:rsid w:val="00850CCC"/>
    <w:rsid w:val="008510BF"/>
    <w:rsid w:val="00851156"/>
    <w:rsid w:val="00851899"/>
    <w:rsid w:val="00851C08"/>
    <w:rsid w:val="0085246C"/>
    <w:rsid w:val="0085260B"/>
    <w:rsid w:val="008529FF"/>
    <w:rsid w:val="00852B0F"/>
    <w:rsid w:val="00852E1A"/>
    <w:rsid w:val="00853E95"/>
    <w:rsid w:val="00855235"/>
    <w:rsid w:val="008552E0"/>
    <w:rsid w:val="00855D6F"/>
    <w:rsid w:val="00855F98"/>
    <w:rsid w:val="00856A34"/>
    <w:rsid w:val="0085787B"/>
    <w:rsid w:val="00857E53"/>
    <w:rsid w:val="00860164"/>
    <w:rsid w:val="00860E92"/>
    <w:rsid w:val="00861398"/>
    <w:rsid w:val="008615C8"/>
    <w:rsid w:val="00861B65"/>
    <w:rsid w:val="008620EB"/>
    <w:rsid w:val="008629E5"/>
    <w:rsid w:val="00862D64"/>
    <w:rsid w:val="0086313B"/>
    <w:rsid w:val="00863D1E"/>
    <w:rsid w:val="008641AF"/>
    <w:rsid w:val="008643AB"/>
    <w:rsid w:val="00865542"/>
    <w:rsid w:val="008655BD"/>
    <w:rsid w:val="0086659A"/>
    <w:rsid w:val="008667E2"/>
    <w:rsid w:val="008674CD"/>
    <w:rsid w:val="00870BFB"/>
    <w:rsid w:val="00872433"/>
    <w:rsid w:val="008724BA"/>
    <w:rsid w:val="008725F5"/>
    <w:rsid w:val="00872B31"/>
    <w:rsid w:val="00873130"/>
    <w:rsid w:val="008732CE"/>
    <w:rsid w:val="008738A5"/>
    <w:rsid w:val="00873A6C"/>
    <w:rsid w:val="00873AFF"/>
    <w:rsid w:val="0087495D"/>
    <w:rsid w:val="00874C02"/>
    <w:rsid w:val="0087577D"/>
    <w:rsid w:val="008763B2"/>
    <w:rsid w:val="00876CD9"/>
    <w:rsid w:val="0087782B"/>
    <w:rsid w:val="0087790D"/>
    <w:rsid w:val="00877C65"/>
    <w:rsid w:val="00877E43"/>
    <w:rsid w:val="00880B70"/>
    <w:rsid w:val="0088106D"/>
    <w:rsid w:val="00881946"/>
    <w:rsid w:val="00881B36"/>
    <w:rsid w:val="008824B4"/>
    <w:rsid w:val="0088294B"/>
    <w:rsid w:val="00885161"/>
    <w:rsid w:val="008868CA"/>
    <w:rsid w:val="00886AB5"/>
    <w:rsid w:val="00892D5E"/>
    <w:rsid w:val="00893136"/>
    <w:rsid w:val="008936AB"/>
    <w:rsid w:val="00894A06"/>
    <w:rsid w:val="00894B02"/>
    <w:rsid w:val="00894BA5"/>
    <w:rsid w:val="0089531D"/>
    <w:rsid w:val="0089538A"/>
    <w:rsid w:val="008958EA"/>
    <w:rsid w:val="00895D84"/>
    <w:rsid w:val="00896B15"/>
    <w:rsid w:val="00897118"/>
    <w:rsid w:val="0089735D"/>
    <w:rsid w:val="008A02EE"/>
    <w:rsid w:val="008A039E"/>
    <w:rsid w:val="008A11AE"/>
    <w:rsid w:val="008A12C3"/>
    <w:rsid w:val="008A2739"/>
    <w:rsid w:val="008A3236"/>
    <w:rsid w:val="008A4320"/>
    <w:rsid w:val="008A4ADF"/>
    <w:rsid w:val="008A52B4"/>
    <w:rsid w:val="008A52EB"/>
    <w:rsid w:val="008A552F"/>
    <w:rsid w:val="008A6209"/>
    <w:rsid w:val="008A63B3"/>
    <w:rsid w:val="008A6D37"/>
    <w:rsid w:val="008A71BA"/>
    <w:rsid w:val="008A7E34"/>
    <w:rsid w:val="008A7EA5"/>
    <w:rsid w:val="008B01B4"/>
    <w:rsid w:val="008B1299"/>
    <w:rsid w:val="008B2A05"/>
    <w:rsid w:val="008B2CB0"/>
    <w:rsid w:val="008B31AE"/>
    <w:rsid w:val="008B3CFB"/>
    <w:rsid w:val="008B3E6B"/>
    <w:rsid w:val="008B4A2C"/>
    <w:rsid w:val="008B5215"/>
    <w:rsid w:val="008B5CED"/>
    <w:rsid w:val="008B5E5F"/>
    <w:rsid w:val="008B6075"/>
    <w:rsid w:val="008B6377"/>
    <w:rsid w:val="008B6647"/>
    <w:rsid w:val="008B6808"/>
    <w:rsid w:val="008B7E03"/>
    <w:rsid w:val="008B7FC8"/>
    <w:rsid w:val="008C03D0"/>
    <w:rsid w:val="008C1192"/>
    <w:rsid w:val="008C20E2"/>
    <w:rsid w:val="008C21C7"/>
    <w:rsid w:val="008C2344"/>
    <w:rsid w:val="008C2E23"/>
    <w:rsid w:val="008C31BB"/>
    <w:rsid w:val="008C33F3"/>
    <w:rsid w:val="008C353C"/>
    <w:rsid w:val="008C48FA"/>
    <w:rsid w:val="008C4FB9"/>
    <w:rsid w:val="008C5A47"/>
    <w:rsid w:val="008C62E7"/>
    <w:rsid w:val="008C6B82"/>
    <w:rsid w:val="008C744E"/>
    <w:rsid w:val="008C7DC8"/>
    <w:rsid w:val="008D0379"/>
    <w:rsid w:val="008D0C85"/>
    <w:rsid w:val="008D29F3"/>
    <w:rsid w:val="008D3798"/>
    <w:rsid w:val="008D42AE"/>
    <w:rsid w:val="008D531C"/>
    <w:rsid w:val="008D550F"/>
    <w:rsid w:val="008D5AF8"/>
    <w:rsid w:val="008D5F0B"/>
    <w:rsid w:val="008D5F60"/>
    <w:rsid w:val="008D5F91"/>
    <w:rsid w:val="008D70E9"/>
    <w:rsid w:val="008D7108"/>
    <w:rsid w:val="008D7157"/>
    <w:rsid w:val="008E00A7"/>
    <w:rsid w:val="008E0550"/>
    <w:rsid w:val="008E07C9"/>
    <w:rsid w:val="008E0B77"/>
    <w:rsid w:val="008E0BBB"/>
    <w:rsid w:val="008E0D2C"/>
    <w:rsid w:val="008E0D90"/>
    <w:rsid w:val="008E144C"/>
    <w:rsid w:val="008E1F15"/>
    <w:rsid w:val="008E258B"/>
    <w:rsid w:val="008E2DD3"/>
    <w:rsid w:val="008E34FB"/>
    <w:rsid w:val="008E39ED"/>
    <w:rsid w:val="008E3FC7"/>
    <w:rsid w:val="008E40B3"/>
    <w:rsid w:val="008E4343"/>
    <w:rsid w:val="008E48E7"/>
    <w:rsid w:val="008E4B39"/>
    <w:rsid w:val="008E54F1"/>
    <w:rsid w:val="008E5E4D"/>
    <w:rsid w:val="008E5EED"/>
    <w:rsid w:val="008E64BA"/>
    <w:rsid w:val="008E6D78"/>
    <w:rsid w:val="008E7216"/>
    <w:rsid w:val="008E73DE"/>
    <w:rsid w:val="008E7AD3"/>
    <w:rsid w:val="008F1117"/>
    <w:rsid w:val="008F1139"/>
    <w:rsid w:val="008F1538"/>
    <w:rsid w:val="008F1966"/>
    <w:rsid w:val="008F19EC"/>
    <w:rsid w:val="008F2BED"/>
    <w:rsid w:val="008F2D8F"/>
    <w:rsid w:val="008F3755"/>
    <w:rsid w:val="008F3F2A"/>
    <w:rsid w:val="008F418E"/>
    <w:rsid w:val="008F449A"/>
    <w:rsid w:val="008F4951"/>
    <w:rsid w:val="008F4D6D"/>
    <w:rsid w:val="008F5C8F"/>
    <w:rsid w:val="008F7A88"/>
    <w:rsid w:val="008F7AEA"/>
    <w:rsid w:val="00900C6A"/>
    <w:rsid w:val="00900D05"/>
    <w:rsid w:val="00900FF9"/>
    <w:rsid w:val="00901C43"/>
    <w:rsid w:val="00901EBD"/>
    <w:rsid w:val="0090218A"/>
    <w:rsid w:val="00903080"/>
    <w:rsid w:val="00903C7B"/>
    <w:rsid w:val="009041D8"/>
    <w:rsid w:val="00904775"/>
    <w:rsid w:val="00904AA2"/>
    <w:rsid w:val="00905088"/>
    <w:rsid w:val="00905401"/>
    <w:rsid w:val="00905D03"/>
    <w:rsid w:val="00905F84"/>
    <w:rsid w:val="0090672C"/>
    <w:rsid w:val="00906FD2"/>
    <w:rsid w:val="00907008"/>
    <w:rsid w:val="0090765B"/>
    <w:rsid w:val="0090777B"/>
    <w:rsid w:val="009078B2"/>
    <w:rsid w:val="00907A1F"/>
    <w:rsid w:val="009104F4"/>
    <w:rsid w:val="0091129F"/>
    <w:rsid w:val="00911762"/>
    <w:rsid w:val="00911994"/>
    <w:rsid w:val="00912235"/>
    <w:rsid w:val="00912311"/>
    <w:rsid w:val="00912377"/>
    <w:rsid w:val="00912FE7"/>
    <w:rsid w:val="0091407E"/>
    <w:rsid w:val="00914A7B"/>
    <w:rsid w:val="00914B02"/>
    <w:rsid w:val="00914FCF"/>
    <w:rsid w:val="009156B4"/>
    <w:rsid w:val="00915AD0"/>
    <w:rsid w:val="009170AB"/>
    <w:rsid w:val="00917928"/>
    <w:rsid w:val="00917BE0"/>
    <w:rsid w:val="00917D2E"/>
    <w:rsid w:val="00917DB7"/>
    <w:rsid w:val="00920974"/>
    <w:rsid w:val="00920A1E"/>
    <w:rsid w:val="00920D75"/>
    <w:rsid w:val="00920FD2"/>
    <w:rsid w:val="009211F2"/>
    <w:rsid w:val="00921588"/>
    <w:rsid w:val="00921949"/>
    <w:rsid w:val="009221F8"/>
    <w:rsid w:val="00922358"/>
    <w:rsid w:val="00922C08"/>
    <w:rsid w:val="00922D2B"/>
    <w:rsid w:val="00922D7B"/>
    <w:rsid w:val="00924D13"/>
    <w:rsid w:val="0092577E"/>
    <w:rsid w:val="00925CD9"/>
    <w:rsid w:val="00926200"/>
    <w:rsid w:val="00926458"/>
    <w:rsid w:val="009269BD"/>
    <w:rsid w:val="00926BB8"/>
    <w:rsid w:val="00927266"/>
    <w:rsid w:val="0092766E"/>
    <w:rsid w:val="00930486"/>
    <w:rsid w:val="00930783"/>
    <w:rsid w:val="00930B92"/>
    <w:rsid w:val="00930E6B"/>
    <w:rsid w:val="00931AC7"/>
    <w:rsid w:val="0093215E"/>
    <w:rsid w:val="00933D4F"/>
    <w:rsid w:val="00933E84"/>
    <w:rsid w:val="0093599D"/>
    <w:rsid w:val="0093696C"/>
    <w:rsid w:val="00937532"/>
    <w:rsid w:val="00937589"/>
    <w:rsid w:val="009375EE"/>
    <w:rsid w:val="0094005D"/>
    <w:rsid w:val="00940A65"/>
    <w:rsid w:val="00940AC1"/>
    <w:rsid w:val="00940EE0"/>
    <w:rsid w:val="009412F6"/>
    <w:rsid w:val="009415DE"/>
    <w:rsid w:val="00941CA3"/>
    <w:rsid w:val="009422EF"/>
    <w:rsid w:val="009423BD"/>
    <w:rsid w:val="00942E79"/>
    <w:rsid w:val="00943372"/>
    <w:rsid w:val="00943CC0"/>
    <w:rsid w:val="00944E2F"/>
    <w:rsid w:val="00945009"/>
    <w:rsid w:val="0094534A"/>
    <w:rsid w:val="0094543A"/>
    <w:rsid w:val="009454C8"/>
    <w:rsid w:val="00946354"/>
    <w:rsid w:val="00946621"/>
    <w:rsid w:val="009500F2"/>
    <w:rsid w:val="00950F0B"/>
    <w:rsid w:val="00951016"/>
    <w:rsid w:val="00951219"/>
    <w:rsid w:val="009514FF"/>
    <w:rsid w:val="00951815"/>
    <w:rsid w:val="009533C7"/>
    <w:rsid w:val="00953AE1"/>
    <w:rsid w:val="0095457D"/>
    <w:rsid w:val="00954582"/>
    <w:rsid w:val="00954DBD"/>
    <w:rsid w:val="00954EAD"/>
    <w:rsid w:val="00954EF4"/>
    <w:rsid w:val="009556D9"/>
    <w:rsid w:val="00955CEE"/>
    <w:rsid w:val="00955EDF"/>
    <w:rsid w:val="00956707"/>
    <w:rsid w:val="00956987"/>
    <w:rsid w:val="00957678"/>
    <w:rsid w:val="00957847"/>
    <w:rsid w:val="009579E4"/>
    <w:rsid w:val="009606B1"/>
    <w:rsid w:val="00960A94"/>
    <w:rsid w:val="00960B31"/>
    <w:rsid w:val="00962526"/>
    <w:rsid w:val="00962B87"/>
    <w:rsid w:val="00962E37"/>
    <w:rsid w:val="00963037"/>
    <w:rsid w:val="009635FA"/>
    <w:rsid w:val="00963F5F"/>
    <w:rsid w:val="00964139"/>
    <w:rsid w:val="00965328"/>
    <w:rsid w:val="00965364"/>
    <w:rsid w:val="0096540E"/>
    <w:rsid w:val="0096571B"/>
    <w:rsid w:val="009662A7"/>
    <w:rsid w:val="009662F3"/>
    <w:rsid w:val="00967C97"/>
    <w:rsid w:val="009705B4"/>
    <w:rsid w:val="009708F4"/>
    <w:rsid w:val="00970B60"/>
    <w:rsid w:val="00972081"/>
    <w:rsid w:val="00972103"/>
    <w:rsid w:val="00972111"/>
    <w:rsid w:val="009740B8"/>
    <w:rsid w:val="0097457E"/>
    <w:rsid w:val="00974831"/>
    <w:rsid w:val="00975026"/>
    <w:rsid w:val="009756CD"/>
    <w:rsid w:val="00975987"/>
    <w:rsid w:val="00975CF8"/>
    <w:rsid w:val="009770C2"/>
    <w:rsid w:val="00977891"/>
    <w:rsid w:val="00980CB4"/>
    <w:rsid w:val="00981466"/>
    <w:rsid w:val="009825B5"/>
    <w:rsid w:val="00982B67"/>
    <w:rsid w:val="00983D30"/>
    <w:rsid w:val="00983D4F"/>
    <w:rsid w:val="009845F7"/>
    <w:rsid w:val="00984E65"/>
    <w:rsid w:val="009858F1"/>
    <w:rsid w:val="00985EE1"/>
    <w:rsid w:val="00986E5C"/>
    <w:rsid w:val="00987BB5"/>
    <w:rsid w:val="00987E36"/>
    <w:rsid w:val="00987FF8"/>
    <w:rsid w:val="009902F5"/>
    <w:rsid w:val="00990E89"/>
    <w:rsid w:val="00991193"/>
    <w:rsid w:val="00991409"/>
    <w:rsid w:val="0099163B"/>
    <w:rsid w:val="00991C09"/>
    <w:rsid w:val="00991CF4"/>
    <w:rsid w:val="00991F5A"/>
    <w:rsid w:val="0099208F"/>
    <w:rsid w:val="0099239E"/>
    <w:rsid w:val="00992893"/>
    <w:rsid w:val="00993F84"/>
    <w:rsid w:val="00994995"/>
    <w:rsid w:val="00994C1B"/>
    <w:rsid w:val="00994CCC"/>
    <w:rsid w:val="00995B14"/>
    <w:rsid w:val="00995BDE"/>
    <w:rsid w:val="00997B18"/>
    <w:rsid w:val="00997D12"/>
    <w:rsid w:val="00997E36"/>
    <w:rsid w:val="00997FC2"/>
    <w:rsid w:val="009A02EB"/>
    <w:rsid w:val="009A0BAB"/>
    <w:rsid w:val="009A0F69"/>
    <w:rsid w:val="009A1040"/>
    <w:rsid w:val="009A10F3"/>
    <w:rsid w:val="009A132C"/>
    <w:rsid w:val="009A319E"/>
    <w:rsid w:val="009A36F8"/>
    <w:rsid w:val="009A3C0E"/>
    <w:rsid w:val="009A4587"/>
    <w:rsid w:val="009A47EC"/>
    <w:rsid w:val="009A4C1C"/>
    <w:rsid w:val="009A5488"/>
    <w:rsid w:val="009A62BD"/>
    <w:rsid w:val="009A7A77"/>
    <w:rsid w:val="009A7DCB"/>
    <w:rsid w:val="009B00D5"/>
    <w:rsid w:val="009B0BE8"/>
    <w:rsid w:val="009B1C3F"/>
    <w:rsid w:val="009B1EEF"/>
    <w:rsid w:val="009B2AA9"/>
    <w:rsid w:val="009B2FD3"/>
    <w:rsid w:val="009B375A"/>
    <w:rsid w:val="009B3842"/>
    <w:rsid w:val="009B3D7C"/>
    <w:rsid w:val="009B41CD"/>
    <w:rsid w:val="009B447A"/>
    <w:rsid w:val="009B5102"/>
    <w:rsid w:val="009B5630"/>
    <w:rsid w:val="009B58EC"/>
    <w:rsid w:val="009B59A4"/>
    <w:rsid w:val="009B5B66"/>
    <w:rsid w:val="009B5FA7"/>
    <w:rsid w:val="009B6B39"/>
    <w:rsid w:val="009B72B9"/>
    <w:rsid w:val="009B75B1"/>
    <w:rsid w:val="009B7865"/>
    <w:rsid w:val="009B7925"/>
    <w:rsid w:val="009C02CB"/>
    <w:rsid w:val="009C0BD5"/>
    <w:rsid w:val="009C1EF0"/>
    <w:rsid w:val="009C249A"/>
    <w:rsid w:val="009C28F6"/>
    <w:rsid w:val="009C2CA8"/>
    <w:rsid w:val="009C3240"/>
    <w:rsid w:val="009C3711"/>
    <w:rsid w:val="009C3905"/>
    <w:rsid w:val="009C3A06"/>
    <w:rsid w:val="009C3A6D"/>
    <w:rsid w:val="009C49E5"/>
    <w:rsid w:val="009C4A80"/>
    <w:rsid w:val="009C520B"/>
    <w:rsid w:val="009C56B6"/>
    <w:rsid w:val="009C62FF"/>
    <w:rsid w:val="009C6CAF"/>
    <w:rsid w:val="009C6E1F"/>
    <w:rsid w:val="009C6EA1"/>
    <w:rsid w:val="009C6F62"/>
    <w:rsid w:val="009C70B8"/>
    <w:rsid w:val="009C7EAC"/>
    <w:rsid w:val="009D0CD5"/>
    <w:rsid w:val="009D1187"/>
    <w:rsid w:val="009D184F"/>
    <w:rsid w:val="009D1C25"/>
    <w:rsid w:val="009D25CD"/>
    <w:rsid w:val="009D2DFE"/>
    <w:rsid w:val="009D3355"/>
    <w:rsid w:val="009D467F"/>
    <w:rsid w:val="009D4960"/>
    <w:rsid w:val="009D4A78"/>
    <w:rsid w:val="009D5E05"/>
    <w:rsid w:val="009E03A5"/>
    <w:rsid w:val="009E0C4C"/>
    <w:rsid w:val="009E16FB"/>
    <w:rsid w:val="009E2892"/>
    <w:rsid w:val="009E2E33"/>
    <w:rsid w:val="009E3947"/>
    <w:rsid w:val="009E3EAB"/>
    <w:rsid w:val="009E4124"/>
    <w:rsid w:val="009E4AB3"/>
    <w:rsid w:val="009E4ADD"/>
    <w:rsid w:val="009E4F78"/>
    <w:rsid w:val="009E5640"/>
    <w:rsid w:val="009E5AC6"/>
    <w:rsid w:val="009E68B8"/>
    <w:rsid w:val="009E7088"/>
    <w:rsid w:val="009E714E"/>
    <w:rsid w:val="009E7365"/>
    <w:rsid w:val="009E7CF2"/>
    <w:rsid w:val="009F036C"/>
    <w:rsid w:val="009F0463"/>
    <w:rsid w:val="009F06F3"/>
    <w:rsid w:val="009F08DE"/>
    <w:rsid w:val="009F0DC7"/>
    <w:rsid w:val="009F14A3"/>
    <w:rsid w:val="009F1522"/>
    <w:rsid w:val="009F2F25"/>
    <w:rsid w:val="009F3ABD"/>
    <w:rsid w:val="009F5EB0"/>
    <w:rsid w:val="009F633B"/>
    <w:rsid w:val="009F668F"/>
    <w:rsid w:val="009F6754"/>
    <w:rsid w:val="009F6A9F"/>
    <w:rsid w:val="009F6BDC"/>
    <w:rsid w:val="009F71A6"/>
    <w:rsid w:val="009F7603"/>
    <w:rsid w:val="009F7949"/>
    <w:rsid w:val="00A008F1"/>
    <w:rsid w:val="00A00CAB"/>
    <w:rsid w:val="00A00DB9"/>
    <w:rsid w:val="00A011A9"/>
    <w:rsid w:val="00A01763"/>
    <w:rsid w:val="00A01CE1"/>
    <w:rsid w:val="00A02270"/>
    <w:rsid w:val="00A02409"/>
    <w:rsid w:val="00A02801"/>
    <w:rsid w:val="00A03605"/>
    <w:rsid w:val="00A038FD"/>
    <w:rsid w:val="00A03F7B"/>
    <w:rsid w:val="00A044A1"/>
    <w:rsid w:val="00A046AF"/>
    <w:rsid w:val="00A046D6"/>
    <w:rsid w:val="00A047EA"/>
    <w:rsid w:val="00A05523"/>
    <w:rsid w:val="00A05AB2"/>
    <w:rsid w:val="00A06D34"/>
    <w:rsid w:val="00A07023"/>
    <w:rsid w:val="00A07467"/>
    <w:rsid w:val="00A07AEA"/>
    <w:rsid w:val="00A10FFD"/>
    <w:rsid w:val="00A11351"/>
    <w:rsid w:val="00A1165B"/>
    <w:rsid w:val="00A11B18"/>
    <w:rsid w:val="00A11D6B"/>
    <w:rsid w:val="00A11F46"/>
    <w:rsid w:val="00A12FAD"/>
    <w:rsid w:val="00A1350B"/>
    <w:rsid w:val="00A14406"/>
    <w:rsid w:val="00A148A4"/>
    <w:rsid w:val="00A1537F"/>
    <w:rsid w:val="00A154DA"/>
    <w:rsid w:val="00A160D9"/>
    <w:rsid w:val="00A168FA"/>
    <w:rsid w:val="00A1695E"/>
    <w:rsid w:val="00A169E1"/>
    <w:rsid w:val="00A203A8"/>
    <w:rsid w:val="00A22158"/>
    <w:rsid w:val="00A2331B"/>
    <w:rsid w:val="00A2390C"/>
    <w:rsid w:val="00A24204"/>
    <w:rsid w:val="00A25B61"/>
    <w:rsid w:val="00A25C49"/>
    <w:rsid w:val="00A25E36"/>
    <w:rsid w:val="00A2632E"/>
    <w:rsid w:val="00A264FB"/>
    <w:rsid w:val="00A2653C"/>
    <w:rsid w:val="00A266A7"/>
    <w:rsid w:val="00A26721"/>
    <w:rsid w:val="00A267FD"/>
    <w:rsid w:val="00A26947"/>
    <w:rsid w:val="00A26A64"/>
    <w:rsid w:val="00A276CA"/>
    <w:rsid w:val="00A27C99"/>
    <w:rsid w:val="00A27D23"/>
    <w:rsid w:val="00A27D2C"/>
    <w:rsid w:val="00A30069"/>
    <w:rsid w:val="00A30C9C"/>
    <w:rsid w:val="00A319EE"/>
    <w:rsid w:val="00A32B66"/>
    <w:rsid w:val="00A32DCA"/>
    <w:rsid w:val="00A3340C"/>
    <w:rsid w:val="00A33A3F"/>
    <w:rsid w:val="00A3415F"/>
    <w:rsid w:val="00A346B7"/>
    <w:rsid w:val="00A349D3"/>
    <w:rsid w:val="00A34E64"/>
    <w:rsid w:val="00A3552B"/>
    <w:rsid w:val="00A35FA3"/>
    <w:rsid w:val="00A35FC1"/>
    <w:rsid w:val="00A368AE"/>
    <w:rsid w:val="00A36B84"/>
    <w:rsid w:val="00A37449"/>
    <w:rsid w:val="00A3751C"/>
    <w:rsid w:val="00A40417"/>
    <w:rsid w:val="00A40A85"/>
    <w:rsid w:val="00A40B71"/>
    <w:rsid w:val="00A419E4"/>
    <w:rsid w:val="00A41AE2"/>
    <w:rsid w:val="00A41F16"/>
    <w:rsid w:val="00A4218A"/>
    <w:rsid w:val="00A433B4"/>
    <w:rsid w:val="00A4366E"/>
    <w:rsid w:val="00A43716"/>
    <w:rsid w:val="00A44C7E"/>
    <w:rsid w:val="00A45C78"/>
    <w:rsid w:val="00A46ED9"/>
    <w:rsid w:val="00A47643"/>
    <w:rsid w:val="00A476C0"/>
    <w:rsid w:val="00A502D6"/>
    <w:rsid w:val="00A51BF9"/>
    <w:rsid w:val="00A52464"/>
    <w:rsid w:val="00A529BA"/>
    <w:rsid w:val="00A5311A"/>
    <w:rsid w:val="00A53480"/>
    <w:rsid w:val="00A53596"/>
    <w:rsid w:val="00A541B5"/>
    <w:rsid w:val="00A54676"/>
    <w:rsid w:val="00A54DBB"/>
    <w:rsid w:val="00A54E21"/>
    <w:rsid w:val="00A561A6"/>
    <w:rsid w:val="00A56983"/>
    <w:rsid w:val="00A569FB"/>
    <w:rsid w:val="00A56AA2"/>
    <w:rsid w:val="00A5789C"/>
    <w:rsid w:val="00A57969"/>
    <w:rsid w:val="00A60583"/>
    <w:rsid w:val="00A61865"/>
    <w:rsid w:val="00A62113"/>
    <w:rsid w:val="00A62574"/>
    <w:rsid w:val="00A62C68"/>
    <w:rsid w:val="00A62FF3"/>
    <w:rsid w:val="00A63437"/>
    <w:rsid w:val="00A63C9C"/>
    <w:rsid w:val="00A64C7A"/>
    <w:rsid w:val="00A652DA"/>
    <w:rsid w:val="00A65362"/>
    <w:rsid w:val="00A65546"/>
    <w:rsid w:val="00A66082"/>
    <w:rsid w:val="00A665D5"/>
    <w:rsid w:val="00A66871"/>
    <w:rsid w:val="00A66B91"/>
    <w:rsid w:val="00A66F00"/>
    <w:rsid w:val="00A6765B"/>
    <w:rsid w:val="00A67C8B"/>
    <w:rsid w:val="00A706E9"/>
    <w:rsid w:val="00A70807"/>
    <w:rsid w:val="00A70974"/>
    <w:rsid w:val="00A709F9"/>
    <w:rsid w:val="00A70BFE"/>
    <w:rsid w:val="00A70E11"/>
    <w:rsid w:val="00A710E1"/>
    <w:rsid w:val="00A71252"/>
    <w:rsid w:val="00A722ED"/>
    <w:rsid w:val="00A727BA"/>
    <w:rsid w:val="00A729DB"/>
    <w:rsid w:val="00A730A5"/>
    <w:rsid w:val="00A73416"/>
    <w:rsid w:val="00A73897"/>
    <w:rsid w:val="00A74721"/>
    <w:rsid w:val="00A74A93"/>
    <w:rsid w:val="00A752BA"/>
    <w:rsid w:val="00A7560E"/>
    <w:rsid w:val="00A7584E"/>
    <w:rsid w:val="00A764EB"/>
    <w:rsid w:val="00A768D0"/>
    <w:rsid w:val="00A773D9"/>
    <w:rsid w:val="00A809E0"/>
    <w:rsid w:val="00A80A6E"/>
    <w:rsid w:val="00A82350"/>
    <w:rsid w:val="00A826B2"/>
    <w:rsid w:val="00A82EF3"/>
    <w:rsid w:val="00A83226"/>
    <w:rsid w:val="00A849C1"/>
    <w:rsid w:val="00A84A92"/>
    <w:rsid w:val="00A85BE8"/>
    <w:rsid w:val="00A86488"/>
    <w:rsid w:val="00A86FB0"/>
    <w:rsid w:val="00A90904"/>
    <w:rsid w:val="00A90B5A"/>
    <w:rsid w:val="00A914A2"/>
    <w:rsid w:val="00A9163F"/>
    <w:rsid w:val="00A91CF7"/>
    <w:rsid w:val="00A9274E"/>
    <w:rsid w:val="00A930DB"/>
    <w:rsid w:val="00A935A6"/>
    <w:rsid w:val="00A93688"/>
    <w:rsid w:val="00A936ED"/>
    <w:rsid w:val="00A94A27"/>
    <w:rsid w:val="00A95562"/>
    <w:rsid w:val="00A957FE"/>
    <w:rsid w:val="00A960DF"/>
    <w:rsid w:val="00A963FB"/>
    <w:rsid w:val="00A96F96"/>
    <w:rsid w:val="00A97417"/>
    <w:rsid w:val="00A977A0"/>
    <w:rsid w:val="00A97EC4"/>
    <w:rsid w:val="00A97F9A"/>
    <w:rsid w:val="00AA046C"/>
    <w:rsid w:val="00AA0884"/>
    <w:rsid w:val="00AA0CF6"/>
    <w:rsid w:val="00AA0EA0"/>
    <w:rsid w:val="00AA119D"/>
    <w:rsid w:val="00AA159D"/>
    <w:rsid w:val="00AA1CD5"/>
    <w:rsid w:val="00AA23C4"/>
    <w:rsid w:val="00AA280E"/>
    <w:rsid w:val="00AA2CAF"/>
    <w:rsid w:val="00AA2D48"/>
    <w:rsid w:val="00AA30F1"/>
    <w:rsid w:val="00AA3353"/>
    <w:rsid w:val="00AA3464"/>
    <w:rsid w:val="00AA34B6"/>
    <w:rsid w:val="00AA4242"/>
    <w:rsid w:val="00AA48B7"/>
    <w:rsid w:val="00AA48D3"/>
    <w:rsid w:val="00AA4B23"/>
    <w:rsid w:val="00AA4B37"/>
    <w:rsid w:val="00AA4E1B"/>
    <w:rsid w:val="00AA53A2"/>
    <w:rsid w:val="00AA5989"/>
    <w:rsid w:val="00AA6E3C"/>
    <w:rsid w:val="00AA75F8"/>
    <w:rsid w:val="00AA77A2"/>
    <w:rsid w:val="00AA786F"/>
    <w:rsid w:val="00AA7E1D"/>
    <w:rsid w:val="00AA7E65"/>
    <w:rsid w:val="00AB0549"/>
    <w:rsid w:val="00AB0EA0"/>
    <w:rsid w:val="00AB0F27"/>
    <w:rsid w:val="00AB0F61"/>
    <w:rsid w:val="00AB16D9"/>
    <w:rsid w:val="00AB1792"/>
    <w:rsid w:val="00AB22F7"/>
    <w:rsid w:val="00AB24AC"/>
    <w:rsid w:val="00AB2501"/>
    <w:rsid w:val="00AB2727"/>
    <w:rsid w:val="00AB2A89"/>
    <w:rsid w:val="00AB3B3D"/>
    <w:rsid w:val="00AB3C05"/>
    <w:rsid w:val="00AB4E81"/>
    <w:rsid w:val="00AB5212"/>
    <w:rsid w:val="00AB633D"/>
    <w:rsid w:val="00AB676F"/>
    <w:rsid w:val="00AB7403"/>
    <w:rsid w:val="00AC035F"/>
    <w:rsid w:val="00AC2B69"/>
    <w:rsid w:val="00AC2FC8"/>
    <w:rsid w:val="00AC343A"/>
    <w:rsid w:val="00AC387E"/>
    <w:rsid w:val="00AC3C3F"/>
    <w:rsid w:val="00AC3DFA"/>
    <w:rsid w:val="00AC4350"/>
    <w:rsid w:val="00AC4355"/>
    <w:rsid w:val="00AC4D78"/>
    <w:rsid w:val="00AC4E14"/>
    <w:rsid w:val="00AC4E38"/>
    <w:rsid w:val="00AC586A"/>
    <w:rsid w:val="00AC5899"/>
    <w:rsid w:val="00AC5D78"/>
    <w:rsid w:val="00AC609F"/>
    <w:rsid w:val="00AC689E"/>
    <w:rsid w:val="00AC6A90"/>
    <w:rsid w:val="00AC73C7"/>
    <w:rsid w:val="00AC7586"/>
    <w:rsid w:val="00AC7830"/>
    <w:rsid w:val="00AC7BA4"/>
    <w:rsid w:val="00AD0AAC"/>
    <w:rsid w:val="00AD0C72"/>
    <w:rsid w:val="00AD15AF"/>
    <w:rsid w:val="00AD1A29"/>
    <w:rsid w:val="00AD1C42"/>
    <w:rsid w:val="00AD21BF"/>
    <w:rsid w:val="00AD2F73"/>
    <w:rsid w:val="00AD32FC"/>
    <w:rsid w:val="00AD3A0D"/>
    <w:rsid w:val="00AD3E66"/>
    <w:rsid w:val="00AD52FE"/>
    <w:rsid w:val="00AD66F4"/>
    <w:rsid w:val="00AD6C52"/>
    <w:rsid w:val="00AD6F4B"/>
    <w:rsid w:val="00AD7007"/>
    <w:rsid w:val="00AE03D8"/>
    <w:rsid w:val="00AE06AA"/>
    <w:rsid w:val="00AE074B"/>
    <w:rsid w:val="00AE1369"/>
    <w:rsid w:val="00AE1690"/>
    <w:rsid w:val="00AE289F"/>
    <w:rsid w:val="00AE31F3"/>
    <w:rsid w:val="00AE3EE2"/>
    <w:rsid w:val="00AE4D7F"/>
    <w:rsid w:val="00AE4E93"/>
    <w:rsid w:val="00AE5457"/>
    <w:rsid w:val="00AE545C"/>
    <w:rsid w:val="00AE5480"/>
    <w:rsid w:val="00AE57BF"/>
    <w:rsid w:val="00AE5831"/>
    <w:rsid w:val="00AE5943"/>
    <w:rsid w:val="00AE5CB4"/>
    <w:rsid w:val="00AE71DE"/>
    <w:rsid w:val="00AE7916"/>
    <w:rsid w:val="00AF090A"/>
    <w:rsid w:val="00AF0DDC"/>
    <w:rsid w:val="00AF0E31"/>
    <w:rsid w:val="00AF0E6D"/>
    <w:rsid w:val="00AF15C4"/>
    <w:rsid w:val="00AF15FD"/>
    <w:rsid w:val="00AF20F2"/>
    <w:rsid w:val="00AF37EA"/>
    <w:rsid w:val="00AF3DA5"/>
    <w:rsid w:val="00AF4423"/>
    <w:rsid w:val="00AF4676"/>
    <w:rsid w:val="00AF4824"/>
    <w:rsid w:val="00AF4A8B"/>
    <w:rsid w:val="00AF4CA2"/>
    <w:rsid w:val="00AF51E6"/>
    <w:rsid w:val="00AF5389"/>
    <w:rsid w:val="00AF5EF3"/>
    <w:rsid w:val="00AF706B"/>
    <w:rsid w:val="00AF7167"/>
    <w:rsid w:val="00AF73B3"/>
    <w:rsid w:val="00AF7483"/>
    <w:rsid w:val="00AF7511"/>
    <w:rsid w:val="00AF79F3"/>
    <w:rsid w:val="00AF7A83"/>
    <w:rsid w:val="00AF7B65"/>
    <w:rsid w:val="00AF7BCB"/>
    <w:rsid w:val="00AF7D22"/>
    <w:rsid w:val="00AF7D32"/>
    <w:rsid w:val="00B0136C"/>
    <w:rsid w:val="00B02382"/>
    <w:rsid w:val="00B0282F"/>
    <w:rsid w:val="00B02D07"/>
    <w:rsid w:val="00B02FBC"/>
    <w:rsid w:val="00B03FCF"/>
    <w:rsid w:val="00B04546"/>
    <w:rsid w:val="00B0461E"/>
    <w:rsid w:val="00B04F74"/>
    <w:rsid w:val="00B05E9B"/>
    <w:rsid w:val="00B06113"/>
    <w:rsid w:val="00B06739"/>
    <w:rsid w:val="00B06A88"/>
    <w:rsid w:val="00B06C84"/>
    <w:rsid w:val="00B079D1"/>
    <w:rsid w:val="00B07DA0"/>
    <w:rsid w:val="00B10F9C"/>
    <w:rsid w:val="00B111AA"/>
    <w:rsid w:val="00B11E5C"/>
    <w:rsid w:val="00B120D1"/>
    <w:rsid w:val="00B12207"/>
    <w:rsid w:val="00B12386"/>
    <w:rsid w:val="00B13439"/>
    <w:rsid w:val="00B13719"/>
    <w:rsid w:val="00B1438B"/>
    <w:rsid w:val="00B14768"/>
    <w:rsid w:val="00B14793"/>
    <w:rsid w:val="00B147B9"/>
    <w:rsid w:val="00B14D98"/>
    <w:rsid w:val="00B15911"/>
    <w:rsid w:val="00B15B3E"/>
    <w:rsid w:val="00B17053"/>
    <w:rsid w:val="00B17385"/>
    <w:rsid w:val="00B17637"/>
    <w:rsid w:val="00B17E54"/>
    <w:rsid w:val="00B17F5B"/>
    <w:rsid w:val="00B206E7"/>
    <w:rsid w:val="00B20939"/>
    <w:rsid w:val="00B2126B"/>
    <w:rsid w:val="00B213C5"/>
    <w:rsid w:val="00B21489"/>
    <w:rsid w:val="00B21A1D"/>
    <w:rsid w:val="00B22862"/>
    <w:rsid w:val="00B228EB"/>
    <w:rsid w:val="00B22988"/>
    <w:rsid w:val="00B23194"/>
    <w:rsid w:val="00B23215"/>
    <w:rsid w:val="00B23471"/>
    <w:rsid w:val="00B23E46"/>
    <w:rsid w:val="00B24327"/>
    <w:rsid w:val="00B252FA"/>
    <w:rsid w:val="00B25315"/>
    <w:rsid w:val="00B26268"/>
    <w:rsid w:val="00B26515"/>
    <w:rsid w:val="00B26C8D"/>
    <w:rsid w:val="00B27633"/>
    <w:rsid w:val="00B2771D"/>
    <w:rsid w:val="00B2779B"/>
    <w:rsid w:val="00B3007B"/>
    <w:rsid w:val="00B309EB"/>
    <w:rsid w:val="00B3103F"/>
    <w:rsid w:val="00B3109D"/>
    <w:rsid w:val="00B3113A"/>
    <w:rsid w:val="00B31703"/>
    <w:rsid w:val="00B319E0"/>
    <w:rsid w:val="00B3276E"/>
    <w:rsid w:val="00B329D1"/>
    <w:rsid w:val="00B33724"/>
    <w:rsid w:val="00B34276"/>
    <w:rsid w:val="00B34997"/>
    <w:rsid w:val="00B352CB"/>
    <w:rsid w:val="00B360DA"/>
    <w:rsid w:val="00B36A57"/>
    <w:rsid w:val="00B36DCC"/>
    <w:rsid w:val="00B373DD"/>
    <w:rsid w:val="00B37FD8"/>
    <w:rsid w:val="00B403A1"/>
    <w:rsid w:val="00B40924"/>
    <w:rsid w:val="00B41720"/>
    <w:rsid w:val="00B42452"/>
    <w:rsid w:val="00B424B8"/>
    <w:rsid w:val="00B42CED"/>
    <w:rsid w:val="00B44040"/>
    <w:rsid w:val="00B44376"/>
    <w:rsid w:val="00B44EEE"/>
    <w:rsid w:val="00B47B8A"/>
    <w:rsid w:val="00B47D53"/>
    <w:rsid w:val="00B47DBF"/>
    <w:rsid w:val="00B50361"/>
    <w:rsid w:val="00B511F1"/>
    <w:rsid w:val="00B5277B"/>
    <w:rsid w:val="00B527CA"/>
    <w:rsid w:val="00B52EE0"/>
    <w:rsid w:val="00B52F02"/>
    <w:rsid w:val="00B541CE"/>
    <w:rsid w:val="00B55032"/>
    <w:rsid w:val="00B55C22"/>
    <w:rsid w:val="00B55D9A"/>
    <w:rsid w:val="00B561D9"/>
    <w:rsid w:val="00B5639F"/>
    <w:rsid w:val="00B5689F"/>
    <w:rsid w:val="00B57049"/>
    <w:rsid w:val="00B574EC"/>
    <w:rsid w:val="00B578BF"/>
    <w:rsid w:val="00B57956"/>
    <w:rsid w:val="00B57C24"/>
    <w:rsid w:val="00B57EA3"/>
    <w:rsid w:val="00B601EB"/>
    <w:rsid w:val="00B608F7"/>
    <w:rsid w:val="00B609B1"/>
    <w:rsid w:val="00B60A38"/>
    <w:rsid w:val="00B60AC0"/>
    <w:rsid w:val="00B60CCC"/>
    <w:rsid w:val="00B60D8E"/>
    <w:rsid w:val="00B6137F"/>
    <w:rsid w:val="00B62AD4"/>
    <w:rsid w:val="00B631D4"/>
    <w:rsid w:val="00B63EB2"/>
    <w:rsid w:val="00B64210"/>
    <w:rsid w:val="00B6461C"/>
    <w:rsid w:val="00B64A01"/>
    <w:rsid w:val="00B650E6"/>
    <w:rsid w:val="00B65142"/>
    <w:rsid w:val="00B65208"/>
    <w:rsid w:val="00B656CF"/>
    <w:rsid w:val="00B657D5"/>
    <w:rsid w:val="00B65A10"/>
    <w:rsid w:val="00B6666B"/>
    <w:rsid w:val="00B66B6C"/>
    <w:rsid w:val="00B67A10"/>
    <w:rsid w:val="00B67A6E"/>
    <w:rsid w:val="00B67CF0"/>
    <w:rsid w:val="00B70A88"/>
    <w:rsid w:val="00B71130"/>
    <w:rsid w:val="00B71829"/>
    <w:rsid w:val="00B7184E"/>
    <w:rsid w:val="00B72CD0"/>
    <w:rsid w:val="00B72D31"/>
    <w:rsid w:val="00B73213"/>
    <w:rsid w:val="00B7344E"/>
    <w:rsid w:val="00B73821"/>
    <w:rsid w:val="00B74591"/>
    <w:rsid w:val="00B755E9"/>
    <w:rsid w:val="00B75D64"/>
    <w:rsid w:val="00B7663C"/>
    <w:rsid w:val="00B77BBB"/>
    <w:rsid w:val="00B8091E"/>
    <w:rsid w:val="00B80DE5"/>
    <w:rsid w:val="00B81E7F"/>
    <w:rsid w:val="00B82BE7"/>
    <w:rsid w:val="00B849A7"/>
    <w:rsid w:val="00B84F80"/>
    <w:rsid w:val="00B852BE"/>
    <w:rsid w:val="00B85763"/>
    <w:rsid w:val="00B85852"/>
    <w:rsid w:val="00B85E65"/>
    <w:rsid w:val="00B8642E"/>
    <w:rsid w:val="00B8666A"/>
    <w:rsid w:val="00B8700E"/>
    <w:rsid w:val="00B8723C"/>
    <w:rsid w:val="00B875AC"/>
    <w:rsid w:val="00B879E2"/>
    <w:rsid w:val="00B90F2A"/>
    <w:rsid w:val="00B911A5"/>
    <w:rsid w:val="00B91C45"/>
    <w:rsid w:val="00B91DAC"/>
    <w:rsid w:val="00B9218C"/>
    <w:rsid w:val="00B9219C"/>
    <w:rsid w:val="00B924EF"/>
    <w:rsid w:val="00B92D43"/>
    <w:rsid w:val="00B9357A"/>
    <w:rsid w:val="00B94DD6"/>
    <w:rsid w:val="00B955AB"/>
    <w:rsid w:val="00B96AF6"/>
    <w:rsid w:val="00B9736F"/>
    <w:rsid w:val="00B979B4"/>
    <w:rsid w:val="00B979BD"/>
    <w:rsid w:val="00BA046C"/>
    <w:rsid w:val="00BA0955"/>
    <w:rsid w:val="00BA0ACA"/>
    <w:rsid w:val="00BA0BE1"/>
    <w:rsid w:val="00BA0E75"/>
    <w:rsid w:val="00BA1241"/>
    <w:rsid w:val="00BA14E9"/>
    <w:rsid w:val="00BA1F5F"/>
    <w:rsid w:val="00BA3AA9"/>
    <w:rsid w:val="00BA3C40"/>
    <w:rsid w:val="00BA422D"/>
    <w:rsid w:val="00BA4953"/>
    <w:rsid w:val="00BA4FB0"/>
    <w:rsid w:val="00BA5278"/>
    <w:rsid w:val="00BA6F43"/>
    <w:rsid w:val="00BA70ED"/>
    <w:rsid w:val="00BA75B7"/>
    <w:rsid w:val="00BA7844"/>
    <w:rsid w:val="00BA7963"/>
    <w:rsid w:val="00BB08C8"/>
    <w:rsid w:val="00BB0BAC"/>
    <w:rsid w:val="00BB1C9F"/>
    <w:rsid w:val="00BB21BD"/>
    <w:rsid w:val="00BB2FFD"/>
    <w:rsid w:val="00BB3405"/>
    <w:rsid w:val="00BB3640"/>
    <w:rsid w:val="00BB3B30"/>
    <w:rsid w:val="00BB45D2"/>
    <w:rsid w:val="00BB4EC9"/>
    <w:rsid w:val="00BB5A48"/>
    <w:rsid w:val="00BB6008"/>
    <w:rsid w:val="00BB6BCA"/>
    <w:rsid w:val="00BB778D"/>
    <w:rsid w:val="00BB7C6E"/>
    <w:rsid w:val="00BB7EC7"/>
    <w:rsid w:val="00BC0402"/>
    <w:rsid w:val="00BC0551"/>
    <w:rsid w:val="00BC0E7E"/>
    <w:rsid w:val="00BC13A9"/>
    <w:rsid w:val="00BC19F3"/>
    <w:rsid w:val="00BC1A3A"/>
    <w:rsid w:val="00BC1D02"/>
    <w:rsid w:val="00BC215B"/>
    <w:rsid w:val="00BC25A0"/>
    <w:rsid w:val="00BC3244"/>
    <w:rsid w:val="00BC3D97"/>
    <w:rsid w:val="00BC4084"/>
    <w:rsid w:val="00BC57F8"/>
    <w:rsid w:val="00BC5C5C"/>
    <w:rsid w:val="00BC6659"/>
    <w:rsid w:val="00BC755E"/>
    <w:rsid w:val="00BC7EC1"/>
    <w:rsid w:val="00BD105D"/>
    <w:rsid w:val="00BD12F2"/>
    <w:rsid w:val="00BD17AD"/>
    <w:rsid w:val="00BD1E8C"/>
    <w:rsid w:val="00BD1FF2"/>
    <w:rsid w:val="00BD2289"/>
    <w:rsid w:val="00BD2A4D"/>
    <w:rsid w:val="00BD2CF6"/>
    <w:rsid w:val="00BD3C1D"/>
    <w:rsid w:val="00BD401E"/>
    <w:rsid w:val="00BD4A8F"/>
    <w:rsid w:val="00BD4D2D"/>
    <w:rsid w:val="00BD5759"/>
    <w:rsid w:val="00BD6B25"/>
    <w:rsid w:val="00BD6EE0"/>
    <w:rsid w:val="00BD72CB"/>
    <w:rsid w:val="00BD774D"/>
    <w:rsid w:val="00BD78D0"/>
    <w:rsid w:val="00BD792F"/>
    <w:rsid w:val="00BE0172"/>
    <w:rsid w:val="00BE0629"/>
    <w:rsid w:val="00BE1863"/>
    <w:rsid w:val="00BE1A5E"/>
    <w:rsid w:val="00BE2366"/>
    <w:rsid w:val="00BE302A"/>
    <w:rsid w:val="00BE324B"/>
    <w:rsid w:val="00BE6697"/>
    <w:rsid w:val="00BE76FC"/>
    <w:rsid w:val="00BE783A"/>
    <w:rsid w:val="00BE7F1D"/>
    <w:rsid w:val="00BF0757"/>
    <w:rsid w:val="00BF1160"/>
    <w:rsid w:val="00BF1561"/>
    <w:rsid w:val="00BF1665"/>
    <w:rsid w:val="00BF174C"/>
    <w:rsid w:val="00BF1A8C"/>
    <w:rsid w:val="00BF1ECA"/>
    <w:rsid w:val="00BF22C4"/>
    <w:rsid w:val="00BF2908"/>
    <w:rsid w:val="00BF2CD1"/>
    <w:rsid w:val="00BF2E5F"/>
    <w:rsid w:val="00BF4A98"/>
    <w:rsid w:val="00BF4B2B"/>
    <w:rsid w:val="00BF4DB8"/>
    <w:rsid w:val="00BF5E3E"/>
    <w:rsid w:val="00BF605B"/>
    <w:rsid w:val="00BF61CC"/>
    <w:rsid w:val="00BF6588"/>
    <w:rsid w:val="00BF6C2F"/>
    <w:rsid w:val="00BF741B"/>
    <w:rsid w:val="00BF77F3"/>
    <w:rsid w:val="00BF7AA1"/>
    <w:rsid w:val="00BF7E79"/>
    <w:rsid w:val="00C00739"/>
    <w:rsid w:val="00C00D96"/>
    <w:rsid w:val="00C01D54"/>
    <w:rsid w:val="00C01DFA"/>
    <w:rsid w:val="00C02786"/>
    <w:rsid w:val="00C029FA"/>
    <w:rsid w:val="00C02D4D"/>
    <w:rsid w:val="00C0313E"/>
    <w:rsid w:val="00C0392A"/>
    <w:rsid w:val="00C03B1A"/>
    <w:rsid w:val="00C05008"/>
    <w:rsid w:val="00C052F4"/>
    <w:rsid w:val="00C0590D"/>
    <w:rsid w:val="00C05971"/>
    <w:rsid w:val="00C059C7"/>
    <w:rsid w:val="00C05B7D"/>
    <w:rsid w:val="00C05CBE"/>
    <w:rsid w:val="00C068EB"/>
    <w:rsid w:val="00C06CA0"/>
    <w:rsid w:val="00C11582"/>
    <w:rsid w:val="00C12005"/>
    <w:rsid w:val="00C12176"/>
    <w:rsid w:val="00C121C9"/>
    <w:rsid w:val="00C13C5C"/>
    <w:rsid w:val="00C13CDE"/>
    <w:rsid w:val="00C1527D"/>
    <w:rsid w:val="00C157B7"/>
    <w:rsid w:val="00C15E18"/>
    <w:rsid w:val="00C160A4"/>
    <w:rsid w:val="00C1666D"/>
    <w:rsid w:val="00C16A7A"/>
    <w:rsid w:val="00C203BD"/>
    <w:rsid w:val="00C209CB"/>
    <w:rsid w:val="00C216D0"/>
    <w:rsid w:val="00C21BFD"/>
    <w:rsid w:val="00C225DD"/>
    <w:rsid w:val="00C226BD"/>
    <w:rsid w:val="00C22C87"/>
    <w:rsid w:val="00C2313A"/>
    <w:rsid w:val="00C233D7"/>
    <w:rsid w:val="00C23543"/>
    <w:rsid w:val="00C2373F"/>
    <w:rsid w:val="00C2414F"/>
    <w:rsid w:val="00C247ED"/>
    <w:rsid w:val="00C24802"/>
    <w:rsid w:val="00C24D22"/>
    <w:rsid w:val="00C25168"/>
    <w:rsid w:val="00C25726"/>
    <w:rsid w:val="00C25A96"/>
    <w:rsid w:val="00C26044"/>
    <w:rsid w:val="00C260DC"/>
    <w:rsid w:val="00C2616C"/>
    <w:rsid w:val="00C26463"/>
    <w:rsid w:val="00C2655F"/>
    <w:rsid w:val="00C2661C"/>
    <w:rsid w:val="00C26F2A"/>
    <w:rsid w:val="00C274C9"/>
    <w:rsid w:val="00C2776A"/>
    <w:rsid w:val="00C278D6"/>
    <w:rsid w:val="00C30592"/>
    <w:rsid w:val="00C30E78"/>
    <w:rsid w:val="00C31196"/>
    <w:rsid w:val="00C31244"/>
    <w:rsid w:val="00C31EC3"/>
    <w:rsid w:val="00C3263B"/>
    <w:rsid w:val="00C32AE6"/>
    <w:rsid w:val="00C33291"/>
    <w:rsid w:val="00C334BA"/>
    <w:rsid w:val="00C33E21"/>
    <w:rsid w:val="00C347B7"/>
    <w:rsid w:val="00C351DB"/>
    <w:rsid w:val="00C35765"/>
    <w:rsid w:val="00C35DB5"/>
    <w:rsid w:val="00C360E6"/>
    <w:rsid w:val="00C368A3"/>
    <w:rsid w:val="00C36D39"/>
    <w:rsid w:val="00C37E30"/>
    <w:rsid w:val="00C40499"/>
    <w:rsid w:val="00C413C5"/>
    <w:rsid w:val="00C414C6"/>
    <w:rsid w:val="00C4178E"/>
    <w:rsid w:val="00C42266"/>
    <w:rsid w:val="00C42773"/>
    <w:rsid w:val="00C42C96"/>
    <w:rsid w:val="00C431CB"/>
    <w:rsid w:val="00C43CA6"/>
    <w:rsid w:val="00C44264"/>
    <w:rsid w:val="00C44332"/>
    <w:rsid w:val="00C44DBA"/>
    <w:rsid w:val="00C44F4E"/>
    <w:rsid w:val="00C450C2"/>
    <w:rsid w:val="00C450C8"/>
    <w:rsid w:val="00C458AC"/>
    <w:rsid w:val="00C4631D"/>
    <w:rsid w:val="00C470EC"/>
    <w:rsid w:val="00C479B5"/>
    <w:rsid w:val="00C50698"/>
    <w:rsid w:val="00C50ADB"/>
    <w:rsid w:val="00C50D61"/>
    <w:rsid w:val="00C51411"/>
    <w:rsid w:val="00C515D5"/>
    <w:rsid w:val="00C51606"/>
    <w:rsid w:val="00C5275E"/>
    <w:rsid w:val="00C53164"/>
    <w:rsid w:val="00C5346E"/>
    <w:rsid w:val="00C5368C"/>
    <w:rsid w:val="00C53844"/>
    <w:rsid w:val="00C53DA6"/>
    <w:rsid w:val="00C53F39"/>
    <w:rsid w:val="00C55599"/>
    <w:rsid w:val="00C55BD8"/>
    <w:rsid w:val="00C55CAA"/>
    <w:rsid w:val="00C55DDA"/>
    <w:rsid w:val="00C565B3"/>
    <w:rsid w:val="00C56CFD"/>
    <w:rsid w:val="00C57260"/>
    <w:rsid w:val="00C57FD6"/>
    <w:rsid w:val="00C60461"/>
    <w:rsid w:val="00C606B2"/>
    <w:rsid w:val="00C608FA"/>
    <w:rsid w:val="00C60FAF"/>
    <w:rsid w:val="00C6152D"/>
    <w:rsid w:val="00C6178A"/>
    <w:rsid w:val="00C61A67"/>
    <w:rsid w:val="00C62DE0"/>
    <w:rsid w:val="00C639C7"/>
    <w:rsid w:val="00C63BB5"/>
    <w:rsid w:val="00C646D9"/>
    <w:rsid w:val="00C64A34"/>
    <w:rsid w:val="00C65203"/>
    <w:rsid w:val="00C66593"/>
    <w:rsid w:val="00C669B2"/>
    <w:rsid w:val="00C669BB"/>
    <w:rsid w:val="00C66D57"/>
    <w:rsid w:val="00C67146"/>
    <w:rsid w:val="00C67F40"/>
    <w:rsid w:val="00C7022C"/>
    <w:rsid w:val="00C7037B"/>
    <w:rsid w:val="00C70B86"/>
    <w:rsid w:val="00C713B6"/>
    <w:rsid w:val="00C7193F"/>
    <w:rsid w:val="00C72488"/>
    <w:rsid w:val="00C72CB9"/>
    <w:rsid w:val="00C733FA"/>
    <w:rsid w:val="00C7349A"/>
    <w:rsid w:val="00C74D2B"/>
    <w:rsid w:val="00C75AB0"/>
    <w:rsid w:val="00C76106"/>
    <w:rsid w:val="00C76753"/>
    <w:rsid w:val="00C77927"/>
    <w:rsid w:val="00C77C44"/>
    <w:rsid w:val="00C801C5"/>
    <w:rsid w:val="00C8026B"/>
    <w:rsid w:val="00C80943"/>
    <w:rsid w:val="00C81A8F"/>
    <w:rsid w:val="00C81EB8"/>
    <w:rsid w:val="00C821B7"/>
    <w:rsid w:val="00C8225E"/>
    <w:rsid w:val="00C822AE"/>
    <w:rsid w:val="00C825A5"/>
    <w:rsid w:val="00C82920"/>
    <w:rsid w:val="00C836E1"/>
    <w:rsid w:val="00C839A0"/>
    <w:rsid w:val="00C84B78"/>
    <w:rsid w:val="00C84EF8"/>
    <w:rsid w:val="00C851C7"/>
    <w:rsid w:val="00C858B9"/>
    <w:rsid w:val="00C85C51"/>
    <w:rsid w:val="00C85DBE"/>
    <w:rsid w:val="00C8721F"/>
    <w:rsid w:val="00C87E3B"/>
    <w:rsid w:val="00C901F3"/>
    <w:rsid w:val="00C90288"/>
    <w:rsid w:val="00C90337"/>
    <w:rsid w:val="00C908D3"/>
    <w:rsid w:val="00C90C60"/>
    <w:rsid w:val="00C91151"/>
    <w:rsid w:val="00C91E30"/>
    <w:rsid w:val="00C921CF"/>
    <w:rsid w:val="00C92788"/>
    <w:rsid w:val="00C92894"/>
    <w:rsid w:val="00C929B6"/>
    <w:rsid w:val="00C92B0D"/>
    <w:rsid w:val="00C9301F"/>
    <w:rsid w:val="00C937ED"/>
    <w:rsid w:val="00C93989"/>
    <w:rsid w:val="00C93D74"/>
    <w:rsid w:val="00C94941"/>
    <w:rsid w:val="00C94C5B"/>
    <w:rsid w:val="00C94DC2"/>
    <w:rsid w:val="00C94F90"/>
    <w:rsid w:val="00C952C0"/>
    <w:rsid w:val="00C95816"/>
    <w:rsid w:val="00C96707"/>
    <w:rsid w:val="00C96A18"/>
    <w:rsid w:val="00C96BAB"/>
    <w:rsid w:val="00C97272"/>
    <w:rsid w:val="00C97566"/>
    <w:rsid w:val="00C97C5C"/>
    <w:rsid w:val="00C97EC2"/>
    <w:rsid w:val="00CA17F2"/>
    <w:rsid w:val="00CA32B4"/>
    <w:rsid w:val="00CA398B"/>
    <w:rsid w:val="00CA3DE2"/>
    <w:rsid w:val="00CA46D7"/>
    <w:rsid w:val="00CA479F"/>
    <w:rsid w:val="00CA47B8"/>
    <w:rsid w:val="00CA4DFE"/>
    <w:rsid w:val="00CA5027"/>
    <w:rsid w:val="00CA5414"/>
    <w:rsid w:val="00CA5997"/>
    <w:rsid w:val="00CA5A2A"/>
    <w:rsid w:val="00CA6748"/>
    <w:rsid w:val="00CA6F4B"/>
    <w:rsid w:val="00CA710E"/>
    <w:rsid w:val="00CA72E0"/>
    <w:rsid w:val="00CA7766"/>
    <w:rsid w:val="00CA7A45"/>
    <w:rsid w:val="00CB0279"/>
    <w:rsid w:val="00CB1932"/>
    <w:rsid w:val="00CB196F"/>
    <w:rsid w:val="00CB1B51"/>
    <w:rsid w:val="00CB1F98"/>
    <w:rsid w:val="00CB21D5"/>
    <w:rsid w:val="00CB2809"/>
    <w:rsid w:val="00CB28BB"/>
    <w:rsid w:val="00CB466B"/>
    <w:rsid w:val="00CB499B"/>
    <w:rsid w:val="00CB4BC4"/>
    <w:rsid w:val="00CB59F9"/>
    <w:rsid w:val="00CB5BF8"/>
    <w:rsid w:val="00CB60A4"/>
    <w:rsid w:val="00CB6BE0"/>
    <w:rsid w:val="00CB7863"/>
    <w:rsid w:val="00CB7866"/>
    <w:rsid w:val="00CB7F87"/>
    <w:rsid w:val="00CC0257"/>
    <w:rsid w:val="00CC12A4"/>
    <w:rsid w:val="00CC12D7"/>
    <w:rsid w:val="00CC13A8"/>
    <w:rsid w:val="00CC144B"/>
    <w:rsid w:val="00CC18C2"/>
    <w:rsid w:val="00CC20A2"/>
    <w:rsid w:val="00CC2AAC"/>
    <w:rsid w:val="00CC3836"/>
    <w:rsid w:val="00CC4653"/>
    <w:rsid w:val="00CC49E0"/>
    <w:rsid w:val="00CC500D"/>
    <w:rsid w:val="00CC5427"/>
    <w:rsid w:val="00CC6572"/>
    <w:rsid w:val="00CC66FD"/>
    <w:rsid w:val="00CC6FF8"/>
    <w:rsid w:val="00CC7164"/>
    <w:rsid w:val="00CC73B7"/>
    <w:rsid w:val="00CC76CE"/>
    <w:rsid w:val="00CC77F8"/>
    <w:rsid w:val="00CD03C8"/>
    <w:rsid w:val="00CD053E"/>
    <w:rsid w:val="00CD113E"/>
    <w:rsid w:val="00CD1231"/>
    <w:rsid w:val="00CD16DB"/>
    <w:rsid w:val="00CD3138"/>
    <w:rsid w:val="00CD35AE"/>
    <w:rsid w:val="00CD458D"/>
    <w:rsid w:val="00CD45A6"/>
    <w:rsid w:val="00CD512C"/>
    <w:rsid w:val="00CD5A50"/>
    <w:rsid w:val="00CD5E13"/>
    <w:rsid w:val="00CD673A"/>
    <w:rsid w:val="00CE00FF"/>
    <w:rsid w:val="00CE056A"/>
    <w:rsid w:val="00CE0890"/>
    <w:rsid w:val="00CE0A9B"/>
    <w:rsid w:val="00CE1274"/>
    <w:rsid w:val="00CE1A4B"/>
    <w:rsid w:val="00CE1A4F"/>
    <w:rsid w:val="00CE1BB2"/>
    <w:rsid w:val="00CE1F8A"/>
    <w:rsid w:val="00CE2026"/>
    <w:rsid w:val="00CE298C"/>
    <w:rsid w:val="00CE2F1D"/>
    <w:rsid w:val="00CE42E0"/>
    <w:rsid w:val="00CE4394"/>
    <w:rsid w:val="00CE4448"/>
    <w:rsid w:val="00CE4851"/>
    <w:rsid w:val="00CE4853"/>
    <w:rsid w:val="00CE491C"/>
    <w:rsid w:val="00CE5179"/>
    <w:rsid w:val="00CE640B"/>
    <w:rsid w:val="00CE65D4"/>
    <w:rsid w:val="00CE6C2A"/>
    <w:rsid w:val="00CE6C35"/>
    <w:rsid w:val="00CE761A"/>
    <w:rsid w:val="00CE7A2E"/>
    <w:rsid w:val="00CF03FF"/>
    <w:rsid w:val="00CF05F0"/>
    <w:rsid w:val="00CF0848"/>
    <w:rsid w:val="00CF094C"/>
    <w:rsid w:val="00CF13E6"/>
    <w:rsid w:val="00CF2216"/>
    <w:rsid w:val="00CF2301"/>
    <w:rsid w:val="00CF25B5"/>
    <w:rsid w:val="00CF2A52"/>
    <w:rsid w:val="00CF38F7"/>
    <w:rsid w:val="00CF505A"/>
    <w:rsid w:val="00CF5D73"/>
    <w:rsid w:val="00CF5E31"/>
    <w:rsid w:val="00CF63AC"/>
    <w:rsid w:val="00CF6967"/>
    <w:rsid w:val="00CF6FA9"/>
    <w:rsid w:val="00CF7305"/>
    <w:rsid w:val="00CF7C4B"/>
    <w:rsid w:val="00CF7DAB"/>
    <w:rsid w:val="00CF7E9E"/>
    <w:rsid w:val="00D0156C"/>
    <w:rsid w:val="00D0172A"/>
    <w:rsid w:val="00D0204E"/>
    <w:rsid w:val="00D024F9"/>
    <w:rsid w:val="00D02699"/>
    <w:rsid w:val="00D02A4F"/>
    <w:rsid w:val="00D02B78"/>
    <w:rsid w:val="00D02F02"/>
    <w:rsid w:val="00D031D4"/>
    <w:rsid w:val="00D033C2"/>
    <w:rsid w:val="00D03E6E"/>
    <w:rsid w:val="00D0525F"/>
    <w:rsid w:val="00D05F3F"/>
    <w:rsid w:val="00D061E5"/>
    <w:rsid w:val="00D064D4"/>
    <w:rsid w:val="00D06BBE"/>
    <w:rsid w:val="00D07239"/>
    <w:rsid w:val="00D07783"/>
    <w:rsid w:val="00D1014F"/>
    <w:rsid w:val="00D10C5F"/>
    <w:rsid w:val="00D10EC9"/>
    <w:rsid w:val="00D11177"/>
    <w:rsid w:val="00D11AD8"/>
    <w:rsid w:val="00D11CEA"/>
    <w:rsid w:val="00D11D29"/>
    <w:rsid w:val="00D1250A"/>
    <w:rsid w:val="00D13360"/>
    <w:rsid w:val="00D14169"/>
    <w:rsid w:val="00D1432B"/>
    <w:rsid w:val="00D14952"/>
    <w:rsid w:val="00D14F2A"/>
    <w:rsid w:val="00D16A8A"/>
    <w:rsid w:val="00D16D9A"/>
    <w:rsid w:val="00D1703F"/>
    <w:rsid w:val="00D209C1"/>
    <w:rsid w:val="00D234A8"/>
    <w:rsid w:val="00D238C8"/>
    <w:rsid w:val="00D2466D"/>
    <w:rsid w:val="00D2469B"/>
    <w:rsid w:val="00D246DA"/>
    <w:rsid w:val="00D24CDB"/>
    <w:rsid w:val="00D25B07"/>
    <w:rsid w:val="00D26B95"/>
    <w:rsid w:val="00D3045E"/>
    <w:rsid w:val="00D30B94"/>
    <w:rsid w:val="00D329BB"/>
    <w:rsid w:val="00D32EE8"/>
    <w:rsid w:val="00D33AFF"/>
    <w:rsid w:val="00D36EFC"/>
    <w:rsid w:val="00D3711C"/>
    <w:rsid w:val="00D372B4"/>
    <w:rsid w:val="00D3734C"/>
    <w:rsid w:val="00D373E8"/>
    <w:rsid w:val="00D378F7"/>
    <w:rsid w:val="00D37E48"/>
    <w:rsid w:val="00D40139"/>
    <w:rsid w:val="00D404B1"/>
    <w:rsid w:val="00D40946"/>
    <w:rsid w:val="00D40BA6"/>
    <w:rsid w:val="00D41A3E"/>
    <w:rsid w:val="00D4216D"/>
    <w:rsid w:val="00D42B80"/>
    <w:rsid w:val="00D42E0B"/>
    <w:rsid w:val="00D42EF9"/>
    <w:rsid w:val="00D4357A"/>
    <w:rsid w:val="00D43914"/>
    <w:rsid w:val="00D43CA5"/>
    <w:rsid w:val="00D43E7A"/>
    <w:rsid w:val="00D451D4"/>
    <w:rsid w:val="00D455C4"/>
    <w:rsid w:val="00D45AD0"/>
    <w:rsid w:val="00D45AE5"/>
    <w:rsid w:val="00D46181"/>
    <w:rsid w:val="00D46847"/>
    <w:rsid w:val="00D474B3"/>
    <w:rsid w:val="00D475EF"/>
    <w:rsid w:val="00D50079"/>
    <w:rsid w:val="00D50460"/>
    <w:rsid w:val="00D506BB"/>
    <w:rsid w:val="00D5070A"/>
    <w:rsid w:val="00D50E99"/>
    <w:rsid w:val="00D50EB0"/>
    <w:rsid w:val="00D51EC0"/>
    <w:rsid w:val="00D51FD6"/>
    <w:rsid w:val="00D521A0"/>
    <w:rsid w:val="00D526AB"/>
    <w:rsid w:val="00D5306D"/>
    <w:rsid w:val="00D538DC"/>
    <w:rsid w:val="00D53C26"/>
    <w:rsid w:val="00D544BA"/>
    <w:rsid w:val="00D54522"/>
    <w:rsid w:val="00D54C8F"/>
    <w:rsid w:val="00D54E9A"/>
    <w:rsid w:val="00D54EB1"/>
    <w:rsid w:val="00D54FF0"/>
    <w:rsid w:val="00D551FE"/>
    <w:rsid w:val="00D554C5"/>
    <w:rsid w:val="00D5568A"/>
    <w:rsid w:val="00D55937"/>
    <w:rsid w:val="00D56A52"/>
    <w:rsid w:val="00D56A5D"/>
    <w:rsid w:val="00D56FA3"/>
    <w:rsid w:val="00D572A5"/>
    <w:rsid w:val="00D6094B"/>
    <w:rsid w:val="00D60F9C"/>
    <w:rsid w:val="00D615CE"/>
    <w:rsid w:val="00D615F2"/>
    <w:rsid w:val="00D6175D"/>
    <w:rsid w:val="00D627FE"/>
    <w:rsid w:val="00D62977"/>
    <w:rsid w:val="00D62B4F"/>
    <w:rsid w:val="00D62B6C"/>
    <w:rsid w:val="00D64559"/>
    <w:rsid w:val="00D6467A"/>
    <w:rsid w:val="00D655C2"/>
    <w:rsid w:val="00D659AF"/>
    <w:rsid w:val="00D65BCE"/>
    <w:rsid w:val="00D65BDB"/>
    <w:rsid w:val="00D678D0"/>
    <w:rsid w:val="00D67B45"/>
    <w:rsid w:val="00D700FF"/>
    <w:rsid w:val="00D70AA6"/>
    <w:rsid w:val="00D70C22"/>
    <w:rsid w:val="00D7190F"/>
    <w:rsid w:val="00D72B18"/>
    <w:rsid w:val="00D73514"/>
    <w:rsid w:val="00D73D54"/>
    <w:rsid w:val="00D74E97"/>
    <w:rsid w:val="00D753C2"/>
    <w:rsid w:val="00D7675B"/>
    <w:rsid w:val="00D77857"/>
    <w:rsid w:val="00D77AF9"/>
    <w:rsid w:val="00D77D55"/>
    <w:rsid w:val="00D77FF1"/>
    <w:rsid w:val="00D80B12"/>
    <w:rsid w:val="00D81846"/>
    <w:rsid w:val="00D81BEE"/>
    <w:rsid w:val="00D82608"/>
    <w:rsid w:val="00D8298B"/>
    <w:rsid w:val="00D82C14"/>
    <w:rsid w:val="00D82DC6"/>
    <w:rsid w:val="00D83788"/>
    <w:rsid w:val="00D83A44"/>
    <w:rsid w:val="00D841B0"/>
    <w:rsid w:val="00D84680"/>
    <w:rsid w:val="00D85331"/>
    <w:rsid w:val="00D85354"/>
    <w:rsid w:val="00D85D20"/>
    <w:rsid w:val="00D86FC3"/>
    <w:rsid w:val="00D87170"/>
    <w:rsid w:val="00D90079"/>
    <w:rsid w:val="00D9044B"/>
    <w:rsid w:val="00D90A92"/>
    <w:rsid w:val="00D9186D"/>
    <w:rsid w:val="00D92B5A"/>
    <w:rsid w:val="00D93664"/>
    <w:rsid w:val="00D93954"/>
    <w:rsid w:val="00D93B77"/>
    <w:rsid w:val="00D94193"/>
    <w:rsid w:val="00D9445C"/>
    <w:rsid w:val="00D948F0"/>
    <w:rsid w:val="00D95FFA"/>
    <w:rsid w:val="00D96374"/>
    <w:rsid w:val="00D963A7"/>
    <w:rsid w:val="00D96C62"/>
    <w:rsid w:val="00D9701A"/>
    <w:rsid w:val="00D97145"/>
    <w:rsid w:val="00DA05BE"/>
    <w:rsid w:val="00DA09C3"/>
    <w:rsid w:val="00DA0EAB"/>
    <w:rsid w:val="00DA2740"/>
    <w:rsid w:val="00DA289D"/>
    <w:rsid w:val="00DA2EAA"/>
    <w:rsid w:val="00DA2F6B"/>
    <w:rsid w:val="00DA30C0"/>
    <w:rsid w:val="00DA4DC6"/>
    <w:rsid w:val="00DA671B"/>
    <w:rsid w:val="00DA678D"/>
    <w:rsid w:val="00DA68F2"/>
    <w:rsid w:val="00DA72DC"/>
    <w:rsid w:val="00DA7DCA"/>
    <w:rsid w:val="00DB01F2"/>
    <w:rsid w:val="00DB054C"/>
    <w:rsid w:val="00DB0B16"/>
    <w:rsid w:val="00DB0D1B"/>
    <w:rsid w:val="00DB0D5B"/>
    <w:rsid w:val="00DB12A0"/>
    <w:rsid w:val="00DB1E80"/>
    <w:rsid w:val="00DB3093"/>
    <w:rsid w:val="00DB40C9"/>
    <w:rsid w:val="00DB4576"/>
    <w:rsid w:val="00DB472E"/>
    <w:rsid w:val="00DB4921"/>
    <w:rsid w:val="00DB5B58"/>
    <w:rsid w:val="00DB5EED"/>
    <w:rsid w:val="00DB6862"/>
    <w:rsid w:val="00DB6C39"/>
    <w:rsid w:val="00DB73EF"/>
    <w:rsid w:val="00DB7A64"/>
    <w:rsid w:val="00DB7CEB"/>
    <w:rsid w:val="00DC00BC"/>
    <w:rsid w:val="00DC06F4"/>
    <w:rsid w:val="00DC1165"/>
    <w:rsid w:val="00DC2247"/>
    <w:rsid w:val="00DC2C3E"/>
    <w:rsid w:val="00DC3092"/>
    <w:rsid w:val="00DC3B3A"/>
    <w:rsid w:val="00DC43D6"/>
    <w:rsid w:val="00DC4E53"/>
    <w:rsid w:val="00DC4F1E"/>
    <w:rsid w:val="00DC5020"/>
    <w:rsid w:val="00DC548C"/>
    <w:rsid w:val="00DC55BE"/>
    <w:rsid w:val="00DC59F4"/>
    <w:rsid w:val="00DC655A"/>
    <w:rsid w:val="00DC6568"/>
    <w:rsid w:val="00DC67A4"/>
    <w:rsid w:val="00DC6CFA"/>
    <w:rsid w:val="00DC72EE"/>
    <w:rsid w:val="00DC7668"/>
    <w:rsid w:val="00DD0867"/>
    <w:rsid w:val="00DD0ED9"/>
    <w:rsid w:val="00DD0F4A"/>
    <w:rsid w:val="00DD228A"/>
    <w:rsid w:val="00DD285A"/>
    <w:rsid w:val="00DD2958"/>
    <w:rsid w:val="00DD2D28"/>
    <w:rsid w:val="00DD2F74"/>
    <w:rsid w:val="00DD327B"/>
    <w:rsid w:val="00DD3DBC"/>
    <w:rsid w:val="00DD3FC5"/>
    <w:rsid w:val="00DD5112"/>
    <w:rsid w:val="00DD51BE"/>
    <w:rsid w:val="00DD5812"/>
    <w:rsid w:val="00DD62CA"/>
    <w:rsid w:val="00DD67EF"/>
    <w:rsid w:val="00DD7F69"/>
    <w:rsid w:val="00DE033E"/>
    <w:rsid w:val="00DE041C"/>
    <w:rsid w:val="00DE0938"/>
    <w:rsid w:val="00DE2151"/>
    <w:rsid w:val="00DE254A"/>
    <w:rsid w:val="00DE290D"/>
    <w:rsid w:val="00DE34C5"/>
    <w:rsid w:val="00DE3780"/>
    <w:rsid w:val="00DE38F3"/>
    <w:rsid w:val="00DE3AF4"/>
    <w:rsid w:val="00DE46CC"/>
    <w:rsid w:val="00DE4DE0"/>
    <w:rsid w:val="00DE53C6"/>
    <w:rsid w:val="00DE59BC"/>
    <w:rsid w:val="00DE59E6"/>
    <w:rsid w:val="00DE5E23"/>
    <w:rsid w:val="00DE5EDC"/>
    <w:rsid w:val="00DE6009"/>
    <w:rsid w:val="00DE627A"/>
    <w:rsid w:val="00DE7006"/>
    <w:rsid w:val="00DE7151"/>
    <w:rsid w:val="00DF008A"/>
    <w:rsid w:val="00DF0599"/>
    <w:rsid w:val="00DF088C"/>
    <w:rsid w:val="00DF0935"/>
    <w:rsid w:val="00DF09A2"/>
    <w:rsid w:val="00DF0D5F"/>
    <w:rsid w:val="00DF164D"/>
    <w:rsid w:val="00DF1D12"/>
    <w:rsid w:val="00DF2638"/>
    <w:rsid w:val="00DF287D"/>
    <w:rsid w:val="00DF3331"/>
    <w:rsid w:val="00DF3578"/>
    <w:rsid w:val="00DF3747"/>
    <w:rsid w:val="00DF3BE0"/>
    <w:rsid w:val="00DF452C"/>
    <w:rsid w:val="00DF5095"/>
    <w:rsid w:val="00DF50D7"/>
    <w:rsid w:val="00DF514E"/>
    <w:rsid w:val="00DF52C0"/>
    <w:rsid w:val="00DF5323"/>
    <w:rsid w:val="00DF55D0"/>
    <w:rsid w:val="00DF5CA6"/>
    <w:rsid w:val="00DF6F55"/>
    <w:rsid w:val="00DF79A1"/>
    <w:rsid w:val="00DF7B8D"/>
    <w:rsid w:val="00DF7D4E"/>
    <w:rsid w:val="00E00ACA"/>
    <w:rsid w:val="00E00D38"/>
    <w:rsid w:val="00E00DD0"/>
    <w:rsid w:val="00E01109"/>
    <w:rsid w:val="00E015EB"/>
    <w:rsid w:val="00E0202A"/>
    <w:rsid w:val="00E02424"/>
    <w:rsid w:val="00E02645"/>
    <w:rsid w:val="00E0293D"/>
    <w:rsid w:val="00E033E8"/>
    <w:rsid w:val="00E034AA"/>
    <w:rsid w:val="00E039D6"/>
    <w:rsid w:val="00E04655"/>
    <w:rsid w:val="00E049BC"/>
    <w:rsid w:val="00E051C8"/>
    <w:rsid w:val="00E05209"/>
    <w:rsid w:val="00E053F7"/>
    <w:rsid w:val="00E05D20"/>
    <w:rsid w:val="00E06860"/>
    <w:rsid w:val="00E0686B"/>
    <w:rsid w:val="00E07A45"/>
    <w:rsid w:val="00E10701"/>
    <w:rsid w:val="00E10EAB"/>
    <w:rsid w:val="00E12238"/>
    <w:rsid w:val="00E1276F"/>
    <w:rsid w:val="00E12B83"/>
    <w:rsid w:val="00E12E68"/>
    <w:rsid w:val="00E132A5"/>
    <w:rsid w:val="00E1346A"/>
    <w:rsid w:val="00E13F07"/>
    <w:rsid w:val="00E1441E"/>
    <w:rsid w:val="00E14B17"/>
    <w:rsid w:val="00E14B22"/>
    <w:rsid w:val="00E14E6E"/>
    <w:rsid w:val="00E15067"/>
    <w:rsid w:val="00E1513A"/>
    <w:rsid w:val="00E15518"/>
    <w:rsid w:val="00E15E1E"/>
    <w:rsid w:val="00E16045"/>
    <w:rsid w:val="00E20360"/>
    <w:rsid w:val="00E20B68"/>
    <w:rsid w:val="00E210E5"/>
    <w:rsid w:val="00E212B3"/>
    <w:rsid w:val="00E21896"/>
    <w:rsid w:val="00E22250"/>
    <w:rsid w:val="00E22919"/>
    <w:rsid w:val="00E23A01"/>
    <w:rsid w:val="00E241F0"/>
    <w:rsid w:val="00E24272"/>
    <w:rsid w:val="00E242DF"/>
    <w:rsid w:val="00E24533"/>
    <w:rsid w:val="00E24BC6"/>
    <w:rsid w:val="00E259F9"/>
    <w:rsid w:val="00E25CF4"/>
    <w:rsid w:val="00E25E8E"/>
    <w:rsid w:val="00E25ECF"/>
    <w:rsid w:val="00E25ED0"/>
    <w:rsid w:val="00E264E5"/>
    <w:rsid w:val="00E26615"/>
    <w:rsid w:val="00E2681F"/>
    <w:rsid w:val="00E27101"/>
    <w:rsid w:val="00E276A9"/>
    <w:rsid w:val="00E276F2"/>
    <w:rsid w:val="00E27C86"/>
    <w:rsid w:val="00E27D5A"/>
    <w:rsid w:val="00E300F0"/>
    <w:rsid w:val="00E31010"/>
    <w:rsid w:val="00E310BB"/>
    <w:rsid w:val="00E3132C"/>
    <w:rsid w:val="00E32277"/>
    <w:rsid w:val="00E32555"/>
    <w:rsid w:val="00E32D66"/>
    <w:rsid w:val="00E33255"/>
    <w:rsid w:val="00E333C4"/>
    <w:rsid w:val="00E344AC"/>
    <w:rsid w:val="00E35A02"/>
    <w:rsid w:val="00E35CE0"/>
    <w:rsid w:val="00E36C07"/>
    <w:rsid w:val="00E36FCC"/>
    <w:rsid w:val="00E375B6"/>
    <w:rsid w:val="00E377D6"/>
    <w:rsid w:val="00E37CA7"/>
    <w:rsid w:val="00E40715"/>
    <w:rsid w:val="00E40DA5"/>
    <w:rsid w:val="00E415F7"/>
    <w:rsid w:val="00E41684"/>
    <w:rsid w:val="00E417A0"/>
    <w:rsid w:val="00E41B43"/>
    <w:rsid w:val="00E41D57"/>
    <w:rsid w:val="00E420B7"/>
    <w:rsid w:val="00E4214D"/>
    <w:rsid w:val="00E425ED"/>
    <w:rsid w:val="00E42B65"/>
    <w:rsid w:val="00E42FFF"/>
    <w:rsid w:val="00E43ABF"/>
    <w:rsid w:val="00E43FB2"/>
    <w:rsid w:val="00E44B84"/>
    <w:rsid w:val="00E44FC0"/>
    <w:rsid w:val="00E45030"/>
    <w:rsid w:val="00E45257"/>
    <w:rsid w:val="00E45854"/>
    <w:rsid w:val="00E46B6D"/>
    <w:rsid w:val="00E46D48"/>
    <w:rsid w:val="00E47332"/>
    <w:rsid w:val="00E477E8"/>
    <w:rsid w:val="00E47943"/>
    <w:rsid w:val="00E47C27"/>
    <w:rsid w:val="00E50593"/>
    <w:rsid w:val="00E50885"/>
    <w:rsid w:val="00E50CC8"/>
    <w:rsid w:val="00E5152E"/>
    <w:rsid w:val="00E51DB6"/>
    <w:rsid w:val="00E524C2"/>
    <w:rsid w:val="00E5258A"/>
    <w:rsid w:val="00E52773"/>
    <w:rsid w:val="00E53247"/>
    <w:rsid w:val="00E53427"/>
    <w:rsid w:val="00E53FF2"/>
    <w:rsid w:val="00E5417F"/>
    <w:rsid w:val="00E544C7"/>
    <w:rsid w:val="00E549D1"/>
    <w:rsid w:val="00E555E7"/>
    <w:rsid w:val="00E55A13"/>
    <w:rsid w:val="00E55E07"/>
    <w:rsid w:val="00E56EC1"/>
    <w:rsid w:val="00E5700A"/>
    <w:rsid w:val="00E571A9"/>
    <w:rsid w:val="00E57A93"/>
    <w:rsid w:val="00E57E7F"/>
    <w:rsid w:val="00E57EE1"/>
    <w:rsid w:val="00E60733"/>
    <w:rsid w:val="00E6091F"/>
    <w:rsid w:val="00E6105A"/>
    <w:rsid w:val="00E610F5"/>
    <w:rsid w:val="00E6129E"/>
    <w:rsid w:val="00E616A0"/>
    <w:rsid w:val="00E61B21"/>
    <w:rsid w:val="00E61BCD"/>
    <w:rsid w:val="00E6260F"/>
    <w:rsid w:val="00E6270A"/>
    <w:rsid w:val="00E62CA9"/>
    <w:rsid w:val="00E62E1C"/>
    <w:rsid w:val="00E63634"/>
    <w:rsid w:val="00E63E9D"/>
    <w:rsid w:val="00E64626"/>
    <w:rsid w:val="00E64BC4"/>
    <w:rsid w:val="00E64D9F"/>
    <w:rsid w:val="00E654E2"/>
    <w:rsid w:val="00E659D3"/>
    <w:rsid w:val="00E65D2C"/>
    <w:rsid w:val="00E66580"/>
    <w:rsid w:val="00E66806"/>
    <w:rsid w:val="00E669D3"/>
    <w:rsid w:val="00E6704A"/>
    <w:rsid w:val="00E6774B"/>
    <w:rsid w:val="00E67753"/>
    <w:rsid w:val="00E700A5"/>
    <w:rsid w:val="00E71258"/>
    <w:rsid w:val="00E71862"/>
    <w:rsid w:val="00E733E1"/>
    <w:rsid w:val="00E7357E"/>
    <w:rsid w:val="00E77FB4"/>
    <w:rsid w:val="00E81637"/>
    <w:rsid w:val="00E8280F"/>
    <w:rsid w:val="00E83512"/>
    <w:rsid w:val="00E83D2D"/>
    <w:rsid w:val="00E8428D"/>
    <w:rsid w:val="00E84BBA"/>
    <w:rsid w:val="00E84E7D"/>
    <w:rsid w:val="00E8541D"/>
    <w:rsid w:val="00E85E12"/>
    <w:rsid w:val="00E86C68"/>
    <w:rsid w:val="00E9085B"/>
    <w:rsid w:val="00E90A80"/>
    <w:rsid w:val="00E91583"/>
    <w:rsid w:val="00E91AF7"/>
    <w:rsid w:val="00E92D0D"/>
    <w:rsid w:val="00E92F87"/>
    <w:rsid w:val="00E937C0"/>
    <w:rsid w:val="00E93855"/>
    <w:rsid w:val="00E93951"/>
    <w:rsid w:val="00E93AA2"/>
    <w:rsid w:val="00E949DB"/>
    <w:rsid w:val="00E94EB0"/>
    <w:rsid w:val="00E954B6"/>
    <w:rsid w:val="00E9659B"/>
    <w:rsid w:val="00E96E4C"/>
    <w:rsid w:val="00E9731E"/>
    <w:rsid w:val="00E97514"/>
    <w:rsid w:val="00E976E1"/>
    <w:rsid w:val="00EA0183"/>
    <w:rsid w:val="00EA03E5"/>
    <w:rsid w:val="00EA15CD"/>
    <w:rsid w:val="00EA18EA"/>
    <w:rsid w:val="00EA192C"/>
    <w:rsid w:val="00EA1A83"/>
    <w:rsid w:val="00EA2D7F"/>
    <w:rsid w:val="00EA3022"/>
    <w:rsid w:val="00EA3679"/>
    <w:rsid w:val="00EA3CD9"/>
    <w:rsid w:val="00EA3FDE"/>
    <w:rsid w:val="00EA4388"/>
    <w:rsid w:val="00EA4439"/>
    <w:rsid w:val="00EA46CC"/>
    <w:rsid w:val="00EA4DD6"/>
    <w:rsid w:val="00EA5152"/>
    <w:rsid w:val="00EA5643"/>
    <w:rsid w:val="00EA5874"/>
    <w:rsid w:val="00EA5DC5"/>
    <w:rsid w:val="00EA608F"/>
    <w:rsid w:val="00EA6656"/>
    <w:rsid w:val="00EA6A87"/>
    <w:rsid w:val="00EA6CC1"/>
    <w:rsid w:val="00EA7D95"/>
    <w:rsid w:val="00EA7EE7"/>
    <w:rsid w:val="00EB0382"/>
    <w:rsid w:val="00EB04D3"/>
    <w:rsid w:val="00EB09F4"/>
    <w:rsid w:val="00EB0B06"/>
    <w:rsid w:val="00EB1E06"/>
    <w:rsid w:val="00EB274D"/>
    <w:rsid w:val="00EB2A0E"/>
    <w:rsid w:val="00EB3519"/>
    <w:rsid w:val="00EB35D0"/>
    <w:rsid w:val="00EB3992"/>
    <w:rsid w:val="00EB3B63"/>
    <w:rsid w:val="00EB3C8D"/>
    <w:rsid w:val="00EB4143"/>
    <w:rsid w:val="00EB48BE"/>
    <w:rsid w:val="00EB4D6E"/>
    <w:rsid w:val="00EB5274"/>
    <w:rsid w:val="00EB54CF"/>
    <w:rsid w:val="00EB5A4F"/>
    <w:rsid w:val="00EB6991"/>
    <w:rsid w:val="00EB6A9B"/>
    <w:rsid w:val="00EB6D8D"/>
    <w:rsid w:val="00EB7305"/>
    <w:rsid w:val="00EB7594"/>
    <w:rsid w:val="00EB7E0B"/>
    <w:rsid w:val="00EC086B"/>
    <w:rsid w:val="00EC121A"/>
    <w:rsid w:val="00EC1E1B"/>
    <w:rsid w:val="00EC22D0"/>
    <w:rsid w:val="00EC327B"/>
    <w:rsid w:val="00EC4389"/>
    <w:rsid w:val="00EC5836"/>
    <w:rsid w:val="00EC58F1"/>
    <w:rsid w:val="00EC5AFB"/>
    <w:rsid w:val="00EC5EA2"/>
    <w:rsid w:val="00EC5F18"/>
    <w:rsid w:val="00EC6360"/>
    <w:rsid w:val="00EC6363"/>
    <w:rsid w:val="00EC6798"/>
    <w:rsid w:val="00EC6B24"/>
    <w:rsid w:val="00EC6BF6"/>
    <w:rsid w:val="00EC7287"/>
    <w:rsid w:val="00EC7566"/>
    <w:rsid w:val="00EC7D91"/>
    <w:rsid w:val="00ED01DA"/>
    <w:rsid w:val="00ED090A"/>
    <w:rsid w:val="00ED15DE"/>
    <w:rsid w:val="00ED1654"/>
    <w:rsid w:val="00ED247D"/>
    <w:rsid w:val="00ED2CF5"/>
    <w:rsid w:val="00ED3028"/>
    <w:rsid w:val="00ED3447"/>
    <w:rsid w:val="00ED39E5"/>
    <w:rsid w:val="00ED418F"/>
    <w:rsid w:val="00ED4E8C"/>
    <w:rsid w:val="00ED56B2"/>
    <w:rsid w:val="00ED5769"/>
    <w:rsid w:val="00ED5908"/>
    <w:rsid w:val="00ED5DBE"/>
    <w:rsid w:val="00ED6CD7"/>
    <w:rsid w:val="00ED6E12"/>
    <w:rsid w:val="00ED70AA"/>
    <w:rsid w:val="00ED72B2"/>
    <w:rsid w:val="00ED78E5"/>
    <w:rsid w:val="00EE0023"/>
    <w:rsid w:val="00EE08E8"/>
    <w:rsid w:val="00EE151F"/>
    <w:rsid w:val="00EE1E64"/>
    <w:rsid w:val="00EE2056"/>
    <w:rsid w:val="00EE2289"/>
    <w:rsid w:val="00EE2740"/>
    <w:rsid w:val="00EE3684"/>
    <w:rsid w:val="00EE3897"/>
    <w:rsid w:val="00EE3E0F"/>
    <w:rsid w:val="00EE3F94"/>
    <w:rsid w:val="00EE5163"/>
    <w:rsid w:val="00EE608C"/>
    <w:rsid w:val="00EE625E"/>
    <w:rsid w:val="00EE6675"/>
    <w:rsid w:val="00EE731B"/>
    <w:rsid w:val="00EE7B07"/>
    <w:rsid w:val="00EE7C65"/>
    <w:rsid w:val="00EE7F0F"/>
    <w:rsid w:val="00EF05EC"/>
    <w:rsid w:val="00EF079C"/>
    <w:rsid w:val="00EF234C"/>
    <w:rsid w:val="00EF251C"/>
    <w:rsid w:val="00EF2751"/>
    <w:rsid w:val="00EF28E4"/>
    <w:rsid w:val="00EF3946"/>
    <w:rsid w:val="00EF3BBF"/>
    <w:rsid w:val="00EF3E99"/>
    <w:rsid w:val="00EF44B7"/>
    <w:rsid w:val="00EF453C"/>
    <w:rsid w:val="00EF4838"/>
    <w:rsid w:val="00EF5133"/>
    <w:rsid w:val="00EF5579"/>
    <w:rsid w:val="00EF58B6"/>
    <w:rsid w:val="00EF5BFD"/>
    <w:rsid w:val="00EF5C32"/>
    <w:rsid w:val="00EF6751"/>
    <w:rsid w:val="00EF6B88"/>
    <w:rsid w:val="00EF6EBA"/>
    <w:rsid w:val="00EF7112"/>
    <w:rsid w:val="00EF739F"/>
    <w:rsid w:val="00EF76BB"/>
    <w:rsid w:val="00EF7F3E"/>
    <w:rsid w:val="00F0034F"/>
    <w:rsid w:val="00F0041C"/>
    <w:rsid w:val="00F0093D"/>
    <w:rsid w:val="00F00A88"/>
    <w:rsid w:val="00F00E5C"/>
    <w:rsid w:val="00F0104B"/>
    <w:rsid w:val="00F014BF"/>
    <w:rsid w:val="00F01540"/>
    <w:rsid w:val="00F01D27"/>
    <w:rsid w:val="00F02007"/>
    <w:rsid w:val="00F02159"/>
    <w:rsid w:val="00F02272"/>
    <w:rsid w:val="00F023CF"/>
    <w:rsid w:val="00F0280B"/>
    <w:rsid w:val="00F03535"/>
    <w:rsid w:val="00F03686"/>
    <w:rsid w:val="00F0372E"/>
    <w:rsid w:val="00F0440C"/>
    <w:rsid w:val="00F044A5"/>
    <w:rsid w:val="00F052D6"/>
    <w:rsid w:val="00F05912"/>
    <w:rsid w:val="00F05B9E"/>
    <w:rsid w:val="00F06841"/>
    <w:rsid w:val="00F073DB"/>
    <w:rsid w:val="00F07F4C"/>
    <w:rsid w:val="00F10061"/>
    <w:rsid w:val="00F101E2"/>
    <w:rsid w:val="00F10737"/>
    <w:rsid w:val="00F10CB3"/>
    <w:rsid w:val="00F1108F"/>
    <w:rsid w:val="00F11BB9"/>
    <w:rsid w:val="00F12195"/>
    <w:rsid w:val="00F1239C"/>
    <w:rsid w:val="00F1366A"/>
    <w:rsid w:val="00F143E8"/>
    <w:rsid w:val="00F1496D"/>
    <w:rsid w:val="00F14CF2"/>
    <w:rsid w:val="00F15235"/>
    <w:rsid w:val="00F154D4"/>
    <w:rsid w:val="00F15E3E"/>
    <w:rsid w:val="00F166CB"/>
    <w:rsid w:val="00F16C0F"/>
    <w:rsid w:val="00F21A45"/>
    <w:rsid w:val="00F226A0"/>
    <w:rsid w:val="00F2281C"/>
    <w:rsid w:val="00F22B5D"/>
    <w:rsid w:val="00F23138"/>
    <w:rsid w:val="00F236C0"/>
    <w:rsid w:val="00F2412C"/>
    <w:rsid w:val="00F241E5"/>
    <w:rsid w:val="00F2484D"/>
    <w:rsid w:val="00F249E1"/>
    <w:rsid w:val="00F24D48"/>
    <w:rsid w:val="00F25297"/>
    <w:rsid w:val="00F25CC5"/>
    <w:rsid w:val="00F25E2C"/>
    <w:rsid w:val="00F2661C"/>
    <w:rsid w:val="00F26694"/>
    <w:rsid w:val="00F26A6A"/>
    <w:rsid w:val="00F272E8"/>
    <w:rsid w:val="00F27AE8"/>
    <w:rsid w:val="00F27B98"/>
    <w:rsid w:val="00F3045F"/>
    <w:rsid w:val="00F3070F"/>
    <w:rsid w:val="00F31B23"/>
    <w:rsid w:val="00F32665"/>
    <w:rsid w:val="00F32BC2"/>
    <w:rsid w:val="00F32EBC"/>
    <w:rsid w:val="00F33B61"/>
    <w:rsid w:val="00F33BAA"/>
    <w:rsid w:val="00F33EE6"/>
    <w:rsid w:val="00F3499A"/>
    <w:rsid w:val="00F349BC"/>
    <w:rsid w:val="00F34DC5"/>
    <w:rsid w:val="00F34EBF"/>
    <w:rsid w:val="00F35D14"/>
    <w:rsid w:val="00F36D2C"/>
    <w:rsid w:val="00F37D0E"/>
    <w:rsid w:val="00F37D96"/>
    <w:rsid w:val="00F40083"/>
    <w:rsid w:val="00F40176"/>
    <w:rsid w:val="00F40643"/>
    <w:rsid w:val="00F40764"/>
    <w:rsid w:val="00F40A9A"/>
    <w:rsid w:val="00F40B4E"/>
    <w:rsid w:val="00F41187"/>
    <w:rsid w:val="00F411C0"/>
    <w:rsid w:val="00F4189C"/>
    <w:rsid w:val="00F4199E"/>
    <w:rsid w:val="00F41C07"/>
    <w:rsid w:val="00F41E61"/>
    <w:rsid w:val="00F42A13"/>
    <w:rsid w:val="00F43220"/>
    <w:rsid w:val="00F438E5"/>
    <w:rsid w:val="00F43ECC"/>
    <w:rsid w:val="00F449A4"/>
    <w:rsid w:val="00F44A17"/>
    <w:rsid w:val="00F453E4"/>
    <w:rsid w:val="00F4622C"/>
    <w:rsid w:val="00F50E65"/>
    <w:rsid w:val="00F51E4B"/>
    <w:rsid w:val="00F522D0"/>
    <w:rsid w:val="00F52D9B"/>
    <w:rsid w:val="00F532C3"/>
    <w:rsid w:val="00F53C56"/>
    <w:rsid w:val="00F53FAA"/>
    <w:rsid w:val="00F543C5"/>
    <w:rsid w:val="00F550A7"/>
    <w:rsid w:val="00F5653B"/>
    <w:rsid w:val="00F56CDE"/>
    <w:rsid w:val="00F57035"/>
    <w:rsid w:val="00F570BB"/>
    <w:rsid w:val="00F572A1"/>
    <w:rsid w:val="00F57991"/>
    <w:rsid w:val="00F57CEC"/>
    <w:rsid w:val="00F6020A"/>
    <w:rsid w:val="00F612FD"/>
    <w:rsid w:val="00F618D6"/>
    <w:rsid w:val="00F61EF3"/>
    <w:rsid w:val="00F62B59"/>
    <w:rsid w:val="00F62BC3"/>
    <w:rsid w:val="00F62BF0"/>
    <w:rsid w:val="00F633AE"/>
    <w:rsid w:val="00F63A75"/>
    <w:rsid w:val="00F63EDE"/>
    <w:rsid w:val="00F63F09"/>
    <w:rsid w:val="00F63F75"/>
    <w:rsid w:val="00F640A1"/>
    <w:rsid w:val="00F642B0"/>
    <w:rsid w:val="00F64B8C"/>
    <w:rsid w:val="00F64EAD"/>
    <w:rsid w:val="00F64FED"/>
    <w:rsid w:val="00F65A3F"/>
    <w:rsid w:val="00F65AD7"/>
    <w:rsid w:val="00F65EF8"/>
    <w:rsid w:val="00F6608C"/>
    <w:rsid w:val="00F66174"/>
    <w:rsid w:val="00F70F55"/>
    <w:rsid w:val="00F71778"/>
    <w:rsid w:val="00F73E5B"/>
    <w:rsid w:val="00F747B3"/>
    <w:rsid w:val="00F74AC7"/>
    <w:rsid w:val="00F74C2E"/>
    <w:rsid w:val="00F74E20"/>
    <w:rsid w:val="00F756C6"/>
    <w:rsid w:val="00F75C1A"/>
    <w:rsid w:val="00F75E5F"/>
    <w:rsid w:val="00F76184"/>
    <w:rsid w:val="00F76567"/>
    <w:rsid w:val="00F76F9A"/>
    <w:rsid w:val="00F77AB7"/>
    <w:rsid w:val="00F77D3F"/>
    <w:rsid w:val="00F80C60"/>
    <w:rsid w:val="00F816DA"/>
    <w:rsid w:val="00F81767"/>
    <w:rsid w:val="00F819F2"/>
    <w:rsid w:val="00F8252B"/>
    <w:rsid w:val="00F8268B"/>
    <w:rsid w:val="00F82894"/>
    <w:rsid w:val="00F82CC0"/>
    <w:rsid w:val="00F83307"/>
    <w:rsid w:val="00F83537"/>
    <w:rsid w:val="00F83D8A"/>
    <w:rsid w:val="00F84540"/>
    <w:rsid w:val="00F845B3"/>
    <w:rsid w:val="00F85297"/>
    <w:rsid w:val="00F85AB3"/>
    <w:rsid w:val="00F86276"/>
    <w:rsid w:val="00F864E8"/>
    <w:rsid w:val="00F86CBD"/>
    <w:rsid w:val="00F87E9B"/>
    <w:rsid w:val="00F9042B"/>
    <w:rsid w:val="00F90BB8"/>
    <w:rsid w:val="00F91482"/>
    <w:rsid w:val="00F915A6"/>
    <w:rsid w:val="00F9162B"/>
    <w:rsid w:val="00F91A1C"/>
    <w:rsid w:val="00F91DDB"/>
    <w:rsid w:val="00F91FC1"/>
    <w:rsid w:val="00F93C6C"/>
    <w:rsid w:val="00F93D61"/>
    <w:rsid w:val="00F9463E"/>
    <w:rsid w:val="00F94A0C"/>
    <w:rsid w:val="00F94CEE"/>
    <w:rsid w:val="00F953BF"/>
    <w:rsid w:val="00F9573F"/>
    <w:rsid w:val="00F96520"/>
    <w:rsid w:val="00F9773B"/>
    <w:rsid w:val="00FA043F"/>
    <w:rsid w:val="00FA087B"/>
    <w:rsid w:val="00FA0F34"/>
    <w:rsid w:val="00FA11E1"/>
    <w:rsid w:val="00FA13A1"/>
    <w:rsid w:val="00FA1607"/>
    <w:rsid w:val="00FA17D6"/>
    <w:rsid w:val="00FA1988"/>
    <w:rsid w:val="00FA1D38"/>
    <w:rsid w:val="00FA20BE"/>
    <w:rsid w:val="00FA21DB"/>
    <w:rsid w:val="00FA279F"/>
    <w:rsid w:val="00FA2E0B"/>
    <w:rsid w:val="00FA3353"/>
    <w:rsid w:val="00FA380C"/>
    <w:rsid w:val="00FA400C"/>
    <w:rsid w:val="00FA4186"/>
    <w:rsid w:val="00FA5984"/>
    <w:rsid w:val="00FA5BB8"/>
    <w:rsid w:val="00FA5DA0"/>
    <w:rsid w:val="00FA600D"/>
    <w:rsid w:val="00FA6476"/>
    <w:rsid w:val="00FA6477"/>
    <w:rsid w:val="00FA681E"/>
    <w:rsid w:val="00FA7390"/>
    <w:rsid w:val="00FA7C01"/>
    <w:rsid w:val="00FB03C2"/>
    <w:rsid w:val="00FB1302"/>
    <w:rsid w:val="00FB1DEB"/>
    <w:rsid w:val="00FB1F05"/>
    <w:rsid w:val="00FB3105"/>
    <w:rsid w:val="00FB3407"/>
    <w:rsid w:val="00FB354C"/>
    <w:rsid w:val="00FB421E"/>
    <w:rsid w:val="00FB442E"/>
    <w:rsid w:val="00FB4E02"/>
    <w:rsid w:val="00FB517B"/>
    <w:rsid w:val="00FB51C6"/>
    <w:rsid w:val="00FB52DD"/>
    <w:rsid w:val="00FB5983"/>
    <w:rsid w:val="00FB5B51"/>
    <w:rsid w:val="00FB5F59"/>
    <w:rsid w:val="00FB5FAA"/>
    <w:rsid w:val="00FB5FC9"/>
    <w:rsid w:val="00FB60F5"/>
    <w:rsid w:val="00FB63A3"/>
    <w:rsid w:val="00FB66FE"/>
    <w:rsid w:val="00FB6878"/>
    <w:rsid w:val="00FB79DC"/>
    <w:rsid w:val="00FB7E43"/>
    <w:rsid w:val="00FC0267"/>
    <w:rsid w:val="00FC057E"/>
    <w:rsid w:val="00FC1590"/>
    <w:rsid w:val="00FC24C5"/>
    <w:rsid w:val="00FC2747"/>
    <w:rsid w:val="00FC324A"/>
    <w:rsid w:val="00FC3506"/>
    <w:rsid w:val="00FC36A4"/>
    <w:rsid w:val="00FC3A7C"/>
    <w:rsid w:val="00FC3EEC"/>
    <w:rsid w:val="00FC478B"/>
    <w:rsid w:val="00FC4A21"/>
    <w:rsid w:val="00FC5479"/>
    <w:rsid w:val="00FC5761"/>
    <w:rsid w:val="00FC5E1F"/>
    <w:rsid w:val="00FC60E5"/>
    <w:rsid w:val="00FD09C5"/>
    <w:rsid w:val="00FD2317"/>
    <w:rsid w:val="00FD2FB6"/>
    <w:rsid w:val="00FD31AC"/>
    <w:rsid w:val="00FD3638"/>
    <w:rsid w:val="00FD372F"/>
    <w:rsid w:val="00FD3918"/>
    <w:rsid w:val="00FD4912"/>
    <w:rsid w:val="00FD64DC"/>
    <w:rsid w:val="00FD690C"/>
    <w:rsid w:val="00FD6BD7"/>
    <w:rsid w:val="00FD6C1D"/>
    <w:rsid w:val="00FE0FB8"/>
    <w:rsid w:val="00FE18DB"/>
    <w:rsid w:val="00FE1A06"/>
    <w:rsid w:val="00FE1A44"/>
    <w:rsid w:val="00FE1C68"/>
    <w:rsid w:val="00FE1C6E"/>
    <w:rsid w:val="00FE2452"/>
    <w:rsid w:val="00FE2815"/>
    <w:rsid w:val="00FE2DAF"/>
    <w:rsid w:val="00FE37DE"/>
    <w:rsid w:val="00FE45E9"/>
    <w:rsid w:val="00FE4820"/>
    <w:rsid w:val="00FE4BAE"/>
    <w:rsid w:val="00FE5237"/>
    <w:rsid w:val="00FE5414"/>
    <w:rsid w:val="00FE594D"/>
    <w:rsid w:val="00FE5CD6"/>
    <w:rsid w:val="00FE5E67"/>
    <w:rsid w:val="00FE6901"/>
    <w:rsid w:val="00FE7075"/>
    <w:rsid w:val="00FE7105"/>
    <w:rsid w:val="00FE73DB"/>
    <w:rsid w:val="00FE7885"/>
    <w:rsid w:val="00FF238A"/>
    <w:rsid w:val="00FF277E"/>
    <w:rsid w:val="00FF2945"/>
    <w:rsid w:val="00FF2C8A"/>
    <w:rsid w:val="00FF2CA1"/>
    <w:rsid w:val="00FF2E62"/>
    <w:rsid w:val="00FF3F7E"/>
    <w:rsid w:val="00FF4392"/>
    <w:rsid w:val="00FF4ACB"/>
    <w:rsid w:val="00FF5D2C"/>
    <w:rsid w:val="00FF65A2"/>
    <w:rsid w:val="00FF684C"/>
    <w:rsid w:val="00FF71C3"/>
    <w:rsid w:val="00FF76A9"/>
    <w:rsid w:val="00FF7B70"/>
    <w:rsid w:val="00FF7D3F"/>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7E75"/>
    <w:pPr>
      <w:spacing w:after="200" w:line="276" w:lineRule="auto"/>
      <w:jc w:val="both"/>
    </w:pPr>
    <w:rPr>
      <w:lang w:val="en-US" w:eastAsia="en-US"/>
    </w:rPr>
  </w:style>
  <w:style w:type="paragraph" w:styleId="Heading1">
    <w:name w:val="heading 1"/>
    <w:basedOn w:val="Normal"/>
    <w:next w:val="Normal"/>
    <w:link w:val="Heading1Char"/>
    <w:uiPriority w:val="99"/>
    <w:qFormat/>
    <w:rsid w:val="00E477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A15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A159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7204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7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A159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A159D"/>
    <w:rPr>
      <w:rFonts w:ascii="Cambria" w:hAnsi="Cambria" w:cs="Times New Roman"/>
      <w:b/>
      <w:bCs/>
      <w:color w:val="4F81BD"/>
    </w:rPr>
  </w:style>
  <w:style w:type="character" w:customStyle="1" w:styleId="Heading4Char">
    <w:name w:val="Heading 4 Char"/>
    <w:basedOn w:val="DefaultParagraphFont"/>
    <w:link w:val="Heading4"/>
    <w:uiPriority w:val="99"/>
    <w:locked/>
    <w:rsid w:val="0047204B"/>
    <w:rPr>
      <w:rFonts w:ascii="Cambria" w:hAnsi="Cambria" w:cs="Times New Roman"/>
      <w:b/>
      <w:bCs/>
      <w:i/>
      <w:iCs/>
      <w:color w:val="4F81BD"/>
    </w:rPr>
  </w:style>
  <w:style w:type="paragraph" w:styleId="BalloonText">
    <w:name w:val="Balloon Text"/>
    <w:basedOn w:val="Normal"/>
    <w:link w:val="BalloonTextChar"/>
    <w:uiPriority w:val="99"/>
    <w:semiHidden/>
    <w:rsid w:val="003F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1CC"/>
    <w:rPr>
      <w:rFonts w:ascii="Tahoma" w:hAnsi="Tahoma" w:cs="Tahoma"/>
      <w:sz w:val="16"/>
      <w:szCs w:val="16"/>
    </w:rPr>
  </w:style>
  <w:style w:type="paragraph" w:customStyle="1" w:styleId="StyleJ1">
    <w:name w:val="Style J1"/>
    <w:basedOn w:val="Heading1"/>
    <w:link w:val="StyleJ1Char"/>
    <w:uiPriority w:val="99"/>
    <w:rsid w:val="00E477E8"/>
    <w:pPr>
      <w:numPr>
        <w:numId w:val="1"/>
      </w:numPr>
    </w:pPr>
    <w:rPr>
      <w:rFonts w:ascii="Arial" w:hAnsi="Arial" w:cs="Arial"/>
      <w:color w:val="000000"/>
      <w:sz w:val="24"/>
    </w:rPr>
  </w:style>
  <w:style w:type="character" w:customStyle="1" w:styleId="StyleJ1Char">
    <w:name w:val="Style J1 Char"/>
    <w:basedOn w:val="Heading1Char"/>
    <w:link w:val="StyleJ1"/>
    <w:uiPriority w:val="99"/>
    <w:locked/>
    <w:rsid w:val="00E477E8"/>
    <w:rPr>
      <w:rFonts w:ascii="Arial" w:hAnsi="Arial" w:cs="Arial"/>
      <w:b/>
      <w:bCs/>
      <w:color w:val="000000"/>
      <w:sz w:val="28"/>
      <w:szCs w:val="28"/>
    </w:rPr>
  </w:style>
  <w:style w:type="paragraph" w:styleId="ListParagraph">
    <w:name w:val="List Paragraph"/>
    <w:basedOn w:val="Normal"/>
    <w:uiPriority w:val="99"/>
    <w:qFormat/>
    <w:rsid w:val="005C3934"/>
    <w:pPr>
      <w:ind w:left="720"/>
      <w:contextualSpacing/>
    </w:pPr>
  </w:style>
  <w:style w:type="table" w:styleId="TableGrid">
    <w:name w:val="Table Grid"/>
    <w:basedOn w:val="TableNormal"/>
    <w:uiPriority w:val="99"/>
    <w:rsid w:val="003F31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8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B3842"/>
    <w:rPr>
      <w:rFonts w:cs="Times New Roman"/>
      <w:sz w:val="20"/>
      <w:szCs w:val="20"/>
    </w:rPr>
  </w:style>
  <w:style w:type="character" w:styleId="FootnoteReference">
    <w:name w:val="footnote reference"/>
    <w:basedOn w:val="DefaultParagraphFont"/>
    <w:uiPriority w:val="99"/>
    <w:semiHidden/>
    <w:rsid w:val="009B3842"/>
    <w:rPr>
      <w:rFonts w:cs="Times New Roman"/>
      <w:vertAlign w:val="superscript"/>
    </w:rPr>
  </w:style>
  <w:style w:type="character" w:styleId="CommentReference">
    <w:name w:val="annotation reference"/>
    <w:basedOn w:val="DefaultParagraphFont"/>
    <w:uiPriority w:val="99"/>
    <w:semiHidden/>
    <w:rsid w:val="00EF4838"/>
    <w:rPr>
      <w:rFonts w:cs="Times New Roman"/>
      <w:sz w:val="16"/>
      <w:szCs w:val="16"/>
    </w:rPr>
  </w:style>
  <w:style w:type="paragraph" w:styleId="CommentText">
    <w:name w:val="annotation text"/>
    <w:basedOn w:val="Normal"/>
    <w:link w:val="CommentTextChar"/>
    <w:uiPriority w:val="99"/>
    <w:semiHidden/>
    <w:rsid w:val="00EF48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4838"/>
    <w:rPr>
      <w:rFonts w:cs="Times New Roman"/>
      <w:sz w:val="20"/>
      <w:szCs w:val="20"/>
    </w:rPr>
  </w:style>
  <w:style w:type="paragraph" w:styleId="CommentSubject">
    <w:name w:val="annotation subject"/>
    <w:basedOn w:val="CommentText"/>
    <w:next w:val="CommentText"/>
    <w:link w:val="CommentSubjectChar"/>
    <w:uiPriority w:val="99"/>
    <w:semiHidden/>
    <w:rsid w:val="00EF4838"/>
    <w:rPr>
      <w:b/>
      <w:bCs/>
    </w:rPr>
  </w:style>
  <w:style w:type="character" w:customStyle="1" w:styleId="CommentSubjectChar">
    <w:name w:val="Comment Subject Char"/>
    <w:basedOn w:val="CommentTextChar"/>
    <w:link w:val="CommentSubject"/>
    <w:uiPriority w:val="99"/>
    <w:semiHidden/>
    <w:locked/>
    <w:rsid w:val="00EF4838"/>
    <w:rPr>
      <w:rFonts w:cs="Times New Roman"/>
      <w:b/>
      <w:bCs/>
      <w:sz w:val="20"/>
      <w:szCs w:val="20"/>
    </w:rPr>
  </w:style>
  <w:style w:type="table" w:customStyle="1" w:styleId="CGA">
    <w:name w:val="CGA"/>
    <w:uiPriority w:val="99"/>
    <w:rsid w:val="00C35765"/>
    <w:rPr>
      <w:sz w:val="20"/>
      <w:szCs w:val="20"/>
    </w:rPr>
    <w:tblPr>
      <w:tblInd w:w="0" w:type="dxa"/>
      <w:tblBorders>
        <w:top w:val="single" w:sz="8" w:space="0" w:color="4F81BD"/>
      </w:tblBorders>
      <w:tblCellMar>
        <w:top w:w="0" w:type="dxa"/>
        <w:left w:w="108" w:type="dxa"/>
        <w:bottom w:w="0" w:type="dxa"/>
        <w:right w:w="108" w:type="dxa"/>
      </w:tblCellMar>
    </w:tblPr>
  </w:style>
  <w:style w:type="character" w:styleId="Hyperlink">
    <w:name w:val="Hyperlink"/>
    <w:basedOn w:val="DefaultParagraphFont"/>
    <w:uiPriority w:val="99"/>
    <w:rsid w:val="000F440E"/>
    <w:rPr>
      <w:rFonts w:cs="Times New Roman"/>
      <w:color w:val="0000FF"/>
      <w:u w:val="single"/>
    </w:rPr>
  </w:style>
  <w:style w:type="paragraph" w:styleId="Header">
    <w:name w:val="header"/>
    <w:basedOn w:val="Normal"/>
    <w:link w:val="HeaderChar"/>
    <w:uiPriority w:val="99"/>
    <w:rsid w:val="00E155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5518"/>
    <w:rPr>
      <w:rFonts w:cs="Times New Roman"/>
    </w:rPr>
  </w:style>
  <w:style w:type="paragraph" w:styleId="Footer">
    <w:name w:val="footer"/>
    <w:basedOn w:val="Normal"/>
    <w:link w:val="FooterChar"/>
    <w:uiPriority w:val="99"/>
    <w:rsid w:val="00E155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518"/>
    <w:rPr>
      <w:rFonts w:cs="Times New Roman"/>
    </w:rPr>
  </w:style>
  <w:style w:type="table" w:customStyle="1" w:styleId="Style1">
    <w:name w:val="Style1"/>
    <w:uiPriority w:val="99"/>
    <w:rsid w:val="00AC387E"/>
    <w:rPr>
      <w:sz w:val="20"/>
      <w:szCs w:val="20"/>
    </w:rPr>
    <w:tblPr>
      <w:tblStyleRowBandSize w:val="1"/>
      <w:tblInd w:w="0" w:type="dxa"/>
      <w:tblBorders>
        <w:bottom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55032"/>
    <w:rPr>
      <w:rFonts w:eastAsia="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semiHidden/>
    <w:rsid w:val="00EF6B88"/>
    <w:rPr>
      <w:rFonts w:cs="Times New Roman"/>
    </w:rPr>
  </w:style>
  <w:style w:type="paragraph" w:styleId="NoSpacing">
    <w:name w:val="No Spacing"/>
    <w:link w:val="NoSpacingChar"/>
    <w:uiPriority w:val="99"/>
    <w:qFormat/>
    <w:rsid w:val="00EF6B88"/>
    <w:rPr>
      <w:rFonts w:ascii="PMingLiU" w:eastAsia="PMingLiU" w:hAnsi="Times New Roman"/>
      <w:lang w:val="en-US" w:eastAsia="en-US"/>
    </w:rPr>
  </w:style>
  <w:style w:type="character" w:customStyle="1" w:styleId="NoSpacingChar">
    <w:name w:val="No Spacing Char"/>
    <w:basedOn w:val="DefaultParagraphFont"/>
    <w:link w:val="NoSpacing"/>
    <w:uiPriority w:val="99"/>
    <w:locked/>
    <w:rsid w:val="00EF6B88"/>
    <w:rPr>
      <w:rFonts w:ascii="PMingLiU" w:eastAsia="PMingLiU" w:hAnsi="Times New Roman" w:cs="Times New Roman"/>
      <w:sz w:val="22"/>
      <w:szCs w:val="22"/>
      <w:lang w:val="en-US" w:eastAsia="en-US" w:bidi="ar-SA"/>
    </w:rPr>
  </w:style>
  <w:style w:type="character" w:customStyle="1" w:styleId="apple-converted-space">
    <w:name w:val="apple-converted-space"/>
    <w:basedOn w:val="DefaultParagraphFont"/>
    <w:uiPriority w:val="99"/>
    <w:rsid w:val="001E5A44"/>
    <w:rPr>
      <w:rFonts w:cs="Times New Roman"/>
    </w:rPr>
  </w:style>
  <w:style w:type="paragraph" w:customStyle="1" w:styleId="Default">
    <w:name w:val="Default"/>
    <w:uiPriority w:val="99"/>
    <w:rsid w:val="009756CD"/>
    <w:pPr>
      <w:autoSpaceDE w:val="0"/>
      <w:autoSpaceDN w:val="0"/>
      <w:adjustRightInd w:val="0"/>
    </w:pPr>
    <w:rPr>
      <w:rFonts w:ascii="Times New Roman" w:hAnsi="Times New Roman"/>
      <w:color w:val="000000"/>
      <w:sz w:val="24"/>
      <w:szCs w:val="24"/>
    </w:rPr>
  </w:style>
  <w:style w:type="paragraph" w:customStyle="1" w:styleId="newncpi">
    <w:name w:val="newncpi"/>
    <w:basedOn w:val="Normal"/>
    <w:uiPriority w:val="99"/>
    <w:rsid w:val="00172CB9"/>
    <w:pPr>
      <w:spacing w:before="100" w:beforeAutospacing="1" w:after="100" w:afterAutospacing="1" w:line="240" w:lineRule="auto"/>
      <w:jc w:val="left"/>
    </w:pPr>
    <w:rPr>
      <w:rFonts w:ascii="Times New Roman" w:hAnsi="Times New Roman"/>
      <w:sz w:val="24"/>
      <w:szCs w:val="24"/>
      <w:lang w:val="ru-RU" w:eastAsia="ru-RU"/>
    </w:rPr>
  </w:style>
  <w:style w:type="paragraph" w:customStyle="1" w:styleId="svarticlesection">
    <w:name w:val="svarticle section"/>
    <w:basedOn w:val="Normal"/>
    <w:uiPriority w:val="99"/>
    <w:rsid w:val="006C1F74"/>
    <w:pPr>
      <w:spacing w:before="100" w:beforeAutospacing="1" w:after="100" w:afterAutospacing="1" w:line="240" w:lineRule="auto"/>
      <w:jc w:val="left"/>
    </w:pPr>
    <w:rPr>
      <w:rFonts w:ascii="Times New Roman" w:hAnsi="Times New Roman"/>
      <w:sz w:val="24"/>
      <w:szCs w:val="24"/>
      <w:lang w:val="ru-RU" w:eastAsia="ru-RU"/>
    </w:rPr>
  </w:style>
  <w:style w:type="paragraph" w:styleId="TOCHeading">
    <w:name w:val="TOC Heading"/>
    <w:basedOn w:val="Heading1"/>
    <w:next w:val="Normal"/>
    <w:uiPriority w:val="99"/>
    <w:qFormat/>
    <w:rsid w:val="002145E5"/>
    <w:pPr>
      <w:jc w:val="left"/>
      <w:outlineLvl w:val="9"/>
    </w:pPr>
  </w:style>
  <w:style w:type="paragraph" w:styleId="TOC1">
    <w:name w:val="toc 1"/>
    <w:basedOn w:val="Normal"/>
    <w:next w:val="Normal"/>
    <w:autoRedefine/>
    <w:uiPriority w:val="39"/>
    <w:locked/>
    <w:rsid w:val="002145E5"/>
    <w:pPr>
      <w:spacing w:after="100"/>
    </w:pPr>
  </w:style>
  <w:style w:type="paragraph" w:styleId="TOC2">
    <w:name w:val="toc 2"/>
    <w:basedOn w:val="Normal"/>
    <w:next w:val="Normal"/>
    <w:autoRedefine/>
    <w:uiPriority w:val="39"/>
    <w:locked/>
    <w:rsid w:val="002145E5"/>
    <w:pPr>
      <w:spacing w:after="100"/>
      <w:ind w:left="220"/>
    </w:pPr>
  </w:style>
  <w:style w:type="paragraph" w:styleId="TOC3">
    <w:name w:val="toc 3"/>
    <w:basedOn w:val="Normal"/>
    <w:next w:val="Normal"/>
    <w:autoRedefine/>
    <w:uiPriority w:val="39"/>
    <w:locked/>
    <w:rsid w:val="002145E5"/>
    <w:pPr>
      <w:spacing w:after="100"/>
      <w:ind w:left="440"/>
    </w:pPr>
  </w:style>
  <w:style w:type="paragraph" w:styleId="EndnoteText">
    <w:name w:val="endnote text"/>
    <w:basedOn w:val="Normal"/>
    <w:link w:val="EndnoteTextChar"/>
    <w:uiPriority w:val="99"/>
    <w:semiHidden/>
    <w:rsid w:val="00990E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90E89"/>
    <w:rPr>
      <w:rFonts w:cs="Times New Roman"/>
      <w:sz w:val="20"/>
      <w:szCs w:val="20"/>
      <w:lang w:val="en-US" w:eastAsia="en-US"/>
    </w:rPr>
  </w:style>
  <w:style w:type="character" w:styleId="EndnoteReference">
    <w:name w:val="endnote reference"/>
    <w:basedOn w:val="DefaultParagraphFont"/>
    <w:uiPriority w:val="99"/>
    <w:semiHidden/>
    <w:rsid w:val="00990E89"/>
    <w:rPr>
      <w:rFonts w:cs="Times New Roman"/>
      <w:vertAlign w:val="superscript"/>
    </w:rPr>
  </w:style>
  <w:style w:type="character" w:styleId="PlaceholderText">
    <w:name w:val="Placeholder Text"/>
    <w:basedOn w:val="DefaultParagraphFont"/>
    <w:uiPriority w:val="99"/>
    <w:semiHidden/>
    <w:rsid w:val="00036BDA"/>
    <w:rPr>
      <w:rFonts w:cs="Times New Roman"/>
      <w:color w:val="808080"/>
    </w:rPr>
  </w:style>
  <w:style w:type="paragraph" w:styleId="BodyText">
    <w:name w:val="Body Text"/>
    <w:basedOn w:val="Normal"/>
    <w:link w:val="BodyTextChar"/>
    <w:uiPriority w:val="99"/>
    <w:rsid w:val="00D0204E"/>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D0204E"/>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7E75"/>
    <w:pPr>
      <w:spacing w:after="200" w:line="276" w:lineRule="auto"/>
      <w:jc w:val="both"/>
    </w:pPr>
    <w:rPr>
      <w:lang w:val="en-US" w:eastAsia="en-US"/>
    </w:rPr>
  </w:style>
  <w:style w:type="paragraph" w:styleId="Heading1">
    <w:name w:val="heading 1"/>
    <w:basedOn w:val="Normal"/>
    <w:next w:val="Normal"/>
    <w:link w:val="Heading1Char"/>
    <w:uiPriority w:val="99"/>
    <w:qFormat/>
    <w:rsid w:val="00E477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A15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A159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7204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7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A159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A159D"/>
    <w:rPr>
      <w:rFonts w:ascii="Cambria" w:hAnsi="Cambria" w:cs="Times New Roman"/>
      <w:b/>
      <w:bCs/>
      <w:color w:val="4F81BD"/>
    </w:rPr>
  </w:style>
  <w:style w:type="character" w:customStyle="1" w:styleId="Heading4Char">
    <w:name w:val="Heading 4 Char"/>
    <w:basedOn w:val="DefaultParagraphFont"/>
    <w:link w:val="Heading4"/>
    <w:uiPriority w:val="99"/>
    <w:locked/>
    <w:rsid w:val="0047204B"/>
    <w:rPr>
      <w:rFonts w:ascii="Cambria" w:hAnsi="Cambria" w:cs="Times New Roman"/>
      <w:b/>
      <w:bCs/>
      <w:i/>
      <w:iCs/>
      <w:color w:val="4F81BD"/>
    </w:rPr>
  </w:style>
  <w:style w:type="paragraph" w:styleId="BalloonText">
    <w:name w:val="Balloon Text"/>
    <w:basedOn w:val="Normal"/>
    <w:link w:val="BalloonTextChar"/>
    <w:uiPriority w:val="99"/>
    <w:semiHidden/>
    <w:rsid w:val="003F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1CC"/>
    <w:rPr>
      <w:rFonts w:ascii="Tahoma" w:hAnsi="Tahoma" w:cs="Tahoma"/>
      <w:sz w:val="16"/>
      <w:szCs w:val="16"/>
    </w:rPr>
  </w:style>
  <w:style w:type="paragraph" w:customStyle="1" w:styleId="StyleJ1">
    <w:name w:val="Style J1"/>
    <w:basedOn w:val="Heading1"/>
    <w:link w:val="StyleJ1Char"/>
    <w:uiPriority w:val="99"/>
    <w:rsid w:val="00E477E8"/>
    <w:pPr>
      <w:numPr>
        <w:numId w:val="1"/>
      </w:numPr>
    </w:pPr>
    <w:rPr>
      <w:rFonts w:ascii="Arial" w:hAnsi="Arial" w:cs="Arial"/>
      <w:color w:val="000000"/>
      <w:sz w:val="24"/>
    </w:rPr>
  </w:style>
  <w:style w:type="character" w:customStyle="1" w:styleId="StyleJ1Char">
    <w:name w:val="Style J1 Char"/>
    <w:basedOn w:val="Heading1Char"/>
    <w:link w:val="StyleJ1"/>
    <w:uiPriority w:val="99"/>
    <w:locked/>
    <w:rsid w:val="00E477E8"/>
    <w:rPr>
      <w:rFonts w:ascii="Arial" w:hAnsi="Arial" w:cs="Arial"/>
      <w:b/>
      <w:bCs/>
      <w:color w:val="000000"/>
      <w:sz w:val="28"/>
      <w:szCs w:val="28"/>
    </w:rPr>
  </w:style>
  <w:style w:type="paragraph" w:styleId="ListParagraph">
    <w:name w:val="List Paragraph"/>
    <w:basedOn w:val="Normal"/>
    <w:uiPriority w:val="99"/>
    <w:qFormat/>
    <w:rsid w:val="005C3934"/>
    <w:pPr>
      <w:ind w:left="720"/>
      <w:contextualSpacing/>
    </w:pPr>
  </w:style>
  <w:style w:type="table" w:styleId="TableGrid">
    <w:name w:val="Table Grid"/>
    <w:basedOn w:val="TableNormal"/>
    <w:uiPriority w:val="99"/>
    <w:rsid w:val="003F31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8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B3842"/>
    <w:rPr>
      <w:rFonts w:cs="Times New Roman"/>
      <w:sz w:val="20"/>
      <w:szCs w:val="20"/>
    </w:rPr>
  </w:style>
  <w:style w:type="character" w:styleId="FootnoteReference">
    <w:name w:val="footnote reference"/>
    <w:basedOn w:val="DefaultParagraphFont"/>
    <w:uiPriority w:val="99"/>
    <w:semiHidden/>
    <w:rsid w:val="009B3842"/>
    <w:rPr>
      <w:rFonts w:cs="Times New Roman"/>
      <w:vertAlign w:val="superscript"/>
    </w:rPr>
  </w:style>
  <w:style w:type="character" w:styleId="CommentReference">
    <w:name w:val="annotation reference"/>
    <w:basedOn w:val="DefaultParagraphFont"/>
    <w:uiPriority w:val="99"/>
    <w:semiHidden/>
    <w:rsid w:val="00EF4838"/>
    <w:rPr>
      <w:rFonts w:cs="Times New Roman"/>
      <w:sz w:val="16"/>
      <w:szCs w:val="16"/>
    </w:rPr>
  </w:style>
  <w:style w:type="paragraph" w:styleId="CommentText">
    <w:name w:val="annotation text"/>
    <w:basedOn w:val="Normal"/>
    <w:link w:val="CommentTextChar"/>
    <w:uiPriority w:val="99"/>
    <w:semiHidden/>
    <w:rsid w:val="00EF48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4838"/>
    <w:rPr>
      <w:rFonts w:cs="Times New Roman"/>
      <w:sz w:val="20"/>
      <w:szCs w:val="20"/>
    </w:rPr>
  </w:style>
  <w:style w:type="paragraph" w:styleId="CommentSubject">
    <w:name w:val="annotation subject"/>
    <w:basedOn w:val="CommentText"/>
    <w:next w:val="CommentText"/>
    <w:link w:val="CommentSubjectChar"/>
    <w:uiPriority w:val="99"/>
    <w:semiHidden/>
    <w:rsid w:val="00EF4838"/>
    <w:rPr>
      <w:b/>
      <w:bCs/>
    </w:rPr>
  </w:style>
  <w:style w:type="character" w:customStyle="1" w:styleId="CommentSubjectChar">
    <w:name w:val="Comment Subject Char"/>
    <w:basedOn w:val="CommentTextChar"/>
    <w:link w:val="CommentSubject"/>
    <w:uiPriority w:val="99"/>
    <w:semiHidden/>
    <w:locked/>
    <w:rsid w:val="00EF4838"/>
    <w:rPr>
      <w:rFonts w:cs="Times New Roman"/>
      <w:b/>
      <w:bCs/>
      <w:sz w:val="20"/>
      <w:szCs w:val="20"/>
    </w:rPr>
  </w:style>
  <w:style w:type="table" w:customStyle="1" w:styleId="CGA">
    <w:name w:val="CGA"/>
    <w:uiPriority w:val="99"/>
    <w:rsid w:val="00C35765"/>
    <w:rPr>
      <w:sz w:val="20"/>
      <w:szCs w:val="20"/>
    </w:rPr>
    <w:tblPr>
      <w:tblInd w:w="0" w:type="dxa"/>
      <w:tblBorders>
        <w:top w:val="single" w:sz="8" w:space="0" w:color="4F81BD"/>
      </w:tblBorders>
      <w:tblCellMar>
        <w:top w:w="0" w:type="dxa"/>
        <w:left w:w="108" w:type="dxa"/>
        <w:bottom w:w="0" w:type="dxa"/>
        <w:right w:w="108" w:type="dxa"/>
      </w:tblCellMar>
    </w:tblPr>
  </w:style>
  <w:style w:type="character" w:styleId="Hyperlink">
    <w:name w:val="Hyperlink"/>
    <w:basedOn w:val="DefaultParagraphFont"/>
    <w:uiPriority w:val="99"/>
    <w:rsid w:val="000F440E"/>
    <w:rPr>
      <w:rFonts w:cs="Times New Roman"/>
      <w:color w:val="0000FF"/>
      <w:u w:val="single"/>
    </w:rPr>
  </w:style>
  <w:style w:type="paragraph" w:styleId="Header">
    <w:name w:val="header"/>
    <w:basedOn w:val="Normal"/>
    <w:link w:val="HeaderChar"/>
    <w:uiPriority w:val="99"/>
    <w:rsid w:val="00E155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5518"/>
    <w:rPr>
      <w:rFonts w:cs="Times New Roman"/>
    </w:rPr>
  </w:style>
  <w:style w:type="paragraph" w:styleId="Footer">
    <w:name w:val="footer"/>
    <w:basedOn w:val="Normal"/>
    <w:link w:val="FooterChar"/>
    <w:uiPriority w:val="99"/>
    <w:rsid w:val="00E155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518"/>
    <w:rPr>
      <w:rFonts w:cs="Times New Roman"/>
    </w:rPr>
  </w:style>
  <w:style w:type="table" w:customStyle="1" w:styleId="Style1">
    <w:name w:val="Style1"/>
    <w:uiPriority w:val="99"/>
    <w:rsid w:val="00AC387E"/>
    <w:rPr>
      <w:sz w:val="20"/>
      <w:szCs w:val="20"/>
    </w:rPr>
    <w:tblPr>
      <w:tblStyleRowBandSize w:val="1"/>
      <w:tblInd w:w="0" w:type="dxa"/>
      <w:tblBorders>
        <w:bottom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55032"/>
    <w:rPr>
      <w:rFonts w:eastAsia="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semiHidden/>
    <w:rsid w:val="00EF6B88"/>
    <w:rPr>
      <w:rFonts w:cs="Times New Roman"/>
    </w:rPr>
  </w:style>
  <w:style w:type="paragraph" w:styleId="NoSpacing">
    <w:name w:val="No Spacing"/>
    <w:link w:val="NoSpacingChar"/>
    <w:uiPriority w:val="99"/>
    <w:qFormat/>
    <w:rsid w:val="00EF6B88"/>
    <w:rPr>
      <w:rFonts w:ascii="PMingLiU" w:eastAsia="PMingLiU" w:hAnsi="Times New Roman"/>
      <w:lang w:val="en-US" w:eastAsia="en-US"/>
    </w:rPr>
  </w:style>
  <w:style w:type="character" w:customStyle="1" w:styleId="NoSpacingChar">
    <w:name w:val="No Spacing Char"/>
    <w:basedOn w:val="DefaultParagraphFont"/>
    <w:link w:val="NoSpacing"/>
    <w:uiPriority w:val="99"/>
    <w:locked/>
    <w:rsid w:val="00EF6B88"/>
    <w:rPr>
      <w:rFonts w:ascii="PMingLiU" w:eastAsia="PMingLiU" w:hAnsi="Times New Roman" w:cs="Times New Roman"/>
      <w:sz w:val="22"/>
      <w:szCs w:val="22"/>
      <w:lang w:val="en-US" w:eastAsia="en-US" w:bidi="ar-SA"/>
    </w:rPr>
  </w:style>
  <w:style w:type="character" w:customStyle="1" w:styleId="apple-converted-space">
    <w:name w:val="apple-converted-space"/>
    <w:basedOn w:val="DefaultParagraphFont"/>
    <w:uiPriority w:val="99"/>
    <w:rsid w:val="001E5A44"/>
    <w:rPr>
      <w:rFonts w:cs="Times New Roman"/>
    </w:rPr>
  </w:style>
  <w:style w:type="paragraph" w:customStyle="1" w:styleId="Default">
    <w:name w:val="Default"/>
    <w:uiPriority w:val="99"/>
    <w:rsid w:val="009756CD"/>
    <w:pPr>
      <w:autoSpaceDE w:val="0"/>
      <w:autoSpaceDN w:val="0"/>
      <w:adjustRightInd w:val="0"/>
    </w:pPr>
    <w:rPr>
      <w:rFonts w:ascii="Times New Roman" w:hAnsi="Times New Roman"/>
      <w:color w:val="000000"/>
      <w:sz w:val="24"/>
      <w:szCs w:val="24"/>
    </w:rPr>
  </w:style>
  <w:style w:type="paragraph" w:customStyle="1" w:styleId="newncpi">
    <w:name w:val="newncpi"/>
    <w:basedOn w:val="Normal"/>
    <w:uiPriority w:val="99"/>
    <w:rsid w:val="00172CB9"/>
    <w:pPr>
      <w:spacing w:before="100" w:beforeAutospacing="1" w:after="100" w:afterAutospacing="1" w:line="240" w:lineRule="auto"/>
      <w:jc w:val="left"/>
    </w:pPr>
    <w:rPr>
      <w:rFonts w:ascii="Times New Roman" w:hAnsi="Times New Roman"/>
      <w:sz w:val="24"/>
      <w:szCs w:val="24"/>
      <w:lang w:val="ru-RU" w:eastAsia="ru-RU"/>
    </w:rPr>
  </w:style>
  <w:style w:type="paragraph" w:customStyle="1" w:styleId="svarticlesection">
    <w:name w:val="svarticle section"/>
    <w:basedOn w:val="Normal"/>
    <w:uiPriority w:val="99"/>
    <w:rsid w:val="006C1F74"/>
    <w:pPr>
      <w:spacing w:before="100" w:beforeAutospacing="1" w:after="100" w:afterAutospacing="1" w:line="240" w:lineRule="auto"/>
      <w:jc w:val="left"/>
    </w:pPr>
    <w:rPr>
      <w:rFonts w:ascii="Times New Roman" w:hAnsi="Times New Roman"/>
      <w:sz w:val="24"/>
      <w:szCs w:val="24"/>
      <w:lang w:val="ru-RU" w:eastAsia="ru-RU"/>
    </w:rPr>
  </w:style>
  <w:style w:type="paragraph" w:styleId="TOCHeading">
    <w:name w:val="TOC Heading"/>
    <w:basedOn w:val="Heading1"/>
    <w:next w:val="Normal"/>
    <w:uiPriority w:val="99"/>
    <w:qFormat/>
    <w:rsid w:val="002145E5"/>
    <w:pPr>
      <w:jc w:val="left"/>
      <w:outlineLvl w:val="9"/>
    </w:pPr>
  </w:style>
  <w:style w:type="paragraph" w:styleId="TOC1">
    <w:name w:val="toc 1"/>
    <w:basedOn w:val="Normal"/>
    <w:next w:val="Normal"/>
    <w:autoRedefine/>
    <w:uiPriority w:val="39"/>
    <w:locked/>
    <w:rsid w:val="002145E5"/>
    <w:pPr>
      <w:spacing w:after="100"/>
    </w:pPr>
  </w:style>
  <w:style w:type="paragraph" w:styleId="TOC2">
    <w:name w:val="toc 2"/>
    <w:basedOn w:val="Normal"/>
    <w:next w:val="Normal"/>
    <w:autoRedefine/>
    <w:uiPriority w:val="39"/>
    <w:locked/>
    <w:rsid w:val="002145E5"/>
    <w:pPr>
      <w:spacing w:after="100"/>
      <w:ind w:left="220"/>
    </w:pPr>
  </w:style>
  <w:style w:type="paragraph" w:styleId="TOC3">
    <w:name w:val="toc 3"/>
    <w:basedOn w:val="Normal"/>
    <w:next w:val="Normal"/>
    <w:autoRedefine/>
    <w:uiPriority w:val="39"/>
    <w:locked/>
    <w:rsid w:val="002145E5"/>
    <w:pPr>
      <w:spacing w:after="100"/>
      <w:ind w:left="440"/>
    </w:pPr>
  </w:style>
  <w:style w:type="paragraph" w:styleId="EndnoteText">
    <w:name w:val="endnote text"/>
    <w:basedOn w:val="Normal"/>
    <w:link w:val="EndnoteTextChar"/>
    <w:uiPriority w:val="99"/>
    <w:semiHidden/>
    <w:rsid w:val="00990E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90E89"/>
    <w:rPr>
      <w:rFonts w:cs="Times New Roman"/>
      <w:sz w:val="20"/>
      <w:szCs w:val="20"/>
      <w:lang w:val="en-US" w:eastAsia="en-US"/>
    </w:rPr>
  </w:style>
  <w:style w:type="character" w:styleId="EndnoteReference">
    <w:name w:val="endnote reference"/>
    <w:basedOn w:val="DefaultParagraphFont"/>
    <w:uiPriority w:val="99"/>
    <w:semiHidden/>
    <w:rsid w:val="00990E89"/>
    <w:rPr>
      <w:rFonts w:cs="Times New Roman"/>
      <w:vertAlign w:val="superscript"/>
    </w:rPr>
  </w:style>
  <w:style w:type="character" w:styleId="PlaceholderText">
    <w:name w:val="Placeholder Text"/>
    <w:basedOn w:val="DefaultParagraphFont"/>
    <w:uiPriority w:val="99"/>
    <w:semiHidden/>
    <w:rsid w:val="00036BDA"/>
    <w:rPr>
      <w:rFonts w:cs="Times New Roman"/>
      <w:color w:val="808080"/>
    </w:rPr>
  </w:style>
  <w:style w:type="paragraph" w:styleId="BodyText">
    <w:name w:val="Body Text"/>
    <w:basedOn w:val="Normal"/>
    <w:link w:val="BodyTextChar"/>
    <w:uiPriority w:val="99"/>
    <w:rsid w:val="00D0204E"/>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D0204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3133">
      <w:bodyDiv w:val="1"/>
      <w:marLeft w:val="0"/>
      <w:marRight w:val="0"/>
      <w:marTop w:val="0"/>
      <w:marBottom w:val="0"/>
      <w:divBdr>
        <w:top w:val="none" w:sz="0" w:space="0" w:color="auto"/>
        <w:left w:val="none" w:sz="0" w:space="0" w:color="auto"/>
        <w:bottom w:val="none" w:sz="0" w:space="0" w:color="auto"/>
        <w:right w:val="none" w:sz="0" w:space="0" w:color="auto"/>
      </w:divBdr>
    </w:div>
    <w:div w:id="1780291551">
      <w:marLeft w:val="0"/>
      <w:marRight w:val="0"/>
      <w:marTop w:val="0"/>
      <w:marBottom w:val="0"/>
      <w:divBdr>
        <w:top w:val="none" w:sz="0" w:space="0" w:color="auto"/>
        <w:left w:val="none" w:sz="0" w:space="0" w:color="auto"/>
        <w:bottom w:val="none" w:sz="0" w:space="0" w:color="auto"/>
        <w:right w:val="none" w:sz="0" w:space="0" w:color="auto"/>
      </w:divBdr>
    </w:div>
    <w:div w:id="1780291552">
      <w:marLeft w:val="0"/>
      <w:marRight w:val="0"/>
      <w:marTop w:val="0"/>
      <w:marBottom w:val="0"/>
      <w:divBdr>
        <w:top w:val="none" w:sz="0" w:space="0" w:color="auto"/>
        <w:left w:val="none" w:sz="0" w:space="0" w:color="auto"/>
        <w:bottom w:val="none" w:sz="0" w:space="0" w:color="auto"/>
        <w:right w:val="none" w:sz="0" w:space="0" w:color="auto"/>
      </w:divBdr>
    </w:div>
    <w:div w:id="1780291553">
      <w:marLeft w:val="0"/>
      <w:marRight w:val="0"/>
      <w:marTop w:val="0"/>
      <w:marBottom w:val="0"/>
      <w:divBdr>
        <w:top w:val="none" w:sz="0" w:space="0" w:color="auto"/>
        <w:left w:val="none" w:sz="0" w:space="0" w:color="auto"/>
        <w:bottom w:val="none" w:sz="0" w:space="0" w:color="auto"/>
        <w:right w:val="none" w:sz="0" w:space="0" w:color="auto"/>
      </w:divBdr>
    </w:div>
    <w:div w:id="1780291554">
      <w:marLeft w:val="0"/>
      <w:marRight w:val="0"/>
      <w:marTop w:val="0"/>
      <w:marBottom w:val="0"/>
      <w:divBdr>
        <w:top w:val="none" w:sz="0" w:space="0" w:color="auto"/>
        <w:left w:val="none" w:sz="0" w:space="0" w:color="auto"/>
        <w:bottom w:val="none" w:sz="0" w:space="0" w:color="auto"/>
        <w:right w:val="none" w:sz="0" w:space="0" w:color="auto"/>
      </w:divBdr>
    </w:div>
    <w:div w:id="1780291555">
      <w:marLeft w:val="0"/>
      <w:marRight w:val="0"/>
      <w:marTop w:val="0"/>
      <w:marBottom w:val="0"/>
      <w:divBdr>
        <w:top w:val="none" w:sz="0" w:space="0" w:color="auto"/>
        <w:left w:val="none" w:sz="0" w:space="0" w:color="auto"/>
        <w:bottom w:val="none" w:sz="0" w:space="0" w:color="auto"/>
        <w:right w:val="none" w:sz="0" w:space="0" w:color="auto"/>
      </w:divBdr>
    </w:div>
    <w:div w:id="1780291556">
      <w:marLeft w:val="0"/>
      <w:marRight w:val="0"/>
      <w:marTop w:val="0"/>
      <w:marBottom w:val="0"/>
      <w:divBdr>
        <w:top w:val="none" w:sz="0" w:space="0" w:color="auto"/>
        <w:left w:val="none" w:sz="0" w:space="0" w:color="auto"/>
        <w:bottom w:val="none" w:sz="0" w:space="0" w:color="auto"/>
        <w:right w:val="none" w:sz="0" w:space="0" w:color="auto"/>
      </w:divBdr>
    </w:div>
    <w:div w:id="1780291557">
      <w:marLeft w:val="0"/>
      <w:marRight w:val="0"/>
      <w:marTop w:val="0"/>
      <w:marBottom w:val="0"/>
      <w:divBdr>
        <w:top w:val="none" w:sz="0" w:space="0" w:color="auto"/>
        <w:left w:val="none" w:sz="0" w:space="0" w:color="auto"/>
        <w:bottom w:val="none" w:sz="0" w:space="0" w:color="auto"/>
        <w:right w:val="none" w:sz="0" w:space="0" w:color="auto"/>
      </w:divBdr>
    </w:div>
    <w:div w:id="1780291558">
      <w:marLeft w:val="0"/>
      <w:marRight w:val="0"/>
      <w:marTop w:val="0"/>
      <w:marBottom w:val="0"/>
      <w:divBdr>
        <w:top w:val="none" w:sz="0" w:space="0" w:color="auto"/>
        <w:left w:val="none" w:sz="0" w:space="0" w:color="auto"/>
        <w:bottom w:val="none" w:sz="0" w:space="0" w:color="auto"/>
        <w:right w:val="none" w:sz="0" w:space="0" w:color="auto"/>
      </w:divBdr>
    </w:div>
    <w:div w:id="1780291559">
      <w:marLeft w:val="0"/>
      <w:marRight w:val="0"/>
      <w:marTop w:val="0"/>
      <w:marBottom w:val="0"/>
      <w:divBdr>
        <w:top w:val="none" w:sz="0" w:space="0" w:color="auto"/>
        <w:left w:val="none" w:sz="0" w:space="0" w:color="auto"/>
        <w:bottom w:val="none" w:sz="0" w:space="0" w:color="auto"/>
        <w:right w:val="none" w:sz="0" w:space="0" w:color="auto"/>
      </w:divBdr>
    </w:div>
    <w:div w:id="1780291560">
      <w:marLeft w:val="0"/>
      <w:marRight w:val="0"/>
      <w:marTop w:val="0"/>
      <w:marBottom w:val="0"/>
      <w:divBdr>
        <w:top w:val="none" w:sz="0" w:space="0" w:color="auto"/>
        <w:left w:val="none" w:sz="0" w:space="0" w:color="auto"/>
        <w:bottom w:val="none" w:sz="0" w:space="0" w:color="auto"/>
        <w:right w:val="none" w:sz="0" w:space="0" w:color="auto"/>
      </w:divBdr>
    </w:div>
    <w:div w:id="1780291561">
      <w:marLeft w:val="0"/>
      <w:marRight w:val="0"/>
      <w:marTop w:val="0"/>
      <w:marBottom w:val="0"/>
      <w:divBdr>
        <w:top w:val="none" w:sz="0" w:space="0" w:color="auto"/>
        <w:left w:val="none" w:sz="0" w:space="0" w:color="auto"/>
        <w:bottom w:val="none" w:sz="0" w:space="0" w:color="auto"/>
        <w:right w:val="none" w:sz="0" w:space="0" w:color="auto"/>
      </w:divBdr>
    </w:div>
    <w:div w:id="1780291562">
      <w:marLeft w:val="0"/>
      <w:marRight w:val="0"/>
      <w:marTop w:val="0"/>
      <w:marBottom w:val="0"/>
      <w:divBdr>
        <w:top w:val="none" w:sz="0" w:space="0" w:color="auto"/>
        <w:left w:val="none" w:sz="0" w:space="0" w:color="auto"/>
        <w:bottom w:val="none" w:sz="0" w:space="0" w:color="auto"/>
        <w:right w:val="none" w:sz="0" w:space="0" w:color="auto"/>
      </w:divBdr>
    </w:div>
    <w:div w:id="1780291563">
      <w:marLeft w:val="0"/>
      <w:marRight w:val="0"/>
      <w:marTop w:val="0"/>
      <w:marBottom w:val="0"/>
      <w:divBdr>
        <w:top w:val="none" w:sz="0" w:space="0" w:color="auto"/>
        <w:left w:val="none" w:sz="0" w:space="0" w:color="auto"/>
        <w:bottom w:val="none" w:sz="0" w:space="0" w:color="auto"/>
        <w:right w:val="none" w:sz="0" w:space="0" w:color="auto"/>
      </w:divBdr>
    </w:div>
    <w:div w:id="1780291564">
      <w:marLeft w:val="0"/>
      <w:marRight w:val="0"/>
      <w:marTop w:val="0"/>
      <w:marBottom w:val="0"/>
      <w:divBdr>
        <w:top w:val="none" w:sz="0" w:space="0" w:color="auto"/>
        <w:left w:val="none" w:sz="0" w:space="0" w:color="auto"/>
        <w:bottom w:val="none" w:sz="0" w:space="0" w:color="auto"/>
        <w:right w:val="none" w:sz="0" w:space="0" w:color="auto"/>
      </w:divBdr>
    </w:div>
    <w:div w:id="1780291565">
      <w:marLeft w:val="0"/>
      <w:marRight w:val="0"/>
      <w:marTop w:val="0"/>
      <w:marBottom w:val="0"/>
      <w:divBdr>
        <w:top w:val="none" w:sz="0" w:space="0" w:color="auto"/>
        <w:left w:val="none" w:sz="0" w:space="0" w:color="auto"/>
        <w:bottom w:val="none" w:sz="0" w:space="0" w:color="auto"/>
        <w:right w:val="none" w:sz="0" w:space="0" w:color="auto"/>
      </w:divBdr>
    </w:div>
    <w:div w:id="1780291566">
      <w:marLeft w:val="0"/>
      <w:marRight w:val="0"/>
      <w:marTop w:val="0"/>
      <w:marBottom w:val="0"/>
      <w:divBdr>
        <w:top w:val="none" w:sz="0" w:space="0" w:color="auto"/>
        <w:left w:val="none" w:sz="0" w:space="0" w:color="auto"/>
        <w:bottom w:val="none" w:sz="0" w:space="0" w:color="auto"/>
        <w:right w:val="none" w:sz="0" w:space="0" w:color="auto"/>
      </w:divBdr>
    </w:div>
    <w:div w:id="1780291567">
      <w:marLeft w:val="0"/>
      <w:marRight w:val="0"/>
      <w:marTop w:val="0"/>
      <w:marBottom w:val="0"/>
      <w:divBdr>
        <w:top w:val="none" w:sz="0" w:space="0" w:color="auto"/>
        <w:left w:val="none" w:sz="0" w:space="0" w:color="auto"/>
        <w:bottom w:val="none" w:sz="0" w:space="0" w:color="auto"/>
        <w:right w:val="none" w:sz="0" w:space="0" w:color="auto"/>
      </w:divBdr>
    </w:div>
    <w:div w:id="1780291568">
      <w:marLeft w:val="0"/>
      <w:marRight w:val="0"/>
      <w:marTop w:val="0"/>
      <w:marBottom w:val="0"/>
      <w:divBdr>
        <w:top w:val="none" w:sz="0" w:space="0" w:color="auto"/>
        <w:left w:val="none" w:sz="0" w:space="0" w:color="auto"/>
        <w:bottom w:val="none" w:sz="0" w:space="0" w:color="auto"/>
        <w:right w:val="none" w:sz="0" w:space="0" w:color="auto"/>
      </w:divBdr>
    </w:div>
    <w:div w:id="1780291569">
      <w:marLeft w:val="0"/>
      <w:marRight w:val="0"/>
      <w:marTop w:val="0"/>
      <w:marBottom w:val="0"/>
      <w:divBdr>
        <w:top w:val="none" w:sz="0" w:space="0" w:color="auto"/>
        <w:left w:val="none" w:sz="0" w:space="0" w:color="auto"/>
        <w:bottom w:val="none" w:sz="0" w:space="0" w:color="auto"/>
        <w:right w:val="none" w:sz="0" w:space="0" w:color="auto"/>
      </w:divBdr>
    </w:div>
    <w:div w:id="1780291570">
      <w:marLeft w:val="0"/>
      <w:marRight w:val="0"/>
      <w:marTop w:val="0"/>
      <w:marBottom w:val="0"/>
      <w:divBdr>
        <w:top w:val="none" w:sz="0" w:space="0" w:color="auto"/>
        <w:left w:val="none" w:sz="0" w:space="0" w:color="auto"/>
        <w:bottom w:val="none" w:sz="0" w:space="0" w:color="auto"/>
        <w:right w:val="none" w:sz="0" w:space="0" w:color="auto"/>
      </w:divBdr>
    </w:div>
    <w:div w:id="1780291571">
      <w:marLeft w:val="0"/>
      <w:marRight w:val="0"/>
      <w:marTop w:val="0"/>
      <w:marBottom w:val="0"/>
      <w:divBdr>
        <w:top w:val="none" w:sz="0" w:space="0" w:color="auto"/>
        <w:left w:val="none" w:sz="0" w:space="0" w:color="auto"/>
        <w:bottom w:val="none" w:sz="0" w:space="0" w:color="auto"/>
        <w:right w:val="none" w:sz="0" w:space="0" w:color="auto"/>
      </w:divBdr>
    </w:div>
    <w:div w:id="1780291572">
      <w:marLeft w:val="0"/>
      <w:marRight w:val="0"/>
      <w:marTop w:val="0"/>
      <w:marBottom w:val="0"/>
      <w:divBdr>
        <w:top w:val="none" w:sz="0" w:space="0" w:color="auto"/>
        <w:left w:val="none" w:sz="0" w:space="0" w:color="auto"/>
        <w:bottom w:val="none" w:sz="0" w:space="0" w:color="auto"/>
        <w:right w:val="none" w:sz="0" w:space="0" w:color="auto"/>
      </w:divBdr>
    </w:div>
    <w:div w:id="1780291573">
      <w:marLeft w:val="0"/>
      <w:marRight w:val="0"/>
      <w:marTop w:val="0"/>
      <w:marBottom w:val="0"/>
      <w:divBdr>
        <w:top w:val="none" w:sz="0" w:space="0" w:color="auto"/>
        <w:left w:val="none" w:sz="0" w:space="0" w:color="auto"/>
        <w:bottom w:val="none" w:sz="0" w:space="0" w:color="auto"/>
        <w:right w:val="none" w:sz="0" w:space="0" w:color="auto"/>
      </w:divBdr>
    </w:div>
    <w:div w:id="1780291574">
      <w:marLeft w:val="0"/>
      <w:marRight w:val="0"/>
      <w:marTop w:val="0"/>
      <w:marBottom w:val="0"/>
      <w:divBdr>
        <w:top w:val="none" w:sz="0" w:space="0" w:color="auto"/>
        <w:left w:val="none" w:sz="0" w:space="0" w:color="auto"/>
        <w:bottom w:val="none" w:sz="0" w:space="0" w:color="auto"/>
        <w:right w:val="none" w:sz="0" w:space="0" w:color="auto"/>
      </w:divBdr>
    </w:div>
    <w:div w:id="1780291575">
      <w:marLeft w:val="0"/>
      <w:marRight w:val="0"/>
      <w:marTop w:val="0"/>
      <w:marBottom w:val="0"/>
      <w:divBdr>
        <w:top w:val="none" w:sz="0" w:space="0" w:color="auto"/>
        <w:left w:val="none" w:sz="0" w:space="0" w:color="auto"/>
        <w:bottom w:val="none" w:sz="0" w:space="0" w:color="auto"/>
        <w:right w:val="none" w:sz="0" w:space="0" w:color="auto"/>
      </w:divBdr>
    </w:div>
    <w:div w:id="1780291576">
      <w:marLeft w:val="0"/>
      <w:marRight w:val="0"/>
      <w:marTop w:val="0"/>
      <w:marBottom w:val="0"/>
      <w:divBdr>
        <w:top w:val="none" w:sz="0" w:space="0" w:color="auto"/>
        <w:left w:val="none" w:sz="0" w:space="0" w:color="auto"/>
        <w:bottom w:val="none" w:sz="0" w:space="0" w:color="auto"/>
        <w:right w:val="none" w:sz="0" w:space="0" w:color="auto"/>
      </w:divBdr>
    </w:div>
    <w:div w:id="1780291577">
      <w:marLeft w:val="0"/>
      <w:marRight w:val="0"/>
      <w:marTop w:val="0"/>
      <w:marBottom w:val="0"/>
      <w:divBdr>
        <w:top w:val="none" w:sz="0" w:space="0" w:color="auto"/>
        <w:left w:val="none" w:sz="0" w:space="0" w:color="auto"/>
        <w:bottom w:val="none" w:sz="0" w:space="0" w:color="auto"/>
        <w:right w:val="none" w:sz="0" w:space="0" w:color="auto"/>
      </w:divBdr>
    </w:div>
    <w:div w:id="1780291578">
      <w:marLeft w:val="0"/>
      <w:marRight w:val="0"/>
      <w:marTop w:val="0"/>
      <w:marBottom w:val="0"/>
      <w:divBdr>
        <w:top w:val="none" w:sz="0" w:space="0" w:color="auto"/>
        <w:left w:val="none" w:sz="0" w:space="0" w:color="auto"/>
        <w:bottom w:val="none" w:sz="0" w:space="0" w:color="auto"/>
        <w:right w:val="none" w:sz="0" w:space="0" w:color="auto"/>
      </w:divBdr>
    </w:div>
    <w:div w:id="20416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3.xml"/><Relationship Id="rId26" Type="http://schemas.openxmlformats.org/officeDocument/2006/relationships/image" Target="media/image7.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chart" Target="charts/chart7.xml"/><Relationship Id="rId47" Type="http://schemas.openxmlformats.org/officeDocument/2006/relationships/hyperlink" Target="http://www.nber.org/public_html/confer/2007/si2007/LS/fortin.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chart" Target="charts/chart5.xml"/><Relationship Id="rId45"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oleObject" Target="embeddings/oleObject7.bin"/><Relationship Id="rId44"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chart" Target="charts/chart8.xml"/><Relationship Id="rId48" Type="http://schemas.openxmlformats.org/officeDocument/2006/relationships/hyperlink" Target="http://www.stat.kg"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culty.arts.ubc.ca/nfortin/datahead.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Aziz%20Atamanov_work\regional%20analysis%202011\regional%20disparities_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Aziz%20Atamanov_work\regional%20analysis%202011\regional%20disparities_201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ziz%20Atamanov_work\regional%20analysis%202011\regional%20disparities_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ziz%20Atamanov_work\regional%20analysis%202011\regional%20disparities_201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ziz%20Atamanov_work\regional%20analysis%202011\March%2028\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Aziz%20Atamanov_work\regional%20analysis%202011\March%2028\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8333181325306"/>
          <c:y val="5.8882072880425011E-2"/>
          <c:w val="0.73092775565216561"/>
          <c:h val="0.84183025086980734"/>
        </c:manualLayout>
      </c:layout>
      <c:barChart>
        <c:barDir val="col"/>
        <c:grouping val="clustered"/>
        <c:varyColors val="0"/>
        <c:ser>
          <c:idx val="0"/>
          <c:order val="0"/>
          <c:tx>
            <c:strRef>
              <c:f>descriptives!$Q$194</c:f>
              <c:strCache>
                <c:ptCount val="1"/>
                <c:pt idx="0">
                  <c:v>Capital</c:v>
                </c:pt>
              </c:strCache>
            </c:strRef>
          </c:tx>
          <c:invertIfNegative val="0"/>
          <c:cat>
            <c:numRef>
              <c:f>descriptives!$S$193:$T$193</c:f>
              <c:numCache>
                <c:formatCode>General</c:formatCode>
                <c:ptCount val="2"/>
                <c:pt idx="0">
                  <c:v>2004</c:v>
                </c:pt>
                <c:pt idx="1">
                  <c:v>2011</c:v>
                </c:pt>
              </c:numCache>
            </c:numRef>
          </c:cat>
          <c:val>
            <c:numRef>
              <c:f>descriptives!$S$194:$T$194</c:f>
              <c:numCache>
                <c:formatCode>0.0</c:formatCode>
                <c:ptCount val="2"/>
                <c:pt idx="0" formatCode="General">
                  <c:v>16</c:v>
                </c:pt>
                <c:pt idx="1">
                  <c:v>18.412273247655129</c:v>
                </c:pt>
              </c:numCache>
            </c:numRef>
          </c:val>
        </c:ser>
        <c:ser>
          <c:idx val="1"/>
          <c:order val="1"/>
          <c:tx>
            <c:strRef>
              <c:f>descriptives!$Q$195</c:f>
              <c:strCache>
                <c:ptCount val="1"/>
                <c:pt idx="0">
                  <c:v>Urban</c:v>
                </c:pt>
              </c:strCache>
            </c:strRef>
          </c:tx>
          <c:spPr>
            <a:solidFill>
              <a:srgbClr val="F79646">
                <a:lumMod val="60000"/>
                <a:lumOff val="40000"/>
              </a:srgbClr>
            </a:solidFill>
          </c:spPr>
          <c:invertIfNegative val="0"/>
          <c:cat>
            <c:numRef>
              <c:f>descriptives!$S$193:$T$193</c:f>
              <c:numCache>
                <c:formatCode>General</c:formatCode>
                <c:ptCount val="2"/>
                <c:pt idx="0">
                  <c:v>2004</c:v>
                </c:pt>
                <c:pt idx="1">
                  <c:v>2011</c:v>
                </c:pt>
              </c:numCache>
            </c:numRef>
          </c:cat>
          <c:val>
            <c:numRef>
              <c:f>descriptives!$S$195:$T$195</c:f>
              <c:numCache>
                <c:formatCode>0.0</c:formatCode>
                <c:ptCount val="2"/>
                <c:pt idx="0" formatCode="General">
                  <c:v>38</c:v>
                </c:pt>
                <c:pt idx="1">
                  <c:v>39.770126093607175</c:v>
                </c:pt>
              </c:numCache>
            </c:numRef>
          </c:val>
        </c:ser>
        <c:ser>
          <c:idx val="2"/>
          <c:order val="2"/>
          <c:tx>
            <c:strRef>
              <c:f>descriptives!$Q$196</c:f>
              <c:strCache>
                <c:ptCount val="1"/>
                <c:pt idx="0">
                  <c:v>Rural</c:v>
                </c:pt>
              </c:strCache>
            </c:strRef>
          </c:tx>
          <c:invertIfNegative val="0"/>
          <c:cat>
            <c:numRef>
              <c:f>descriptives!$S$193:$T$193</c:f>
              <c:numCache>
                <c:formatCode>General</c:formatCode>
                <c:ptCount val="2"/>
                <c:pt idx="0">
                  <c:v>2004</c:v>
                </c:pt>
                <c:pt idx="1">
                  <c:v>2011</c:v>
                </c:pt>
              </c:numCache>
            </c:numRef>
          </c:cat>
          <c:val>
            <c:numRef>
              <c:f>descriptives!$S$196:$T$196</c:f>
              <c:numCache>
                <c:formatCode>0.0</c:formatCode>
                <c:ptCount val="2"/>
                <c:pt idx="0" formatCode="General">
                  <c:v>46</c:v>
                </c:pt>
                <c:pt idx="1">
                  <c:v>40.411760127495974</c:v>
                </c:pt>
              </c:numCache>
            </c:numRef>
          </c:val>
        </c:ser>
        <c:dLbls>
          <c:showLegendKey val="0"/>
          <c:showVal val="0"/>
          <c:showCatName val="0"/>
          <c:showSerName val="0"/>
          <c:showPercent val="0"/>
          <c:showBubbleSize val="0"/>
        </c:dLbls>
        <c:gapWidth val="150"/>
        <c:axId val="156077440"/>
        <c:axId val="160474240"/>
      </c:barChart>
      <c:catAx>
        <c:axId val="156077440"/>
        <c:scaling>
          <c:orientation val="minMax"/>
        </c:scaling>
        <c:delete val="0"/>
        <c:axPos val="b"/>
        <c:numFmt formatCode="General" sourceLinked="1"/>
        <c:majorTickMark val="none"/>
        <c:minorTickMark val="none"/>
        <c:tickLblPos val="nextTo"/>
        <c:crossAx val="160474240"/>
        <c:crosses val="autoZero"/>
        <c:auto val="1"/>
        <c:lblAlgn val="ctr"/>
        <c:lblOffset val="100"/>
        <c:noMultiLvlLbl val="0"/>
      </c:catAx>
      <c:valAx>
        <c:axId val="160474240"/>
        <c:scaling>
          <c:orientation val="minMax"/>
        </c:scaling>
        <c:delete val="0"/>
        <c:axPos val="l"/>
        <c:majorGridlines/>
        <c:title>
          <c:tx>
            <c:rich>
              <a:bodyPr rot="-5400000" vert="horz"/>
              <a:lstStyle/>
              <a:p>
                <a:pPr>
                  <a:defRPr b="0"/>
                </a:pPr>
                <a:r>
                  <a:rPr lang="en-US" b="0"/>
                  <a:t>population</a:t>
                </a:r>
                <a:r>
                  <a:rPr lang="en-US" b="0" baseline="0"/>
                  <a:t> below poverty line, %</a:t>
                </a:r>
                <a:endParaRPr lang="en-US" b="0"/>
              </a:p>
            </c:rich>
          </c:tx>
          <c:layout>
            <c:manualLayout>
              <c:xMode val="edge"/>
              <c:yMode val="edge"/>
              <c:x val="1.5042106223208658E-2"/>
              <c:y val="0.19359549533052664"/>
            </c:manualLayout>
          </c:layout>
          <c:overlay val="0"/>
        </c:title>
        <c:numFmt formatCode="General" sourceLinked="1"/>
        <c:majorTickMark val="none"/>
        <c:minorTickMark val="none"/>
        <c:tickLblPos val="nextTo"/>
        <c:crossAx val="156077440"/>
        <c:crosses val="autoZero"/>
        <c:crossBetween val="between"/>
      </c:valAx>
    </c:plotArea>
    <c:legend>
      <c:legendPos val="r"/>
      <c:layout>
        <c:manualLayout>
          <c:xMode val="edge"/>
          <c:yMode val="edge"/>
          <c:x val="0.84655316734056896"/>
          <c:y val="0.37910425441005918"/>
          <c:w val="0.14165040180788221"/>
          <c:h val="0.33011811023622206"/>
        </c:manualLayout>
      </c:layout>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86366014360338"/>
          <c:y val="4.9586776859504307E-2"/>
          <c:w val="0.7453427451456125"/>
          <c:h val="0.83884297520661155"/>
        </c:manualLayout>
      </c:layout>
      <c:barChart>
        <c:barDir val="col"/>
        <c:grouping val="stacked"/>
        <c:varyColors val="0"/>
        <c:ser>
          <c:idx val="0"/>
          <c:order val="0"/>
          <c:tx>
            <c:strRef>
              <c:f>'across distribution'!$C$28</c:f>
              <c:strCache>
                <c:ptCount val="1"/>
                <c:pt idx="0">
                  <c:v>Explained</c:v>
                </c:pt>
              </c:strCache>
            </c:strRef>
          </c:tx>
          <c:invertIfNegative val="0"/>
          <c:cat>
            <c:numRef>
              <c:f>'across distribution'!$D$27:$L$27</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'across distribution'!$D$28:$L$28</c:f>
              <c:numCache>
                <c:formatCode>General</c:formatCode>
                <c:ptCount val="9"/>
                <c:pt idx="0">
                  <c:v>6.4699999999999994E-2</c:v>
                </c:pt>
                <c:pt idx="1">
                  <c:v>8.5900000000000004E-2</c:v>
                </c:pt>
                <c:pt idx="2">
                  <c:v>0.10500000000000002</c:v>
                </c:pt>
                <c:pt idx="3">
                  <c:v>0.1230000000000001</c:v>
                </c:pt>
                <c:pt idx="4">
                  <c:v>0.112</c:v>
                </c:pt>
                <c:pt idx="5">
                  <c:v>0.11700000000000002</c:v>
                </c:pt>
                <c:pt idx="6">
                  <c:v>0.13700000000000001</c:v>
                </c:pt>
                <c:pt idx="7">
                  <c:v>0.13400000000000001</c:v>
                </c:pt>
                <c:pt idx="8">
                  <c:v>0.24000000000000019</c:v>
                </c:pt>
              </c:numCache>
            </c:numRef>
          </c:val>
        </c:ser>
        <c:ser>
          <c:idx val="1"/>
          <c:order val="1"/>
          <c:tx>
            <c:strRef>
              <c:f>'across distribution'!$C$29</c:f>
              <c:strCache>
                <c:ptCount val="1"/>
                <c:pt idx="0">
                  <c:v>Not explained</c:v>
                </c:pt>
              </c:strCache>
            </c:strRef>
          </c:tx>
          <c:spPr>
            <a:solidFill>
              <a:srgbClr val="F79646">
                <a:lumMod val="60000"/>
                <a:lumOff val="40000"/>
              </a:srgbClr>
            </a:solidFill>
          </c:spPr>
          <c:invertIfNegative val="0"/>
          <c:cat>
            <c:numRef>
              <c:f>'across distribution'!$D$27:$L$27</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'across distribution'!$D$29:$L$29</c:f>
              <c:numCache>
                <c:formatCode>General</c:formatCode>
                <c:ptCount val="9"/>
                <c:pt idx="0">
                  <c:v>0.192</c:v>
                </c:pt>
                <c:pt idx="1">
                  <c:v>0.20200000000000001</c:v>
                </c:pt>
                <c:pt idx="2">
                  <c:v>0.15000000000000019</c:v>
                </c:pt>
                <c:pt idx="3">
                  <c:v>0.14500000000000018</c:v>
                </c:pt>
                <c:pt idx="4">
                  <c:v>0.14100000000000001</c:v>
                </c:pt>
                <c:pt idx="5">
                  <c:v>8.8100000000000067E-2</c:v>
                </c:pt>
                <c:pt idx="6">
                  <c:v>5.4600000000000003E-2</c:v>
                </c:pt>
                <c:pt idx="7">
                  <c:v>5.3100000000000001E-2</c:v>
                </c:pt>
                <c:pt idx="8">
                  <c:v>-0.13600000000000001</c:v>
                </c:pt>
              </c:numCache>
            </c:numRef>
          </c:val>
        </c:ser>
        <c:dLbls>
          <c:showLegendKey val="0"/>
          <c:showVal val="0"/>
          <c:showCatName val="0"/>
          <c:showSerName val="0"/>
          <c:showPercent val="0"/>
          <c:showBubbleSize val="0"/>
        </c:dLbls>
        <c:gapWidth val="150"/>
        <c:overlap val="100"/>
        <c:axId val="171173760"/>
        <c:axId val="172097536"/>
      </c:barChart>
      <c:catAx>
        <c:axId val="171173760"/>
        <c:scaling>
          <c:orientation val="minMax"/>
        </c:scaling>
        <c:delete val="0"/>
        <c:axPos val="b"/>
        <c:title>
          <c:tx>
            <c:rich>
              <a:bodyPr/>
              <a:lstStyle/>
              <a:p>
                <a:pPr>
                  <a:defRPr/>
                </a:pPr>
                <a:r>
                  <a:rPr lang="en-US"/>
                  <a:t>deciles</a:t>
                </a:r>
              </a:p>
            </c:rich>
          </c:tx>
          <c:layout>
            <c:manualLayout>
              <c:xMode val="edge"/>
              <c:yMode val="edge"/>
              <c:x val="0.49764073883288035"/>
              <c:y val="0.91156271441173453"/>
            </c:manualLayout>
          </c:layout>
          <c:overlay val="0"/>
          <c:spPr>
            <a:noFill/>
            <a:ln w="25400">
              <a:noFill/>
            </a:ln>
          </c:spPr>
        </c:title>
        <c:numFmt formatCode="General" sourceLinked="1"/>
        <c:majorTickMark val="out"/>
        <c:minorTickMark val="none"/>
        <c:tickLblPos val="nextTo"/>
        <c:crossAx val="172097536"/>
        <c:crosses val="autoZero"/>
        <c:auto val="1"/>
        <c:lblAlgn val="ctr"/>
        <c:lblOffset val="100"/>
        <c:noMultiLvlLbl val="0"/>
      </c:catAx>
      <c:valAx>
        <c:axId val="172097536"/>
        <c:scaling>
          <c:orientation val="minMax"/>
        </c:scaling>
        <c:delete val="0"/>
        <c:axPos val="l"/>
        <c:majorGridlines/>
        <c:title>
          <c:tx>
            <c:rich>
              <a:bodyPr rot="-5400000" vert="horz"/>
              <a:lstStyle/>
              <a:p>
                <a:pPr>
                  <a:defRPr/>
                </a:pPr>
                <a:r>
                  <a:rPr lang="en-US" sz="1200" b="1" i="0" baseline="0"/>
                  <a:t>log  welfare ratio</a:t>
                </a:r>
              </a:p>
            </c:rich>
          </c:tx>
          <c:overlay val="0"/>
          <c:spPr>
            <a:noFill/>
            <a:ln w="25400">
              <a:noFill/>
            </a:ln>
          </c:spPr>
        </c:title>
        <c:numFmt formatCode="General" sourceLinked="1"/>
        <c:majorTickMark val="out"/>
        <c:minorTickMark val="none"/>
        <c:tickLblPos val="nextTo"/>
        <c:crossAx val="171173760"/>
        <c:crosses val="autoZero"/>
        <c:crossBetween val="between"/>
      </c:valAx>
    </c:plotArea>
    <c:legend>
      <c:legendPos val="r"/>
      <c:layout>
        <c:manualLayout>
          <c:xMode val="edge"/>
          <c:yMode val="edge"/>
          <c:x val="0.52795111114480964"/>
          <c:y val="4.5454545454545463E-2"/>
          <c:w val="0.30745388237256616"/>
          <c:h val="0.19834710743801653"/>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56656346749281"/>
          <c:y val="4.9382914508240776E-2"/>
          <c:w val="0.76780185758514252"/>
          <c:h val="0.83950954664009036"/>
        </c:manualLayout>
      </c:layout>
      <c:barChart>
        <c:barDir val="col"/>
        <c:grouping val="stacked"/>
        <c:varyColors val="0"/>
        <c:ser>
          <c:idx val="0"/>
          <c:order val="0"/>
          <c:tx>
            <c:strRef>
              <c:f>'across distribution'!$B$60</c:f>
              <c:strCache>
                <c:ptCount val="1"/>
                <c:pt idx="0">
                  <c:v>Explained</c:v>
                </c:pt>
              </c:strCache>
            </c:strRef>
          </c:tx>
          <c:invertIfNegative val="0"/>
          <c:cat>
            <c:numRef>
              <c:f>'across distribution'!$C$59:$K$59</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'across distribution'!$C$60:$K$60</c:f>
              <c:numCache>
                <c:formatCode>General</c:formatCode>
                <c:ptCount val="9"/>
                <c:pt idx="0">
                  <c:v>0.15900000000000022</c:v>
                </c:pt>
                <c:pt idx="1">
                  <c:v>0.20300000000000001</c:v>
                </c:pt>
                <c:pt idx="2">
                  <c:v>0.25700000000000001</c:v>
                </c:pt>
                <c:pt idx="3">
                  <c:v>0.27800000000000002</c:v>
                </c:pt>
                <c:pt idx="4">
                  <c:v>0.252</c:v>
                </c:pt>
                <c:pt idx="5">
                  <c:v>0.254</c:v>
                </c:pt>
                <c:pt idx="6">
                  <c:v>0.28400000000000031</c:v>
                </c:pt>
                <c:pt idx="7">
                  <c:v>0.28600000000000031</c:v>
                </c:pt>
                <c:pt idx="8">
                  <c:v>0.49000000000000032</c:v>
                </c:pt>
              </c:numCache>
            </c:numRef>
          </c:val>
        </c:ser>
        <c:ser>
          <c:idx val="1"/>
          <c:order val="1"/>
          <c:tx>
            <c:strRef>
              <c:f>'across distribution'!$B$61</c:f>
              <c:strCache>
                <c:ptCount val="1"/>
                <c:pt idx="0">
                  <c:v>Not explained</c:v>
                </c:pt>
              </c:strCache>
            </c:strRef>
          </c:tx>
          <c:spPr>
            <a:solidFill>
              <a:srgbClr val="F79646">
                <a:lumMod val="60000"/>
                <a:lumOff val="40000"/>
              </a:srgbClr>
            </a:solidFill>
          </c:spPr>
          <c:invertIfNegative val="0"/>
          <c:cat>
            <c:numRef>
              <c:f>'across distribution'!$C$59:$K$59</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'across distribution'!$C$61:$K$61</c:f>
              <c:numCache>
                <c:formatCode>General</c:formatCode>
                <c:ptCount val="9"/>
                <c:pt idx="0">
                  <c:v>0.10500000000000002</c:v>
                </c:pt>
                <c:pt idx="1">
                  <c:v>8.4000000000000047E-2</c:v>
                </c:pt>
                <c:pt idx="2">
                  <c:v>7.8200000000000006E-2</c:v>
                </c:pt>
                <c:pt idx="3">
                  <c:v>0.10199999999999998</c:v>
                </c:pt>
                <c:pt idx="4">
                  <c:v>0.112</c:v>
                </c:pt>
                <c:pt idx="5">
                  <c:v>0.10400000000000002</c:v>
                </c:pt>
                <c:pt idx="6">
                  <c:v>9.6300000000000024E-2</c:v>
                </c:pt>
                <c:pt idx="7">
                  <c:v>6.7299999999999999E-2</c:v>
                </c:pt>
                <c:pt idx="8">
                  <c:v>-6.1199999999999997E-2</c:v>
                </c:pt>
              </c:numCache>
            </c:numRef>
          </c:val>
        </c:ser>
        <c:dLbls>
          <c:showLegendKey val="0"/>
          <c:showVal val="0"/>
          <c:showCatName val="0"/>
          <c:showSerName val="0"/>
          <c:showPercent val="0"/>
          <c:showBubbleSize val="0"/>
        </c:dLbls>
        <c:gapWidth val="150"/>
        <c:overlap val="100"/>
        <c:axId val="172123264"/>
        <c:axId val="172125184"/>
      </c:barChart>
      <c:catAx>
        <c:axId val="172123264"/>
        <c:scaling>
          <c:orientation val="minMax"/>
        </c:scaling>
        <c:delete val="0"/>
        <c:axPos val="b"/>
        <c:title>
          <c:tx>
            <c:rich>
              <a:bodyPr/>
              <a:lstStyle/>
              <a:p>
                <a:pPr>
                  <a:defRPr/>
                </a:pPr>
                <a:r>
                  <a:rPr lang="en-US"/>
                  <a:t>deciles</a:t>
                </a:r>
              </a:p>
            </c:rich>
          </c:tx>
          <c:layout>
            <c:manualLayout>
              <c:xMode val="edge"/>
              <c:yMode val="edge"/>
              <c:x val="0.49764073883288035"/>
              <c:y val="0.91156271441173453"/>
            </c:manualLayout>
          </c:layout>
          <c:overlay val="0"/>
          <c:spPr>
            <a:noFill/>
            <a:ln w="25400">
              <a:noFill/>
            </a:ln>
          </c:spPr>
        </c:title>
        <c:numFmt formatCode="General" sourceLinked="1"/>
        <c:majorTickMark val="out"/>
        <c:minorTickMark val="none"/>
        <c:tickLblPos val="nextTo"/>
        <c:crossAx val="172125184"/>
        <c:crosses val="autoZero"/>
        <c:auto val="1"/>
        <c:lblAlgn val="ctr"/>
        <c:lblOffset val="100"/>
        <c:noMultiLvlLbl val="0"/>
      </c:catAx>
      <c:valAx>
        <c:axId val="172125184"/>
        <c:scaling>
          <c:orientation val="minMax"/>
        </c:scaling>
        <c:delete val="0"/>
        <c:axPos val="l"/>
        <c:majorGridlines/>
        <c:title>
          <c:tx>
            <c:rich>
              <a:bodyPr rot="-5400000" vert="horz"/>
              <a:lstStyle/>
              <a:p>
                <a:pPr>
                  <a:defRPr/>
                </a:pPr>
                <a:r>
                  <a:rPr lang="en-US" sz="1200" b="1" i="0" baseline="0"/>
                  <a:t>log  welfare ratio</a:t>
                </a:r>
              </a:p>
            </c:rich>
          </c:tx>
          <c:overlay val="0"/>
          <c:spPr>
            <a:noFill/>
            <a:ln w="25400">
              <a:noFill/>
            </a:ln>
          </c:spPr>
        </c:title>
        <c:numFmt formatCode="General" sourceLinked="1"/>
        <c:majorTickMark val="out"/>
        <c:minorTickMark val="none"/>
        <c:tickLblPos val="nextTo"/>
        <c:crossAx val="172123264"/>
        <c:crosses val="autoZero"/>
        <c:crossBetween val="between"/>
      </c:valAx>
    </c:plotArea>
    <c:legend>
      <c:legendPos val="r"/>
      <c:layout>
        <c:manualLayout>
          <c:xMode val="edge"/>
          <c:yMode val="edge"/>
          <c:x val="0.52012383900928794"/>
          <c:y val="4.5267671632553824E-2"/>
          <c:w val="0.30650154798761692"/>
          <c:h val="0.1975316580329622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72872431193778"/>
          <c:y val="5.3513248603260677E-2"/>
          <c:w val="0.75952869668381895"/>
          <c:h val="0.64324152427004966"/>
        </c:manualLayout>
      </c:layout>
      <c:barChart>
        <c:barDir val="col"/>
        <c:grouping val="clustered"/>
        <c:varyColors val="0"/>
        <c:ser>
          <c:idx val="0"/>
          <c:order val="0"/>
          <c:invertIfNegative val="0"/>
          <c:cat>
            <c:strRef>
              <c:f>descriptives!$D$169:$D$176</c:f>
              <c:strCache>
                <c:ptCount val="8"/>
                <c:pt idx="0">
                  <c:v>Bishkek</c:v>
                </c:pt>
                <c:pt idx="1">
                  <c:v>Naryn</c:v>
                </c:pt>
                <c:pt idx="2">
                  <c:v>Chui</c:v>
                </c:pt>
                <c:pt idx="3">
                  <c:v>Issykkul</c:v>
                </c:pt>
                <c:pt idx="4">
                  <c:v>Batken</c:v>
                </c:pt>
                <c:pt idx="5">
                  <c:v>Talas</c:v>
                </c:pt>
                <c:pt idx="6">
                  <c:v>Osh</c:v>
                </c:pt>
                <c:pt idx="7">
                  <c:v>Jalalabat</c:v>
                </c:pt>
              </c:strCache>
            </c:strRef>
          </c:cat>
          <c:val>
            <c:numRef>
              <c:f>descriptives!$F$169:$F$176</c:f>
              <c:numCache>
                <c:formatCode>General</c:formatCode>
                <c:ptCount val="8"/>
                <c:pt idx="0">
                  <c:v>1.6069524908274071</c:v>
                </c:pt>
                <c:pt idx="1">
                  <c:v>1.1167106606644639</c:v>
                </c:pt>
                <c:pt idx="2">
                  <c:v>1.406595816658857</c:v>
                </c:pt>
                <c:pt idx="3">
                  <c:v>1.370240158780194</c:v>
                </c:pt>
                <c:pt idx="4">
                  <c:v>1.30327550593071</c:v>
                </c:pt>
                <c:pt idx="5">
                  <c:v>1.1767196150734998</c:v>
                </c:pt>
                <c:pt idx="6">
                  <c:v>1.1306816978495997</c:v>
                </c:pt>
                <c:pt idx="7">
                  <c:v>1.104339986086162</c:v>
                </c:pt>
              </c:numCache>
            </c:numRef>
          </c:val>
        </c:ser>
        <c:dLbls>
          <c:showLegendKey val="0"/>
          <c:showVal val="0"/>
          <c:showCatName val="0"/>
          <c:showSerName val="0"/>
          <c:showPercent val="0"/>
          <c:showBubbleSize val="0"/>
        </c:dLbls>
        <c:gapWidth val="150"/>
        <c:axId val="160495488"/>
        <c:axId val="160497024"/>
      </c:barChart>
      <c:catAx>
        <c:axId val="16049548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0497024"/>
        <c:crosses val="autoZero"/>
        <c:auto val="1"/>
        <c:lblAlgn val="ctr"/>
        <c:lblOffset val="100"/>
        <c:tickLblSkip val="1"/>
        <c:tickMarkSkip val="1"/>
        <c:noMultiLvlLbl val="0"/>
      </c:catAx>
      <c:valAx>
        <c:axId val="160497024"/>
        <c:scaling>
          <c:orientation val="minMax"/>
          <c:min val="1"/>
        </c:scaling>
        <c:delete val="0"/>
        <c:axPos val="l"/>
        <c:majorGridlines/>
        <c:title>
          <c:tx>
            <c:rich>
              <a:bodyPr rot="-5400000" vert="horz"/>
              <a:lstStyle/>
              <a:p>
                <a:pPr>
                  <a:defRPr/>
                </a:pPr>
                <a:r>
                  <a:rPr lang="en-US"/>
                  <a:t>Welfare</a:t>
                </a:r>
                <a:r>
                  <a:rPr lang="en-US" baseline="0"/>
                  <a:t> ratio</a:t>
                </a:r>
                <a:endParaRPr lang="en-US"/>
              </a:p>
            </c:rich>
          </c:tx>
          <c:layout>
            <c:manualLayout>
              <c:xMode val="edge"/>
              <c:yMode val="edge"/>
              <c:x val="3.0521418467551412E-3"/>
              <c:y val="0.20559044227355389"/>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60495488"/>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54462718787449"/>
          <c:y val="5.1114840153177576E-2"/>
          <c:w val="0.74585969653202155"/>
          <c:h val="0.68444989458285166"/>
        </c:manualLayout>
      </c:layout>
      <c:barChart>
        <c:barDir val="col"/>
        <c:grouping val="clustered"/>
        <c:varyColors val="0"/>
        <c:ser>
          <c:idx val="0"/>
          <c:order val="0"/>
          <c:tx>
            <c:strRef>
              <c:f>descriptives!$E$209</c:f>
              <c:strCache>
                <c:ptCount val="1"/>
                <c:pt idx="0">
                  <c:v>urban</c:v>
                </c:pt>
              </c:strCache>
            </c:strRef>
          </c:tx>
          <c:invertIfNegative val="0"/>
          <c:cat>
            <c:strRef>
              <c:f>descriptives!$D$211:$D$217</c:f>
              <c:strCache>
                <c:ptCount val="7"/>
                <c:pt idx="0">
                  <c:v>Batken</c:v>
                </c:pt>
                <c:pt idx="1">
                  <c:v>Chui</c:v>
                </c:pt>
                <c:pt idx="2">
                  <c:v>Naryn</c:v>
                </c:pt>
                <c:pt idx="3">
                  <c:v>Issykkul</c:v>
                </c:pt>
                <c:pt idx="4">
                  <c:v>Jalalabat</c:v>
                </c:pt>
                <c:pt idx="5">
                  <c:v>Osh</c:v>
                </c:pt>
                <c:pt idx="6">
                  <c:v>Talas</c:v>
                </c:pt>
              </c:strCache>
            </c:strRef>
          </c:cat>
          <c:val>
            <c:numRef>
              <c:f>descriptives!$E$211:$E$217</c:f>
              <c:numCache>
                <c:formatCode>General</c:formatCode>
                <c:ptCount val="7"/>
                <c:pt idx="0">
                  <c:v>1.5263912281284859</c:v>
                </c:pt>
                <c:pt idx="1">
                  <c:v>1.6156512799022569</c:v>
                </c:pt>
                <c:pt idx="2">
                  <c:v>1.2888139631106961</c:v>
                </c:pt>
                <c:pt idx="3">
                  <c:v>1.4543587693971747</c:v>
                </c:pt>
                <c:pt idx="4">
                  <c:v>1.1524079218235252</c:v>
                </c:pt>
                <c:pt idx="5">
                  <c:v>1.142648393214895</c:v>
                </c:pt>
                <c:pt idx="6">
                  <c:v>1.1457811615929341</c:v>
                </c:pt>
              </c:numCache>
            </c:numRef>
          </c:val>
        </c:ser>
        <c:ser>
          <c:idx val="1"/>
          <c:order val="1"/>
          <c:tx>
            <c:strRef>
              <c:f>descriptives!$F$209</c:f>
              <c:strCache>
                <c:ptCount val="1"/>
                <c:pt idx="0">
                  <c:v>rural</c:v>
                </c:pt>
              </c:strCache>
            </c:strRef>
          </c:tx>
          <c:spPr>
            <a:solidFill>
              <a:srgbClr val="F79646">
                <a:lumMod val="60000"/>
                <a:lumOff val="40000"/>
              </a:srgbClr>
            </a:solidFill>
          </c:spPr>
          <c:invertIfNegative val="0"/>
          <c:cat>
            <c:strRef>
              <c:f>descriptives!$D$211:$D$217</c:f>
              <c:strCache>
                <c:ptCount val="7"/>
                <c:pt idx="0">
                  <c:v>Batken</c:v>
                </c:pt>
                <c:pt idx="1">
                  <c:v>Chui</c:v>
                </c:pt>
                <c:pt idx="2">
                  <c:v>Naryn</c:v>
                </c:pt>
                <c:pt idx="3">
                  <c:v>Issykkul</c:v>
                </c:pt>
                <c:pt idx="4">
                  <c:v>Jalalabat</c:v>
                </c:pt>
                <c:pt idx="5">
                  <c:v>Osh</c:v>
                </c:pt>
                <c:pt idx="6">
                  <c:v>Talas</c:v>
                </c:pt>
              </c:strCache>
            </c:strRef>
          </c:cat>
          <c:val>
            <c:numRef>
              <c:f>descriptives!$F$211:$F$217</c:f>
              <c:numCache>
                <c:formatCode>General</c:formatCode>
                <c:ptCount val="7"/>
                <c:pt idx="0">
                  <c:v>1.2334214632386789</c:v>
                </c:pt>
                <c:pt idx="1">
                  <c:v>1.3616761272495679</c:v>
                </c:pt>
                <c:pt idx="2">
                  <c:v>1.0861568592928565</c:v>
                </c:pt>
                <c:pt idx="3">
                  <c:v>1.3359212736014801</c:v>
                </c:pt>
                <c:pt idx="4">
                  <c:v>1.0843514586630851</c:v>
                </c:pt>
                <c:pt idx="5">
                  <c:v>1.1254087142184628</c:v>
                </c:pt>
                <c:pt idx="6">
                  <c:v>1.1820327160486421</c:v>
                </c:pt>
              </c:numCache>
            </c:numRef>
          </c:val>
        </c:ser>
        <c:dLbls>
          <c:showLegendKey val="0"/>
          <c:showVal val="0"/>
          <c:showCatName val="0"/>
          <c:showSerName val="0"/>
          <c:showPercent val="0"/>
          <c:showBubbleSize val="0"/>
        </c:dLbls>
        <c:gapWidth val="150"/>
        <c:axId val="160362880"/>
        <c:axId val="160364416"/>
      </c:barChart>
      <c:catAx>
        <c:axId val="16036288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0364416"/>
        <c:crosses val="autoZero"/>
        <c:auto val="1"/>
        <c:lblAlgn val="ctr"/>
        <c:lblOffset val="100"/>
        <c:tickLblSkip val="1"/>
        <c:tickMarkSkip val="1"/>
        <c:noMultiLvlLbl val="0"/>
      </c:catAx>
      <c:valAx>
        <c:axId val="160364416"/>
        <c:scaling>
          <c:orientation val="minMax"/>
          <c:min val="1"/>
        </c:scaling>
        <c:delete val="0"/>
        <c:axPos val="l"/>
        <c:majorGridlines/>
        <c:title>
          <c:tx>
            <c:rich>
              <a:bodyPr rot="-5400000" vert="horz"/>
              <a:lstStyle/>
              <a:p>
                <a:pPr>
                  <a:defRPr/>
                </a:pPr>
                <a:r>
                  <a:rPr lang="en-US"/>
                  <a:t>Welfare ratio</a:t>
                </a:r>
              </a:p>
            </c:rich>
          </c:tx>
          <c:layout>
            <c:manualLayout>
              <c:xMode val="edge"/>
              <c:yMode val="edge"/>
              <c:x val="3.6065166410411903E-3"/>
              <c:y val="0.23783744245084198"/>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60362880"/>
        <c:crosses val="autoZero"/>
        <c:crossBetween val="between"/>
      </c:valAx>
    </c:plotArea>
    <c:legend>
      <c:legendPos val="r"/>
      <c:layout>
        <c:manualLayout>
          <c:xMode val="edge"/>
          <c:yMode val="edge"/>
          <c:x val="0.59763313609467461"/>
          <c:y val="0.13524590163934441"/>
          <c:w val="0.18047337278106601"/>
          <c:h val="0.31967213114754389"/>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11991933211741"/>
          <c:y val="5.0958150526387067E-2"/>
          <c:w val="0.80896510817503742"/>
          <c:h val="0.75544604894867862"/>
        </c:manualLayout>
      </c:layout>
      <c:barChart>
        <c:barDir val="col"/>
        <c:grouping val="clustered"/>
        <c:varyColors val="0"/>
        <c:ser>
          <c:idx val="0"/>
          <c:order val="0"/>
          <c:tx>
            <c:strRef>
              <c:f>descriptives!$W$104</c:f>
              <c:strCache>
                <c:ptCount val="1"/>
                <c:pt idx="0">
                  <c:v>urban areas</c:v>
                </c:pt>
              </c:strCache>
            </c:strRef>
          </c:tx>
          <c:invertIfNegative val="0"/>
          <c:cat>
            <c:strRef>
              <c:f>descriptives!$X$103:$AB$103</c:f>
              <c:strCache>
                <c:ptCount val="5"/>
                <c:pt idx="0">
                  <c:v>bottom</c:v>
                </c:pt>
                <c:pt idx="1">
                  <c:v>II</c:v>
                </c:pt>
                <c:pt idx="2">
                  <c:v>III</c:v>
                </c:pt>
                <c:pt idx="3">
                  <c:v>IV</c:v>
                </c:pt>
                <c:pt idx="4">
                  <c:v>V</c:v>
                </c:pt>
              </c:strCache>
            </c:strRef>
          </c:cat>
          <c:val>
            <c:numRef>
              <c:f>descriptives!$X$104:$AB$104</c:f>
              <c:numCache>
                <c:formatCode>General</c:formatCode>
                <c:ptCount val="5"/>
                <c:pt idx="0">
                  <c:v>72.359351275815271</c:v>
                </c:pt>
                <c:pt idx="1">
                  <c:v>64.472645638780918</c:v>
                </c:pt>
                <c:pt idx="2">
                  <c:v>54.388176448247705</c:v>
                </c:pt>
                <c:pt idx="3">
                  <c:v>52.268830269239061</c:v>
                </c:pt>
                <c:pt idx="4">
                  <c:v>40.221018707450561</c:v>
                </c:pt>
              </c:numCache>
            </c:numRef>
          </c:val>
        </c:ser>
        <c:ser>
          <c:idx val="1"/>
          <c:order val="1"/>
          <c:tx>
            <c:strRef>
              <c:f>descriptives!$W$105</c:f>
              <c:strCache>
                <c:ptCount val="1"/>
                <c:pt idx="0">
                  <c:v>rural areas</c:v>
                </c:pt>
              </c:strCache>
            </c:strRef>
          </c:tx>
          <c:spPr>
            <a:solidFill>
              <a:srgbClr val="F79646">
                <a:lumMod val="60000"/>
                <a:lumOff val="40000"/>
              </a:srgbClr>
            </a:solidFill>
          </c:spPr>
          <c:invertIfNegative val="0"/>
          <c:cat>
            <c:strRef>
              <c:f>descriptives!$X$103:$AB$103</c:f>
              <c:strCache>
                <c:ptCount val="5"/>
                <c:pt idx="0">
                  <c:v>bottom</c:v>
                </c:pt>
                <c:pt idx="1">
                  <c:v>II</c:v>
                </c:pt>
                <c:pt idx="2">
                  <c:v>III</c:v>
                </c:pt>
                <c:pt idx="3">
                  <c:v>IV</c:v>
                </c:pt>
                <c:pt idx="4">
                  <c:v>V</c:v>
                </c:pt>
              </c:strCache>
            </c:strRef>
          </c:cat>
          <c:val>
            <c:numRef>
              <c:f>descriptives!$X$105:$AB$105</c:f>
              <c:numCache>
                <c:formatCode>General</c:formatCode>
                <c:ptCount val="5"/>
                <c:pt idx="0">
                  <c:v>81.562585269132327</c:v>
                </c:pt>
                <c:pt idx="1">
                  <c:v>71.911157571176091</c:v>
                </c:pt>
                <c:pt idx="2">
                  <c:v>67.840753647980165</c:v>
                </c:pt>
                <c:pt idx="3">
                  <c:v>59.789305570405219</c:v>
                </c:pt>
                <c:pt idx="4">
                  <c:v>57.820445115050923</c:v>
                </c:pt>
              </c:numCache>
            </c:numRef>
          </c:val>
        </c:ser>
        <c:dLbls>
          <c:showLegendKey val="0"/>
          <c:showVal val="0"/>
          <c:showCatName val="0"/>
          <c:showSerName val="0"/>
          <c:showPercent val="0"/>
          <c:showBubbleSize val="0"/>
        </c:dLbls>
        <c:gapWidth val="150"/>
        <c:axId val="166341632"/>
        <c:axId val="166368384"/>
      </c:barChart>
      <c:catAx>
        <c:axId val="166341632"/>
        <c:scaling>
          <c:orientation val="minMax"/>
        </c:scaling>
        <c:delete val="0"/>
        <c:axPos val="b"/>
        <c:title>
          <c:tx>
            <c:rich>
              <a:bodyPr/>
              <a:lstStyle/>
              <a:p>
                <a:pPr>
                  <a:defRPr/>
                </a:pPr>
                <a:r>
                  <a:rPr lang="en-US"/>
                  <a:t>consumption per capita quintiles</a:t>
                </a:r>
                <a:r>
                  <a:rPr lang="en-US" baseline="0"/>
                  <a:t> </a:t>
                </a:r>
                <a:endParaRPr lang="en-US"/>
              </a:p>
            </c:rich>
          </c:tx>
          <c:overlay val="0"/>
        </c:title>
        <c:numFmt formatCode="General" sourceLinked="1"/>
        <c:majorTickMark val="out"/>
        <c:minorTickMark val="none"/>
        <c:tickLblPos val="nextTo"/>
        <c:txPr>
          <a:bodyPr rot="0" vert="horz"/>
          <a:lstStyle/>
          <a:p>
            <a:pPr>
              <a:defRPr/>
            </a:pPr>
            <a:endParaRPr lang="en-US"/>
          </a:p>
        </c:txPr>
        <c:crossAx val="166368384"/>
        <c:crosses val="autoZero"/>
        <c:auto val="1"/>
        <c:lblAlgn val="ctr"/>
        <c:lblOffset val="100"/>
        <c:tickLblSkip val="1"/>
        <c:tickMarkSkip val="1"/>
        <c:noMultiLvlLbl val="0"/>
      </c:catAx>
      <c:valAx>
        <c:axId val="166368384"/>
        <c:scaling>
          <c:orientation val="minMax"/>
          <c:max val="90"/>
          <c:min val="0"/>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txPr>
          <a:bodyPr rot="0" vert="horz"/>
          <a:lstStyle/>
          <a:p>
            <a:pPr>
              <a:defRPr/>
            </a:pPr>
            <a:endParaRPr lang="en-US"/>
          </a:p>
        </c:txPr>
        <c:crossAx val="166341632"/>
        <c:crosses val="autoZero"/>
        <c:crossBetween val="between"/>
      </c:valAx>
    </c:plotArea>
    <c:legend>
      <c:legendPos val="r"/>
      <c:layout>
        <c:manualLayout>
          <c:xMode val="edge"/>
          <c:yMode val="edge"/>
          <c:x val="0.36148049290449197"/>
          <c:y val="3.528140163291401E-2"/>
          <c:w val="0.48722007206726492"/>
          <c:h val="0.1026725164889447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75496206529309"/>
          <c:y val="6.1403771774652956E-2"/>
          <c:w val="0.74707832573559885"/>
          <c:h val="0.61765709779551248"/>
        </c:manualLayout>
      </c:layout>
      <c:barChart>
        <c:barDir val="col"/>
        <c:grouping val="stacked"/>
        <c:varyColors val="0"/>
        <c:ser>
          <c:idx val="0"/>
          <c:order val="0"/>
          <c:tx>
            <c:strRef>
              <c:f>'decomposition at mean'!$H$13</c:f>
              <c:strCache>
                <c:ptCount val="1"/>
                <c:pt idx="0">
                  <c:v>Explained</c:v>
                </c:pt>
              </c:strCache>
            </c:strRef>
          </c:tx>
          <c:invertIfNegative val="0"/>
          <c:cat>
            <c:strRef>
              <c:f>'decomposition at mean'!$G$14:$G$15</c:f>
              <c:strCache>
                <c:ptCount val="2"/>
                <c:pt idx="0">
                  <c:v>B. versus urban areas</c:v>
                </c:pt>
                <c:pt idx="1">
                  <c:v>B. versus rural areas</c:v>
                </c:pt>
              </c:strCache>
            </c:strRef>
          </c:cat>
          <c:val>
            <c:numRef>
              <c:f>'decomposition at mean'!$H$14:$H$15</c:f>
              <c:numCache>
                <c:formatCode>0</c:formatCode>
                <c:ptCount val="2"/>
                <c:pt idx="0">
                  <c:v>54.257646034570982</c:v>
                </c:pt>
                <c:pt idx="1">
                  <c:v>63.67795436906102</c:v>
                </c:pt>
              </c:numCache>
            </c:numRef>
          </c:val>
        </c:ser>
        <c:ser>
          <c:idx val="1"/>
          <c:order val="1"/>
          <c:tx>
            <c:strRef>
              <c:f>'decomposition at mean'!$I$13</c:f>
              <c:strCache>
                <c:ptCount val="1"/>
                <c:pt idx="0">
                  <c:v>Unexplained</c:v>
                </c:pt>
              </c:strCache>
            </c:strRef>
          </c:tx>
          <c:spPr>
            <a:solidFill>
              <a:srgbClr val="F79646">
                <a:lumMod val="60000"/>
                <a:lumOff val="40000"/>
              </a:srgbClr>
            </a:solidFill>
          </c:spPr>
          <c:invertIfNegative val="0"/>
          <c:cat>
            <c:strRef>
              <c:f>'decomposition at mean'!$G$14:$G$15</c:f>
              <c:strCache>
                <c:ptCount val="2"/>
                <c:pt idx="0">
                  <c:v>B. versus urban areas</c:v>
                </c:pt>
                <c:pt idx="1">
                  <c:v>B. versus rural areas</c:v>
                </c:pt>
              </c:strCache>
            </c:strRef>
          </c:cat>
          <c:val>
            <c:numRef>
              <c:f>'decomposition at mean'!$I$14:$I$15</c:f>
              <c:numCache>
                <c:formatCode>0</c:formatCode>
                <c:ptCount val="2"/>
                <c:pt idx="0">
                  <c:v>45.742353965429096</c:v>
                </c:pt>
                <c:pt idx="1">
                  <c:v>36.32204563093903</c:v>
                </c:pt>
              </c:numCache>
            </c:numRef>
          </c:val>
        </c:ser>
        <c:dLbls>
          <c:showLegendKey val="0"/>
          <c:showVal val="0"/>
          <c:showCatName val="0"/>
          <c:showSerName val="0"/>
          <c:showPercent val="0"/>
          <c:showBubbleSize val="0"/>
        </c:dLbls>
        <c:gapWidth val="150"/>
        <c:overlap val="100"/>
        <c:axId val="163061760"/>
        <c:axId val="163063296"/>
      </c:barChart>
      <c:catAx>
        <c:axId val="163061760"/>
        <c:scaling>
          <c:orientation val="minMax"/>
        </c:scaling>
        <c:delete val="0"/>
        <c:axPos val="b"/>
        <c:numFmt formatCode="General" sourceLinked="1"/>
        <c:majorTickMark val="out"/>
        <c:minorTickMark val="none"/>
        <c:tickLblPos val="nextTo"/>
        <c:crossAx val="163063296"/>
        <c:crosses val="autoZero"/>
        <c:auto val="1"/>
        <c:lblAlgn val="ctr"/>
        <c:lblOffset val="100"/>
        <c:noMultiLvlLbl val="0"/>
      </c:catAx>
      <c:valAx>
        <c:axId val="163063296"/>
        <c:scaling>
          <c:orientation val="minMax"/>
          <c:max val="100"/>
        </c:scaling>
        <c:delete val="0"/>
        <c:axPos val="l"/>
        <c:majorGridlines/>
        <c:title>
          <c:tx>
            <c:rich>
              <a:bodyPr rot="-5400000" vert="horz"/>
              <a:lstStyle/>
              <a:p>
                <a:pPr>
                  <a:defRPr b="0"/>
                </a:pPr>
                <a:r>
                  <a:rPr lang="en-US" b="0"/>
                  <a:t>% of gap in log welfare ratio</a:t>
                </a:r>
              </a:p>
            </c:rich>
          </c:tx>
          <c:layout>
            <c:manualLayout>
              <c:xMode val="edge"/>
              <c:yMode val="edge"/>
              <c:x val="1.6228070175438605E-2"/>
              <c:y val="0.1240375222155528"/>
            </c:manualLayout>
          </c:layout>
          <c:overlay val="0"/>
          <c:spPr>
            <a:noFill/>
            <a:ln w="25400">
              <a:noFill/>
            </a:ln>
          </c:spPr>
        </c:title>
        <c:numFmt formatCode="0" sourceLinked="1"/>
        <c:majorTickMark val="out"/>
        <c:minorTickMark val="none"/>
        <c:tickLblPos val="nextTo"/>
        <c:crossAx val="163061760"/>
        <c:crosses val="autoZero"/>
        <c:crossBetween val="between"/>
        <c:majorUnit val="20"/>
      </c:valAx>
    </c:plotArea>
    <c:legend>
      <c:legendPos val="b"/>
      <c:layout>
        <c:manualLayout>
          <c:xMode val="edge"/>
          <c:yMode val="edge"/>
          <c:x val="0.23099481163997293"/>
          <c:y val="0.87719673963790001"/>
          <c:w val="0.59356886310263646"/>
          <c:h val="0.10526360875654819"/>
        </c:manualLayout>
      </c:layout>
      <c:overlay val="0"/>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18343195266294"/>
          <c:y val="7.5761049868766403E-2"/>
          <c:w val="0.47864908053685717"/>
          <c:h val="0.79276514435695333"/>
        </c:manualLayout>
      </c:layout>
      <c:barChart>
        <c:barDir val="col"/>
        <c:grouping val="stacked"/>
        <c:varyColors val="0"/>
        <c:ser>
          <c:idx val="0"/>
          <c:order val="0"/>
          <c:tx>
            <c:strRef>
              <c:f>'decomposition at mean'!$D$5</c:f>
              <c:strCache>
                <c:ptCount val="1"/>
                <c:pt idx="0">
                  <c:v>demographics</c:v>
                </c:pt>
              </c:strCache>
            </c:strRef>
          </c:tx>
          <c:invertIfNegative val="0"/>
          <c:cat>
            <c:strRef>
              <c:f>'decomposition at mean'!$E$4:$F$4</c:f>
              <c:strCache>
                <c:ptCount val="2"/>
                <c:pt idx="0">
                  <c:v>B. versus urban</c:v>
                </c:pt>
                <c:pt idx="1">
                  <c:v>B. versus rural</c:v>
                </c:pt>
              </c:strCache>
            </c:strRef>
          </c:cat>
          <c:val>
            <c:numRef>
              <c:f>'decomposition at mean'!$E$5:$F$5</c:f>
              <c:numCache>
                <c:formatCode>General</c:formatCode>
                <c:ptCount val="2"/>
                <c:pt idx="0">
                  <c:v>7.6838000000000004E-2</c:v>
                </c:pt>
                <c:pt idx="1">
                  <c:v>0.11745570000000002</c:v>
                </c:pt>
              </c:numCache>
            </c:numRef>
          </c:val>
        </c:ser>
        <c:ser>
          <c:idx val="1"/>
          <c:order val="1"/>
          <c:tx>
            <c:strRef>
              <c:f>'decomposition at mean'!$D$6</c:f>
              <c:strCache>
                <c:ptCount val="1"/>
                <c:pt idx="0">
                  <c:v>education</c:v>
                </c:pt>
              </c:strCache>
            </c:strRef>
          </c:tx>
          <c:spPr>
            <a:solidFill>
              <a:srgbClr val="F79646">
                <a:lumMod val="60000"/>
                <a:lumOff val="40000"/>
              </a:srgbClr>
            </a:solidFill>
          </c:spPr>
          <c:invertIfNegative val="0"/>
          <c:cat>
            <c:strRef>
              <c:f>'decomposition at mean'!$E$4:$F$4</c:f>
              <c:strCache>
                <c:ptCount val="2"/>
                <c:pt idx="0">
                  <c:v>B. versus urban</c:v>
                </c:pt>
                <c:pt idx="1">
                  <c:v>B. versus rural</c:v>
                </c:pt>
              </c:strCache>
            </c:strRef>
          </c:cat>
          <c:val>
            <c:numRef>
              <c:f>'decomposition at mean'!$E$6:$F$6</c:f>
              <c:numCache>
                <c:formatCode>General</c:formatCode>
                <c:ptCount val="2"/>
                <c:pt idx="0">
                  <c:v>3.7581400000000015E-2</c:v>
                </c:pt>
                <c:pt idx="1">
                  <c:v>4.9262900000000082E-2</c:v>
                </c:pt>
              </c:numCache>
            </c:numRef>
          </c:val>
        </c:ser>
        <c:ser>
          <c:idx val="2"/>
          <c:order val="2"/>
          <c:tx>
            <c:strRef>
              <c:f>'decomposition at mean'!$D$7</c:f>
              <c:strCache>
                <c:ptCount val="1"/>
                <c:pt idx="0">
                  <c:v>empl</c:v>
                </c:pt>
              </c:strCache>
            </c:strRef>
          </c:tx>
          <c:invertIfNegative val="0"/>
          <c:cat>
            <c:strRef>
              <c:f>'decomposition at mean'!$E$4:$F$4</c:f>
              <c:strCache>
                <c:ptCount val="2"/>
                <c:pt idx="0">
                  <c:v>B. versus urban</c:v>
                </c:pt>
                <c:pt idx="1">
                  <c:v>B. versus rural</c:v>
                </c:pt>
              </c:strCache>
            </c:strRef>
          </c:cat>
          <c:val>
            <c:numRef>
              <c:f>'decomposition at mean'!$E$7:$F$7</c:f>
              <c:numCache>
                <c:formatCode>General</c:formatCode>
                <c:ptCount val="2"/>
                <c:pt idx="0">
                  <c:v>8.1517000000000048E-3</c:v>
                </c:pt>
                <c:pt idx="1">
                  <c:v>9.2100000000000027E-4</c:v>
                </c:pt>
              </c:numCache>
            </c:numRef>
          </c:val>
        </c:ser>
        <c:ser>
          <c:idx val="3"/>
          <c:order val="3"/>
          <c:tx>
            <c:strRef>
              <c:f>'decomposition at mean'!$D$8</c:f>
              <c:strCache>
                <c:ptCount val="1"/>
                <c:pt idx="0">
                  <c:v>sector</c:v>
                </c:pt>
              </c:strCache>
            </c:strRef>
          </c:tx>
          <c:invertIfNegative val="0"/>
          <c:cat>
            <c:strRef>
              <c:f>'decomposition at mean'!$E$4:$F$4</c:f>
              <c:strCache>
                <c:ptCount val="2"/>
                <c:pt idx="0">
                  <c:v>B. versus urban</c:v>
                </c:pt>
                <c:pt idx="1">
                  <c:v>B. versus rural</c:v>
                </c:pt>
              </c:strCache>
            </c:strRef>
          </c:cat>
          <c:val>
            <c:numRef>
              <c:f>'decomposition at mean'!$E$8:$F$8</c:f>
              <c:numCache>
                <c:formatCode>General</c:formatCode>
                <c:ptCount val="2"/>
                <c:pt idx="0">
                  <c:v>6.7430000000000103E-3</c:v>
                </c:pt>
                <c:pt idx="1">
                  <c:v>6.7200000000000072E-3</c:v>
                </c:pt>
              </c:numCache>
            </c:numRef>
          </c:val>
        </c:ser>
        <c:ser>
          <c:idx val="4"/>
          <c:order val="4"/>
          <c:tx>
            <c:strRef>
              <c:f>'decomposition at mean'!$D$9</c:f>
              <c:strCache>
                <c:ptCount val="1"/>
                <c:pt idx="0">
                  <c:v>fulltime</c:v>
                </c:pt>
              </c:strCache>
            </c:strRef>
          </c:tx>
          <c:invertIfNegative val="0"/>
          <c:cat>
            <c:strRef>
              <c:f>'decomposition at mean'!$E$4:$F$4</c:f>
              <c:strCache>
                <c:ptCount val="2"/>
                <c:pt idx="0">
                  <c:v>B. versus urban</c:v>
                </c:pt>
                <c:pt idx="1">
                  <c:v>B. versus rural</c:v>
                </c:pt>
              </c:strCache>
            </c:strRef>
          </c:cat>
          <c:val>
            <c:numRef>
              <c:f>'decomposition at mean'!$E$9:$F$9</c:f>
              <c:numCache>
                <c:formatCode>General</c:formatCode>
                <c:ptCount val="2"/>
                <c:pt idx="0">
                  <c:v>7.9015000000000127E-3</c:v>
                </c:pt>
                <c:pt idx="1">
                  <c:v>8.3643000000000068E-3</c:v>
                </c:pt>
              </c:numCache>
            </c:numRef>
          </c:val>
        </c:ser>
        <c:ser>
          <c:idx val="5"/>
          <c:order val="5"/>
          <c:tx>
            <c:strRef>
              <c:f>'decomposition at mean'!$D$10</c:f>
              <c:strCache>
                <c:ptCount val="1"/>
                <c:pt idx="0">
                  <c:v>migration</c:v>
                </c:pt>
              </c:strCache>
            </c:strRef>
          </c:tx>
          <c:invertIfNegative val="0"/>
          <c:cat>
            <c:strRef>
              <c:f>'decomposition at mean'!$E$4:$F$4</c:f>
              <c:strCache>
                <c:ptCount val="2"/>
                <c:pt idx="0">
                  <c:v>B. versus urban</c:v>
                </c:pt>
                <c:pt idx="1">
                  <c:v>B. versus rural</c:v>
                </c:pt>
              </c:strCache>
            </c:strRef>
          </c:cat>
          <c:val>
            <c:numRef>
              <c:f>'decomposition at mean'!$E$10:$F$10</c:f>
              <c:numCache>
                <c:formatCode>General</c:formatCode>
                <c:ptCount val="2"/>
                <c:pt idx="0">
                  <c:v>-3.2877000000000067E-3</c:v>
                </c:pt>
                <c:pt idx="1">
                  <c:v>-5.8320000000000073E-4</c:v>
                </c:pt>
              </c:numCache>
            </c:numRef>
          </c:val>
        </c:ser>
        <c:ser>
          <c:idx val="6"/>
          <c:order val="6"/>
          <c:tx>
            <c:strRef>
              <c:f>'decomposition at mean'!$D$11</c:f>
              <c:strCache>
                <c:ptCount val="1"/>
                <c:pt idx="0">
                  <c:v>unexplained</c:v>
                </c:pt>
              </c:strCache>
            </c:strRef>
          </c:tx>
          <c:invertIfNegative val="0"/>
          <c:cat>
            <c:strRef>
              <c:f>'decomposition at mean'!$E$4:$F$4</c:f>
              <c:strCache>
                <c:ptCount val="2"/>
                <c:pt idx="0">
                  <c:v>B. versus urban</c:v>
                </c:pt>
                <c:pt idx="1">
                  <c:v>B. versus rural</c:v>
                </c:pt>
              </c:strCache>
            </c:strRef>
          </c:cat>
          <c:val>
            <c:numRef>
              <c:f>'decomposition at mean'!$E$11:$F$11</c:f>
              <c:numCache>
                <c:formatCode>General</c:formatCode>
                <c:ptCount val="2"/>
                <c:pt idx="0">
                  <c:v>0.1129091</c:v>
                </c:pt>
                <c:pt idx="1">
                  <c:v>0.10389340000000002</c:v>
                </c:pt>
              </c:numCache>
            </c:numRef>
          </c:val>
        </c:ser>
        <c:dLbls>
          <c:showLegendKey val="0"/>
          <c:showVal val="0"/>
          <c:showCatName val="0"/>
          <c:showSerName val="0"/>
          <c:showPercent val="0"/>
          <c:showBubbleSize val="0"/>
        </c:dLbls>
        <c:gapWidth val="150"/>
        <c:overlap val="100"/>
        <c:axId val="170525056"/>
        <c:axId val="170526592"/>
      </c:barChart>
      <c:catAx>
        <c:axId val="170525056"/>
        <c:scaling>
          <c:orientation val="minMax"/>
        </c:scaling>
        <c:delete val="0"/>
        <c:axPos val="b"/>
        <c:numFmt formatCode="General" sourceLinked="1"/>
        <c:majorTickMark val="out"/>
        <c:minorTickMark val="none"/>
        <c:tickLblPos val="nextTo"/>
        <c:txPr>
          <a:bodyPr rot="0" vert="horz"/>
          <a:lstStyle/>
          <a:p>
            <a:pPr>
              <a:defRPr/>
            </a:pPr>
            <a:endParaRPr lang="en-US"/>
          </a:p>
        </c:txPr>
        <c:crossAx val="170526592"/>
        <c:crosses val="autoZero"/>
        <c:auto val="1"/>
        <c:lblAlgn val="ctr"/>
        <c:lblOffset val="100"/>
        <c:tickLblSkip val="1"/>
        <c:tickMarkSkip val="1"/>
        <c:noMultiLvlLbl val="0"/>
      </c:catAx>
      <c:valAx>
        <c:axId val="170526592"/>
        <c:scaling>
          <c:orientation val="minMax"/>
          <c:max val="0.30000000000000032"/>
        </c:scaling>
        <c:delete val="0"/>
        <c:axPos val="l"/>
        <c:majorGridlines/>
        <c:title>
          <c:tx>
            <c:rich>
              <a:bodyPr rot="-5400000" vert="horz"/>
              <a:lstStyle/>
              <a:p>
                <a:pPr>
                  <a:defRPr b="0"/>
                </a:pPr>
                <a:r>
                  <a:rPr lang="en-US" sz="1000" b="0"/>
                  <a:t>gap</a:t>
                </a:r>
                <a:r>
                  <a:rPr lang="en-US" b="0"/>
                  <a:t> in log welfare ratio</a:t>
                </a:r>
              </a:p>
            </c:rich>
          </c:tx>
          <c:overlay val="0"/>
          <c:spPr>
            <a:noFill/>
            <a:ln w="25400">
              <a:noFill/>
            </a:ln>
          </c:spPr>
        </c:title>
        <c:numFmt formatCode="#,##0.00" sourceLinked="0"/>
        <c:majorTickMark val="out"/>
        <c:minorTickMark val="none"/>
        <c:tickLblPos val="nextTo"/>
        <c:txPr>
          <a:bodyPr rot="0" vert="horz"/>
          <a:lstStyle/>
          <a:p>
            <a:pPr>
              <a:defRPr/>
            </a:pPr>
            <a:endParaRPr lang="en-US"/>
          </a:p>
        </c:txPr>
        <c:crossAx val="170525056"/>
        <c:crosses val="autoZero"/>
        <c:crossBetween val="between"/>
      </c:valAx>
    </c:plotArea>
    <c:legend>
      <c:legendPos val="r"/>
      <c:layout>
        <c:manualLayout>
          <c:xMode val="edge"/>
          <c:yMode val="edge"/>
          <c:x val="0.68338662597139677"/>
          <c:y val="2.7777885423973293E-2"/>
          <c:w val="0.30094089951034125"/>
          <c:h val="0.89286060291342273"/>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13230802290128"/>
          <c:y val="7.3810338925025934E-2"/>
          <c:w val="0.76339855431744263"/>
          <c:h val="0.67908721016860074"/>
        </c:manualLayout>
      </c:layout>
      <c:barChart>
        <c:barDir val="col"/>
        <c:grouping val="stacked"/>
        <c:varyColors val="0"/>
        <c:ser>
          <c:idx val="0"/>
          <c:order val="0"/>
          <c:tx>
            <c:strRef>
              <c:f>'decomposition at mean'!$K$56</c:f>
              <c:strCache>
                <c:ptCount val="1"/>
                <c:pt idx="0">
                  <c:v>Explained</c:v>
                </c:pt>
              </c:strCache>
            </c:strRef>
          </c:tx>
          <c:invertIfNegative val="0"/>
          <c:cat>
            <c:strRef>
              <c:f>'decomposition at mean'!$L$55:$Q$55</c:f>
              <c:strCache>
                <c:ptCount val="6"/>
                <c:pt idx="0">
                  <c:v>B_Osh</c:v>
                </c:pt>
                <c:pt idx="1">
                  <c:v>B_Jalalabat</c:v>
                </c:pt>
                <c:pt idx="2">
                  <c:v>B_Talas</c:v>
                </c:pt>
                <c:pt idx="3">
                  <c:v>B_Naryn</c:v>
                </c:pt>
                <c:pt idx="4">
                  <c:v>B_Issykkul</c:v>
                </c:pt>
                <c:pt idx="5">
                  <c:v>B_Batken</c:v>
                </c:pt>
              </c:strCache>
            </c:strRef>
          </c:cat>
          <c:val>
            <c:numRef>
              <c:f>'decomposition at mean'!$L$56:$Q$56</c:f>
              <c:numCache>
                <c:formatCode>General</c:formatCode>
                <c:ptCount val="6"/>
                <c:pt idx="0">
                  <c:v>0.21325040000000026</c:v>
                </c:pt>
                <c:pt idx="1">
                  <c:v>0.12709529999999999</c:v>
                </c:pt>
                <c:pt idx="2">
                  <c:v>6.6055299999999997E-2</c:v>
                </c:pt>
                <c:pt idx="3">
                  <c:v>0.1315202</c:v>
                </c:pt>
                <c:pt idx="4">
                  <c:v>8.5461600000000013E-2</c:v>
                </c:pt>
                <c:pt idx="5">
                  <c:v>0.126337</c:v>
                </c:pt>
              </c:numCache>
            </c:numRef>
          </c:val>
        </c:ser>
        <c:ser>
          <c:idx val="1"/>
          <c:order val="1"/>
          <c:tx>
            <c:strRef>
              <c:f>'decomposition at mean'!$K$57</c:f>
              <c:strCache>
                <c:ptCount val="1"/>
                <c:pt idx="0">
                  <c:v>Unexplained</c:v>
                </c:pt>
              </c:strCache>
            </c:strRef>
          </c:tx>
          <c:spPr>
            <a:solidFill>
              <a:srgbClr val="F79646">
                <a:lumMod val="60000"/>
                <a:lumOff val="40000"/>
              </a:srgbClr>
            </a:solidFill>
          </c:spPr>
          <c:invertIfNegative val="0"/>
          <c:cat>
            <c:strRef>
              <c:f>'decomposition at mean'!$L$55:$Q$55</c:f>
              <c:strCache>
                <c:ptCount val="6"/>
                <c:pt idx="0">
                  <c:v>B_Osh</c:v>
                </c:pt>
                <c:pt idx="1">
                  <c:v>B_Jalalabat</c:v>
                </c:pt>
                <c:pt idx="2">
                  <c:v>B_Talas</c:v>
                </c:pt>
                <c:pt idx="3">
                  <c:v>B_Naryn</c:v>
                </c:pt>
                <c:pt idx="4">
                  <c:v>B_Issykkul</c:v>
                </c:pt>
                <c:pt idx="5">
                  <c:v>B_Batken</c:v>
                </c:pt>
              </c:strCache>
            </c:strRef>
          </c:cat>
          <c:val>
            <c:numRef>
              <c:f>'decomposition at mean'!$L$57:$Q$57</c:f>
              <c:numCache>
                <c:formatCode>General</c:formatCode>
                <c:ptCount val="6"/>
                <c:pt idx="0">
                  <c:v>0.12759609999999999</c:v>
                </c:pt>
                <c:pt idx="1">
                  <c:v>0.19435230000000001</c:v>
                </c:pt>
                <c:pt idx="2">
                  <c:v>0.25519369999999997</c:v>
                </c:pt>
                <c:pt idx="3">
                  <c:v>0.12403599999999999</c:v>
                </c:pt>
                <c:pt idx="4">
                  <c:v>3.0560899999999988E-2</c:v>
                </c:pt>
                <c:pt idx="5">
                  <c:v>-5.1033900000000014E-2</c:v>
                </c:pt>
              </c:numCache>
            </c:numRef>
          </c:val>
        </c:ser>
        <c:dLbls>
          <c:showLegendKey val="0"/>
          <c:showVal val="0"/>
          <c:showCatName val="0"/>
          <c:showSerName val="0"/>
          <c:showPercent val="0"/>
          <c:showBubbleSize val="0"/>
        </c:dLbls>
        <c:gapWidth val="150"/>
        <c:overlap val="100"/>
        <c:axId val="170551936"/>
        <c:axId val="170561920"/>
      </c:barChart>
      <c:catAx>
        <c:axId val="170551936"/>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170561920"/>
        <c:crosses val="autoZero"/>
        <c:auto val="1"/>
        <c:lblAlgn val="ctr"/>
        <c:lblOffset val="100"/>
        <c:tickLblSkip val="1"/>
        <c:tickMarkSkip val="1"/>
        <c:noMultiLvlLbl val="0"/>
      </c:catAx>
      <c:valAx>
        <c:axId val="170561920"/>
        <c:scaling>
          <c:orientation val="minMax"/>
        </c:scaling>
        <c:delete val="0"/>
        <c:axPos val="l"/>
        <c:majorGridlines/>
        <c:title>
          <c:tx>
            <c:rich>
              <a:bodyPr rot="-5400000" vert="horz"/>
              <a:lstStyle/>
              <a:p>
                <a:pPr>
                  <a:defRPr b="0"/>
                </a:pPr>
                <a:r>
                  <a:rPr lang="en-US" b="0"/>
                  <a:t>log</a:t>
                </a:r>
                <a:r>
                  <a:rPr lang="en-US" b="0" baseline="0"/>
                  <a:t> welfare ratio </a:t>
                </a:r>
                <a:endParaRPr lang="en-US" b="0"/>
              </a:p>
            </c:rich>
          </c:tx>
          <c:layout>
            <c:manualLayout>
              <c:xMode val="edge"/>
              <c:yMode val="edge"/>
              <c:x val="1.9026569047290202E-3"/>
              <c:y val="0.17045055138858617"/>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70551936"/>
        <c:crosses val="autoZero"/>
        <c:crossBetween val="between"/>
      </c:valAx>
    </c:plotArea>
    <c:legend>
      <c:legendPos val="r"/>
      <c:layout>
        <c:manualLayout>
          <c:xMode val="edge"/>
          <c:yMode val="edge"/>
          <c:x val="0.47230387935023016"/>
          <c:y val="1.9851230386594688E-2"/>
          <c:w val="0.30135852421692738"/>
          <c:h val="0.17699916331419313"/>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3755128116317"/>
          <c:y val="5.5742505870976733E-2"/>
          <c:w val="0.72993664008559533"/>
          <c:h val="0.59974685407314765"/>
        </c:manualLayout>
      </c:layout>
      <c:barChart>
        <c:barDir val="col"/>
        <c:grouping val="stacked"/>
        <c:varyColors val="0"/>
        <c:ser>
          <c:idx val="0"/>
          <c:order val="0"/>
          <c:tx>
            <c:strRef>
              <c:f>'decomposition at mean'!$B$56</c:f>
              <c:strCache>
                <c:ptCount val="1"/>
                <c:pt idx="0">
                  <c:v>Explained</c:v>
                </c:pt>
              </c:strCache>
            </c:strRef>
          </c:tx>
          <c:invertIfNegative val="0"/>
          <c:cat>
            <c:strRef>
              <c:f>'decomposition at mean'!$D$55:$H$55</c:f>
              <c:strCache>
                <c:ptCount val="5"/>
                <c:pt idx="0">
                  <c:v>Ch_Naryn</c:v>
                </c:pt>
                <c:pt idx="1">
                  <c:v>Ch_Jalalabad</c:v>
                </c:pt>
                <c:pt idx="2">
                  <c:v>Ch_Osh</c:v>
                </c:pt>
                <c:pt idx="3">
                  <c:v>Ch_Talas</c:v>
                </c:pt>
                <c:pt idx="4">
                  <c:v>Ch_Batken</c:v>
                </c:pt>
              </c:strCache>
            </c:strRef>
          </c:cat>
          <c:val>
            <c:numRef>
              <c:f>'decomposition at mean'!$D$56:$H$56</c:f>
              <c:numCache>
                <c:formatCode>General</c:formatCode>
                <c:ptCount val="5"/>
                <c:pt idx="0">
                  <c:v>0.18996590000000033</c:v>
                </c:pt>
                <c:pt idx="1">
                  <c:v>7.1495299999999998E-2</c:v>
                </c:pt>
                <c:pt idx="2">
                  <c:v>6.6219399999999998E-2</c:v>
                </c:pt>
                <c:pt idx="3">
                  <c:v>0.10689040000000002</c:v>
                </c:pt>
                <c:pt idx="4">
                  <c:v>6.9029099999999996E-2</c:v>
                </c:pt>
              </c:numCache>
            </c:numRef>
          </c:val>
        </c:ser>
        <c:ser>
          <c:idx val="1"/>
          <c:order val="1"/>
          <c:tx>
            <c:strRef>
              <c:f>'decomposition at mean'!$B$57</c:f>
              <c:strCache>
                <c:ptCount val="1"/>
                <c:pt idx="0">
                  <c:v>Unexplained</c:v>
                </c:pt>
              </c:strCache>
            </c:strRef>
          </c:tx>
          <c:spPr>
            <a:solidFill>
              <a:srgbClr val="F79646">
                <a:lumMod val="60000"/>
                <a:lumOff val="40000"/>
              </a:srgbClr>
            </a:solidFill>
          </c:spPr>
          <c:invertIfNegative val="0"/>
          <c:cat>
            <c:strRef>
              <c:f>'decomposition at mean'!$D$55:$H$55</c:f>
              <c:strCache>
                <c:ptCount val="5"/>
                <c:pt idx="0">
                  <c:v>Ch_Naryn</c:v>
                </c:pt>
                <c:pt idx="1">
                  <c:v>Ch_Jalalabad</c:v>
                </c:pt>
                <c:pt idx="2">
                  <c:v>Ch_Osh</c:v>
                </c:pt>
                <c:pt idx="3">
                  <c:v>Ch_Talas</c:v>
                </c:pt>
                <c:pt idx="4">
                  <c:v>Ch_Batken</c:v>
                </c:pt>
              </c:strCache>
            </c:strRef>
          </c:cat>
          <c:val>
            <c:numRef>
              <c:f>'decomposition at mean'!$D$57:$H$57</c:f>
              <c:numCache>
                <c:formatCode>General</c:formatCode>
                <c:ptCount val="5"/>
                <c:pt idx="0">
                  <c:v>7.09366000000001E-2</c:v>
                </c:pt>
                <c:pt idx="1">
                  <c:v>0.13460659999999997</c:v>
                </c:pt>
                <c:pt idx="2">
                  <c:v>0.10299759999999998</c:v>
                </c:pt>
                <c:pt idx="3">
                  <c:v>5.89528E-2</c:v>
                </c:pt>
                <c:pt idx="4">
                  <c:v>2.296430000000001E-2</c:v>
                </c:pt>
              </c:numCache>
            </c:numRef>
          </c:val>
        </c:ser>
        <c:dLbls>
          <c:showLegendKey val="0"/>
          <c:showVal val="0"/>
          <c:showCatName val="0"/>
          <c:showSerName val="0"/>
          <c:showPercent val="0"/>
          <c:showBubbleSize val="0"/>
        </c:dLbls>
        <c:gapWidth val="150"/>
        <c:overlap val="100"/>
        <c:axId val="170587264"/>
        <c:axId val="170588800"/>
      </c:barChart>
      <c:catAx>
        <c:axId val="170587264"/>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170588800"/>
        <c:crosses val="autoZero"/>
        <c:auto val="1"/>
        <c:lblAlgn val="ctr"/>
        <c:lblOffset val="100"/>
        <c:tickLblSkip val="1"/>
        <c:tickMarkSkip val="1"/>
        <c:noMultiLvlLbl val="0"/>
      </c:catAx>
      <c:valAx>
        <c:axId val="170588800"/>
        <c:scaling>
          <c:orientation val="minMax"/>
        </c:scaling>
        <c:delete val="0"/>
        <c:axPos val="l"/>
        <c:majorGridlines/>
        <c:title>
          <c:tx>
            <c:rich>
              <a:bodyPr rot="-5400000" vert="horz"/>
              <a:lstStyle/>
              <a:p>
                <a:pPr>
                  <a:defRPr b="0"/>
                </a:pPr>
                <a:r>
                  <a:rPr lang="en-US" b="0"/>
                  <a:t>log welfare ratio</a:t>
                </a:r>
              </a:p>
            </c:rich>
          </c:tx>
          <c:layout>
            <c:manualLayout>
              <c:xMode val="edge"/>
              <c:yMode val="edge"/>
              <c:x val="1.6621485364182918E-2"/>
              <c:y val="0.18358336786849069"/>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70587264"/>
        <c:crosses val="autoZero"/>
        <c:crossBetween val="between"/>
      </c:valAx>
    </c:plotArea>
    <c:legend>
      <c:legendPos val="r"/>
      <c:layout>
        <c:manualLayout>
          <c:xMode val="edge"/>
          <c:yMode val="edge"/>
          <c:x val="0.57310105166373182"/>
          <c:y val="4.8035036919685033E-2"/>
          <c:w val="0.28947451078933384"/>
          <c:h val="0.20087379075504647"/>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51608578397272"/>
          <c:y val="6.6084054308026413E-2"/>
          <c:w val="0.7210671946949655"/>
          <c:h val="0.84267651728719273"/>
        </c:manualLayout>
      </c:layout>
      <c:barChart>
        <c:barDir val="col"/>
        <c:grouping val="stacked"/>
        <c:varyColors val="0"/>
        <c:ser>
          <c:idx val="0"/>
          <c:order val="0"/>
          <c:tx>
            <c:strRef>
              <c:f>'decomposition at mean'!$E$83</c:f>
              <c:strCache>
                <c:ptCount val="1"/>
                <c:pt idx="0">
                  <c:v>Explained</c:v>
                </c:pt>
              </c:strCache>
            </c:strRef>
          </c:tx>
          <c:invertIfNegative val="0"/>
          <c:cat>
            <c:strRef>
              <c:f>('decomposition at mean'!$G$82:$H$82,'decomposition at mean'!$J$82)</c:f>
              <c:strCache>
                <c:ptCount val="3"/>
                <c:pt idx="0">
                  <c:v>Naryn</c:v>
                </c:pt>
                <c:pt idx="1">
                  <c:v>Batken</c:v>
                </c:pt>
                <c:pt idx="2">
                  <c:v>Chui</c:v>
                </c:pt>
              </c:strCache>
            </c:strRef>
          </c:cat>
          <c:val>
            <c:numRef>
              <c:f>('decomposition at mean'!$G$83:$H$83,'decomposition at mean'!$J$83)</c:f>
              <c:numCache>
                <c:formatCode>General</c:formatCode>
                <c:ptCount val="3"/>
                <c:pt idx="0">
                  <c:v>0.17317730000000001</c:v>
                </c:pt>
                <c:pt idx="1">
                  <c:v>0.10242380000000002</c:v>
                </c:pt>
                <c:pt idx="2">
                  <c:v>0.1108005</c:v>
                </c:pt>
              </c:numCache>
            </c:numRef>
          </c:val>
        </c:ser>
        <c:ser>
          <c:idx val="1"/>
          <c:order val="1"/>
          <c:tx>
            <c:strRef>
              <c:f>'decomposition at mean'!$E$84</c:f>
              <c:strCache>
                <c:ptCount val="1"/>
                <c:pt idx="0">
                  <c:v>Unexplained</c:v>
                </c:pt>
              </c:strCache>
            </c:strRef>
          </c:tx>
          <c:spPr>
            <a:solidFill>
              <a:srgbClr val="F79646">
                <a:lumMod val="60000"/>
                <a:lumOff val="40000"/>
              </a:srgbClr>
            </a:solidFill>
          </c:spPr>
          <c:invertIfNegative val="0"/>
          <c:cat>
            <c:strRef>
              <c:f>('decomposition at mean'!$G$82:$H$82,'decomposition at mean'!$J$82)</c:f>
              <c:strCache>
                <c:ptCount val="3"/>
                <c:pt idx="0">
                  <c:v>Naryn</c:v>
                </c:pt>
                <c:pt idx="1">
                  <c:v>Batken</c:v>
                </c:pt>
                <c:pt idx="2">
                  <c:v>Chui</c:v>
                </c:pt>
              </c:strCache>
            </c:strRef>
          </c:cat>
          <c:val>
            <c:numRef>
              <c:f>('decomposition at mean'!$G$84:$H$84,'decomposition at mean'!$J$84)</c:f>
              <c:numCache>
                <c:formatCode>General</c:formatCode>
                <c:ptCount val="3"/>
                <c:pt idx="0">
                  <c:v>-1.2206699999999999E-2</c:v>
                </c:pt>
                <c:pt idx="1">
                  <c:v>6.9890900000000131E-2</c:v>
                </c:pt>
                <c:pt idx="2">
                  <c:v>7.7958000000000072E-3</c:v>
                </c:pt>
              </c:numCache>
            </c:numRef>
          </c:val>
        </c:ser>
        <c:dLbls>
          <c:showLegendKey val="0"/>
          <c:showVal val="0"/>
          <c:showCatName val="0"/>
          <c:showSerName val="0"/>
          <c:showPercent val="0"/>
          <c:showBubbleSize val="0"/>
        </c:dLbls>
        <c:gapWidth val="150"/>
        <c:overlap val="100"/>
        <c:axId val="171151360"/>
        <c:axId val="171152896"/>
      </c:barChart>
      <c:catAx>
        <c:axId val="171151360"/>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171152896"/>
        <c:crosses val="autoZero"/>
        <c:auto val="1"/>
        <c:lblAlgn val="ctr"/>
        <c:lblOffset val="100"/>
        <c:tickLblSkip val="1"/>
        <c:tickMarkSkip val="1"/>
        <c:noMultiLvlLbl val="0"/>
      </c:catAx>
      <c:valAx>
        <c:axId val="171152896"/>
        <c:scaling>
          <c:orientation val="minMax"/>
        </c:scaling>
        <c:delete val="0"/>
        <c:axPos val="l"/>
        <c:majorGridlines/>
        <c:title>
          <c:tx>
            <c:rich>
              <a:bodyPr rot="-5400000" vert="horz"/>
              <a:lstStyle/>
              <a:p>
                <a:pPr>
                  <a:defRPr/>
                </a:pPr>
                <a:r>
                  <a:rPr lang="en-US"/>
                  <a:t>log welfare ratio </a:t>
                </a:r>
              </a:p>
            </c:rich>
          </c:tx>
          <c:overlay val="0"/>
        </c:title>
        <c:numFmt formatCode="General" sourceLinked="1"/>
        <c:majorTickMark val="out"/>
        <c:minorTickMark val="none"/>
        <c:tickLblPos val="nextTo"/>
        <c:txPr>
          <a:bodyPr rot="0" vert="horz"/>
          <a:lstStyle/>
          <a:p>
            <a:pPr>
              <a:defRPr/>
            </a:pPr>
            <a:endParaRPr lang="en-US"/>
          </a:p>
        </c:txPr>
        <c:crossAx val="171151360"/>
        <c:crosses val="autoZero"/>
        <c:crossBetween val="between"/>
      </c:valAx>
    </c:plotArea>
    <c:legend>
      <c:legendPos val="r"/>
      <c:layout>
        <c:manualLayout>
          <c:xMode val="edge"/>
          <c:yMode val="edge"/>
          <c:x val="0.81508242707382594"/>
          <c:y val="0.33012993746152108"/>
          <c:w val="0.17054055865806558"/>
          <c:h val="0.25099283885810569"/>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0.18545</cdr:x>
      <cdr:y>0.16011</cdr:y>
    </cdr:from>
    <cdr:to>
      <cdr:x>0.34325</cdr:x>
      <cdr:y>0.61952</cdr:y>
    </cdr:to>
    <cdr:sp macro="" textlink="">
      <cdr:nvSpPr>
        <cdr:cNvPr id="5" name="Straight Arrow Connector 4"/>
        <cdr:cNvSpPr/>
      </cdr:nvSpPr>
      <cdr:spPr>
        <a:xfrm xmlns:a="http://schemas.openxmlformats.org/drawingml/2006/main" flipV="1">
          <a:off x="914986" y="524617"/>
          <a:ext cx="778578" cy="1505303"/>
        </a:xfrm>
        <a:prstGeom xmlns:a="http://schemas.openxmlformats.org/drawingml/2006/main" prst="straightConnector1">
          <a:avLst/>
        </a:prstGeom>
        <a:ln xmlns:a="http://schemas.openxmlformats.org/drawingml/2006/main" w="15875">
          <a:solidFill>
            <a:schemeClr val="tx1"/>
          </a:solidFill>
          <a:prstDash val="sys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0.55213</cdr:x>
      <cdr:y>0.26509</cdr:y>
    </cdr:from>
    <cdr:to>
      <cdr:x>0.62848</cdr:x>
      <cdr:y>0.60692</cdr:y>
    </cdr:to>
    <cdr:sp macro="" textlink="">
      <cdr:nvSpPr>
        <cdr:cNvPr id="7" name="Straight Arrow Connector 6"/>
        <cdr:cNvSpPr/>
      </cdr:nvSpPr>
      <cdr:spPr>
        <a:xfrm xmlns:a="http://schemas.openxmlformats.org/drawingml/2006/main" flipV="1">
          <a:off x="2495550" y="723900"/>
          <a:ext cx="363438" cy="942975"/>
        </a:xfrm>
        <a:prstGeom xmlns:a="http://schemas.openxmlformats.org/drawingml/2006/main" prst="straightConnector1">
          <a:avLst/>
        </a:prstGeom>
        <a:ln xmlns:a="http://schemas.openxmlformats.org/drawingml/2006/main" w="15875">
          <a:solidFill>
            <a:schemeClr val="tx1"/>
          </a:solidFill>
          <a:prstDash val="sys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0.24458</cdr:x>
      <cdr:y>0.1504</cdr:y>
    </cdr:from>
    <cdr:to>
      <cdr:x>0.3096</cdr:x>
      <cdr:y>0.64488</cdr:y>
    </cdr:to>
    <cdr:sp macro="" textlink="">
      <cdr:nvSpPr>
        <cdr:cNvPr id="5" name="Straight Arrow Connector 4"/>
        <cdr:cNvSpPr/>
      </cdr:nvSpPr>
      <cdr:spPr>
        <a:xfrm xmlns:a="http://schemas.openxmlformats.org/drawingml/2006/main">
          <a:off x="752475" y="323850"/>
          <a:ext cx="200025" cy="1028700"/>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0.24237</cdr:x>
      <cdr:y>0.23804</cdr:y>
    </cdr:from>
    <cdr:to>
      <cdr:x>0.26601</cdr:x>
      <cdr:y>0.50479</cdr:y>
    </cdr:to>
    <cdr:sp macro="" textlink="">
      <cdr:nvSpPr>
        <cdr:cNvPr id="3" name="Straight Arrow Connector 2"/>
        <cdr:cNvSpPr/>
      </cdr:nvSpPr>
      <cdr:spPr>
        <a:xfrm xmlns:a="http://schemas.openxmlformats.org/drawingml/2006/main">
          <a:off x="780285" y="553236"/>
          <a:ext cx="76108" cy="619954"/>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0.84197</cdr:x>
      <cdr:y>0.06811</cdr:y>
    </cdr:from>
    <cdr:to>
      <cdr:x>0.85775</cdr:x>
      <cdr:y>0.30942</cdr:y>
    </cdr:to>
    <cdr:sp macro="" textlink="">
      <cdr:nvSpPr>
        <cdr:cNvPr id="3" name="Right Brace 2"/>
        <cdr:cNvSpPr/>
      </cdr:nvSpPr>
      <cdr:spPr>
        <a:xfrm xmlns:a="http://schemas.openxmlformats.org/drawingml/2006/main">
          <a:off x="2437995" y="144677"/>
          <a:ext cx="45719" cy="512548"/>
        </a:xfrm>
        <a:prstGeom xmlns:a="http://schemas.openxmlformats.org/drawingml/2006/main" prst="rightBrac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0.49748</cdr:x>
      <cdr:y>0.16721</cdr:y>
    </cdr:from>
    <cdr:to>
      <cdr:x>0.63713</cdr:x>
      <cdr:y>0.33455</cdr:y>
    </cdr:to>
    <cdr:sp macro="" textlink="">
      <cdr:nvSpPr>
        <cdr:cNvPr id="4" name="TextBox 3"/>
        <cdr:cNvSpPr txBox="1"/>
      </cdr:nvSpPr>
      <cdr:spPr>
        <a:xfrm xmlns:a="http://schemas.openxmlformats.org/drawingml/2006/main">
          <a:off x="1637603" y="340510"/>
          <a:ext cx="448372" cy="3262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46%</a:t>
          </a:r>
        </a:p>
      </cdr:txBody>
    </cdr:sp>
  </cdr:relSizeAnchor>
  <cdr:relSizeAnchor xmlns:cdr="http://schemas.openxmlformats.org/drawingml/2006/chartDrawing">
    <cdr:from>
      <cdr:x>0.8538</cdr:x>
      <cdr:y>0.0625</cdr:y>
    </cdr:from>
    <cdr:to>
      <cdr:x>0.99371</cdr:x>
      <cdr:y>0.28571</cdr:y>
    </cdr:to>
    <cdr:sp macro="" textlink="">
      <cdr:nvSpPr>
        <cdr:cNvPr id="5" name="TextBox 1"/>
        <cdr:cNvSpPr txBox="1"/>
      </cdr:nvSpPr>
      <cdr:spPr>
        <a:xfrm xmlns:a="http://schemas.openxmlformats.org/drawingml/2006/main">
          <a:off x="2586121" y="133350"/>
          <a:ext cx="423780" cy="4762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t> </a:t>
          </a:r>
        </a:p>
        <a:p xmlns:a="http://schemas.openxmlformats.org/drawingml/2006/main">
          <a:r>
            <a:rPr lang="en-US" sz="1000"/>
            <a:t>36%</a:t>
          </a:r>
        </a:p>
      </cdr:txBody>
    </cdr:sp>
  </cdr:relSizeAnchor>
  <cdr:relSizeAnchor xmlns:cdr="http://schemas.openxmlformats.org/drawingml/2006/chartDrawing">
    <cdr:from>
      <cdr:x>0.47874</cdr:x>
      <cdr:y>0.05846</cdr:y>
    </cdr:from>
    <cdr:to>
      <cdr:x>0.51687</cdr:x>
      <cdr:y>0.34927</cdr:y>
    </cdr:to>
    <cdr:sp macro="" textlink="">
      <cdr:nvSpPr>
        <cdr:cNvPr id="6" name="Right Brace 1"/>
        <cdr:cNvSpPr/>
      </cdr:nvSpPr>
      <cdr:spPr>
        <a:xfrm xmlns:a="http://schemas.openxmlformats.org/drawingml/2006/main">
          <a:off x="1450072" y="124721"/>
          <a:ext cx="115515" cy="620486"/>
        </a:xfrm>
        <a:prstGeom xmlns:a="http://schemas.openxmlformats.org/drawingml/2006/main" prst="rightBrac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CE4D-9338-4D76-874C-C47355D1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5052</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Russian Federation Country Gender Profile:</vt:lpstr>
    </vt:vector>
  </TitlesOfParts>
  <Company>The World Bank Group</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Country Gender Profile:</dc:title>
  <dc:subject>A country with mixed gender inequalities</dc:subject>
  <dc:creator>Elisa Gamberoni and Josefina Posadas</dc:creator>
  <cp:lastModifiedBy>Jurgita Campbell</cp:lastModifiedBy>
  <cp:revision>3</cp:revision>
  <cp:lastPrinted>2013-04-11T15:34:00Z</cp:lastPrinted>
  <dcterms:created xsi:type="dcterms:W3CDTF">2013-04-11T14:20:00Z</dcterms:created>
  <dcterms:modified xsi:type="dcterms:W3CDTF">2013-04-11T15:35:00Z</dcterms:modified>
</cp:coreProperties>
</file>