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56B" w:rsidRPr="00976BFF" w:rsidRDefault="00DF0162" w:rsidP="003567E2">
      <w:pPr>
        <w:spacing w:after="0" w:line="240" w:lineRule="auto"/>
        <w:jc w:val="center"/>
        <w:rPr>
          <w:rFonts w:ascii="Times New Roman" w:hAnsi="Times New Roman" w:cs="Times New Roman"/>
          <w:lang w:val="es-ES_tradnl"/>
        </w:rPr>
      </w:pPr>
      <w:bookmarkStart w:id="0" w:name="_GoBack"/>
      <w:bookmarkEnd w:id="0"/>
      <w:r w:rsidRPr="00976BFF">
        <w:rPr>
          <w:rFonts w:ascii="Times New Roman" w:hAnsi="Times New Roman" w:cs="Times New Roman"/>
          <w:lang w:val="es-ES_tradnl"/>
        </w:rPr>
        <w:t>Document</w:t>
      </w:r>
      <w:r w:rsidR="005C75DA" w:rsidRPr="00976BFF">
        <w:rPr>
          <w:rFonts w:ascii="Times New Roman" w:hAnsi="Times New Roman" w:cs="Times New Roman"/>
          <w:lang w:val="es-ES_tradnl"/>
        </w:rPr>
        <w:t xml:space="preserve">o del </w:t>
      </w:r>
    </w:p>
    <w:p w:rsidR="00DF0162" w:rsidRPr="00976BFF" w:rsidRDefault="005C75DA" w:rsidP="003567E2">
      <w:pPr>
        <w:spacing w:after="0" w:line="240" w:lineRule="auto"/>
        <w:jc w:val="center"/>
        <w:rPr>
          <w:rFonts w:ascii="Times New Roman" w:hAnsi="Times New Roman" w:cs="Times New Roman"/>
          <w:lang w:val="es-ES_tradnl"/>
        </w:rPr>
      </w:pPr>
      <w:r w:rsidRPr="00976BFF">
        <w:rPr>
          <w:rFonts w:ascii="Times New Roman" w:hAnsi="Times New Roman" w:cs="Times New Roman"/>
          <w:lang w:val="es-ES_tradnl"/>
        </w:rPr>
        <w:t>Banco Mundial</w:t>
      </w:r>
    </w:p>
    <w:p w:rsidR="00DF0162" w:rsidRPr="00976BFF" w:rsidRDefault="00DF0162" w:rsidP="00FF7EE4">
      <w:pPr>
        <w:autoSpaceDE w:val="0"/>
        <w:autoSpaceDN w:val="0"/>
        <w:adjustRightInd w:val="0"/>
        <w:spacing w:line="240" w:lineRule="atLeast"/>
        <w:jc w:val="center"/>
        <w:rPr>
          <w:rFonts w:ascii="Times New Roman" w:hAnsi="Times New Roman" w:cs="Times New Roman"/>
          <w:caps/>
          <w:color w:val="000000"/>
          <w:lang w:val="es-ES_tradnl"/>
        </w:rPr>
      </w:pPr>
    </w:p>
    <w:p w:rsidR="00DF0162" w:rsidRPr="00976BFF" w:rsidRDefault="005C75DA" w:rsidP="00FF7EE4">
      <w:pPr>
        <w:autoSpaceDE w:val="0"/>
        <w:autoSpaceDN w:val="0"/>
        <w:adjustRightInd w:val="0"/>
        <w:spacing w:line="240" w:lineRule="atLeast"/>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EXCLUSIVAMENTE PARA USO OFICIAL</w:t>
      </w:r>
    </w:p>
    <w:p w:rsidR="00F9756B" w:rsidRPr="00976BFF" w:rsidRDefault="00F9756B" w:rsidP="00FF7EE4">
      <w:pPr>
        <w:autoSpaceDE w:val="0"/>
        <w:autoSpaceDN w:val="0"/>
        <w:adjustRightInd w:val="0"/>
        <w:spacing w:line="240" w:lineRule="atLeast"/>
        <w:jc w:val="center"/>
        <w:rPr>
          <w:rFonts w:ascii="Times New Roman" w:hAnsi="Times New Roman" w:cs="Times New Roman"/>
          <w:caps/>
          <w:color w:val="000000"/>
          <w:lang w:val="es-ES_tradnl"/>
        </w:rPr>
      </w:pPr>
    </w:p>
    <w:p w:rsidR="00DF0162" w:rsidRPr="00976BFF" w:rsidRDefault="00DF0162" w:rsidP="00FF7EE4">
      <w:pPr>
        <w:autoSpaceDE w:val="0"/>
        <w:autoSpaceDN w:val="0"/>
        <w:adjustRightInd w:val="0"/>
        <w:spacing w:line="240" w:lineRule="atLeast"/>
        <w:jc w:val="center"/>
        <w:rPr>
          <w:rFonts w:ascii="Times New Roman" w:hAnsi="Times New Roman" w:cs="Times New Roman"/>
          <w:caps/>
          <w:color w:val="000000"/>
          <w:lang w:val="es-ES_tradnl"/>
        </w:rPr>
      </w:pPr>
    </w:p>
    <w:p w:rsidR="003567E2" w:rsidRPr="00976BFF" w:rsidRDefault="005C75DA" w:rsidP="003567E2">
      <w:pPr>
        <w:autoSpaceDE w:val="0"/>
        <w:autoSpaceDN w:val="0"/>
        <w:adjustRightInd w:val="0"/>
        <w:spacing w:line="240" w:lineRule="atLeast"/>
        <w:jc w:val="right"/>
        <w:rPr>
          <w:rFonts w:ascii="Times New Roman" w:hAnsi="Times New Roman" w:cs="Times New Roman"/>
          <w:caps/>
          <w:color w:val="000000"/>
          <w:lang w:val="es-ES_tradnl"/>
        </w:rPr>
      </w:pPr>
      <w:bookmarkStart w:id="1" w:name="_top"/>
      <w:bookmarkEnd w:id="1"/>
      <w:r w:rsidRPr="00976BFF">
        <w:rPr>
          <w:rFonts w:ascii="Times New Roman" w:hAnsi="Times New Roman" w:cs="Times New Roman"/>
          <w:lang w:val="es-ES_tradnl"/>
        </w:rPr>
        <w:t>Informe n.</w:t>
      </w:r>
      <w:r w:rsidRPr="00976BFF">
        <w:rPr>
          <w:rFonts w:ascii="Times New Roman" w:hAnsi="Times New Roman" w:cs="Times New Roman"/>
          <w:vertAlign w:val="superscript"/>
          <w:lang w:val="es-ES_tradnl"/>
        </w:rPr>
        <w:t>o</w:t>
      </w:r>
      <w:r w:rsidR="003567E2" w:rsidRPr="00976BFF">
        <w:rPr>
          <w:rFonts w:ascii="Times New Roman" w:hAnsi="Times New Roman" w:cs="Times New Roman"/>
          <w:caps/>
          <w:color w:val="000000"/>
          <w:lang w:val="es-ES_tradnl"/>
        </w:rPr>
        <w:t xml:space="preserve">: 70043-UY </w:t>
      </w:r>
    </w:p>
    <w:p w:rsidR="003567E2" w:rsidRPr="00976BFF" w:rsidRDefault="003567E2" w:rsidP="00FF7EE4">
      <w:pPr>
        <w:autoSpaceDE w:val="0"/>
        <w:autoSpaceDN w:val="0"/>
        <w:adjustRightInd w:val="0"/>
        <w:spacing w:line="240" w:lineRule="atLeast"/>
        <w:jc w:val="center"/>
        <w:rPr>
          <w:rFonts w:ascii="Times New Roman" w:hAnsi="Times New Roman" w:cs="Times New Roman"/>
          <w:caps/>
          <w:color w:val="000000"/>
          <w:lang w:val="es-ES_tradnl"/>
        </w:rPr>
      </w:pPr>
    </w:p>
    <w:p w:rsidR="00FF7EE4"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 xml:space="preserve">DOCUMENTO DE EVALUACIÓN </w:t>
      </w:r>
      <w:r w:rsidRPr="006D29B7">
        <w:rPr>
          <w:rFonts w:ascii="Times New Roman" w:hAnsi="Times New Roman" w:cs="Times New Roman"/>
          <w:caps/>
          <w:color w:val="000000"/>
          <w:lang w:val="es-ES_tradnl"/>
        </w:rPr>
        <w:t>INICIAL</w:t>
      </w:r>
      <w:r w:rsidRPr="00976BFF">
        <w:rPr>
          <w:rFonts w:ascii="Times New Roman" w:hAnsi="Times New Roman" w:cs="Times New Roman"/>
          <w:caps/>
          <w:color w:val="000000"/>
          <w:lang w:val="es-ES_tradnl"/>
        </w:rPr>
        <w:t xml:space="preserve"> DEL </w:t>
      </w:r>
      <w:r w:rsidR="001D2940" w:rsidRPr="00976BFF">
        <w:rPr>
          <w:rFonts w:ascii="Times New Roman" w:hAnsi="Times New Roman" w:cs="Times New Roman"/>
          <w:caps/>
          <w:color w:val="000000"/>
          <w:lang w:val="es-ES_tradnl"/>
        </w:rPr>
        <w:t>Program</w:t>
      </w:r>
      <w:r w:rsidRPr="00976BFF">
        <w:rPr>
          <w:rFonts w:ascii="Times New Roman" w:hAnsi="Times New Roman" w:cs="Times New Roman"/>
          <w:caps/>
          <w:color w:val="000000"/>
          <w:lang w:val="es-ES_tradnl"/>
        </w:rPr>
        <w:t>A</w:t>
      </w:r>
      <w:r w:rsidR="001D2940" w:rsidRPr="00976BFF">
        <w:rPr>
          <w:rFonts w:ascii="Times New Roman" w:hAnsi="Times New Roman" w:cs="Times New Roman"/>
          <w:caps/>
          <w:color w:val="000000"/>
          <w:lang w:val="es-ES_tradnl"/>
        </w:rPr>
        <w:t xml:space="preserve"> </w:t>
      </w:r>
    </w:p>
    <w:p w:rsidR="003567E2" w:rsidRPr="00976BFF" w:rsidRDefault="003567E2"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3567E2"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SOBRE UN</w:t>
      </w:r>
      <w:r w:rsidR="00644BD6" w:rsidRPr="00976BFF">
        <w:rPr>
          <w:rFonts w:ascii="Times New Roman" w:hAnsi="Times New Roman" w:cs="Times New Roman"/>
          <w:caps/>
          <w:color w:val="000000"/>
          <w:lang w:val="es-ES_tradnl"/>
        </w:rPr>
        <w:t xml:space="preserve"> </w:t>
      </w:r>
    </w:p>
    <w:p w:rsidR="003567E2" w:rsidRPr="00976BFF" w:rsidRDefault="003567E2"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FF7EE4"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 xml:space="preserve">PRÉSTAMO </w:t>
      </w:r>
      <w:r w:rsidR="001D2940" w:rsidRPr="00976BFF">
        <w:rPr>
          <w:rFonts w:ascii="Times New Roman" w:hAnsi="Times New Roman" w:cs="Times New Roman"/>
          <w:caps/>
          <w:color w:val="000000"/>
          <w:lang w:val="es-ES_tradnl"/>
        </w:rPr>
        <w:t>PROP</w:t>
      </w:r>
      <w:r w:rsidRPr="00976BFF">
        <w:rPr>
          <w:rFonts w:ascii="Times New Roman" w:hAnsi="Times New Roman" w:cs="Times New Roman"/>
          <w:caps/>
          <w:color w:val="000000"/>
          <w:lang w:val="es-ES_tradnl"/>
        </w:rPr>
        <w:t>UESTO</w:t>
      </w:r>
    </w:p>
    <w:p w:rsidR="00FF7EE4" w:rsidRPr="00976BFF" w:rsidRDefault="00FF7EE4"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FF7EE4"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 xml:space="preserve">POR </w:t>
      </w:r>
      <w:r w:rsidR="00E32486" w:rsidRPr="00976BFF">
        <w:rPr>
          <w:rFonts w:ascii="Times New Roman" w:hAnsi="Times New Roman" w:cs="Times New Roman"/>
          <w:caps/>
          <w:color w:val="000000"/>
          <w:lang w:val="es-ES_tradnl"/>
        </w:rPr>
        <w:t>UN MONTO</w:t>
      </w:r>
      <w:r w:rsidRPr="00976BFF">
        <w:rPr>
          <w:rFonts w:ascii="Times New Roman" w:hAnsi="Times New Roman" w:cs="Times New Roman"/>
          <w:caps/>
          <w:color w:val="000000"/>
          <w:lang w:val="es-ES_tradnl"/>
        </w:rPr>
        <w:t xml:space="preserve"> DE </w:t>
      </w:r>
      <w:r w:rsidR="00644BD6" w:rsidRPr="00976BFF">
        <w:rPr>
          <w:rFonts w:ascii="Times New Roman" w:hAnsi="Times New Roman" w:cs="Times New Roman"/>
          <w:caps/>
          <w:color w:val="000000"/>
          <w:lang w:val="es-ES_tradnl"/>
        </w:rPr>
        <w:t>US$66 MILLON</w:t>
      </w:r>
      <w:r w:rsidRPr="00976BFF">
        <w:rPr>
          <w:rFonts w:ascii="Times New Roman" w:hAnsi="Times New Roman" w:cs="Times New Roman"/>
          <w:caps/>
          <w:color w:val="000000"/>
          <w:lang w:val="es-ES_tradnl"/>
        </w:rPr>
        <w:t>ES</w:t>
      </w:r>
      <w:r w:rsidR="00644BD6" w:rsidRPr="00976BFF">
        <w:rPr>
          <w:rFonts w:ascii="Times New Roman" w:hAnsi="Times New Roman" w:cs="Times New Roman"/>
          <w:caps/>
          <w:color w:val="000000"/>
          <w:lang w:val="es-ES_tradnl"/>
        </w:rPr>
        <w:t xml:space="preserve"> </w:t>
      </w:r>
    </w:p>
    <w:p w:rsidR="003567E2" w:rsidRPr="00976BFF" w:rsidRDefault="003567E2"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3567E2" w:rsidRPr="00976BFF" w:rsidRDefault="003567E2" w:rsidP="003567E2">
      <w:pPr>
        <w:autoSpaceDE w:val="0"/>
        <w:autoSpaceDN w:val="0"/>
        <w:adjustRightInd w:val="0"/>
        <w:spacing w:after="0" w:line="240" w:lineRule="auto"/>
        <w:jc w:val="center"/>
        <w:rPr>
          <w:rFonts w:ascii="Times New Roman" w:hAnsi="Times New Roman" w:cs="Times New Roman"/>
          <w:caps/>
          <w:noProof/>
          <w:color w:val="000000"/>
          <w:lang w:val="es-ES_tradnl"/>
        </w:rPr>
      </w:pPr>
    </w:p>
    <w:p w:rsidR="003567E2"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EN FAVOR DE LA</w:t>
      </w:r>
      <w:r w:rsidR="00644BD6" w:rsidRPr="00976BFF">
        <w:rPr>
          <w:rFonts w:ascii="Times New Roman" w:hAnsi="Times New Roman" w:cs="Times New Roman"/>
          <w:caps/>
          <w:color w:val="000000"/>
          <w:lang w:val="es-ES_tradnl"/>
        </w:rPr>
        <w:t xml:space="preserve"> </w:t>
      </w:r>
    </w:p>
    <w:p w:rsidR="003567E2" w:rsidRPr="00976BFF" w:rsidRDefault="003567E2"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644BD6"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 xml:space="preserve">REPÚBLICA ORIENTAL DEL </w:t>
      </w:r>
      <w:r w:rsidR="00644BD6" w:rsidRPr="00976BFF">
        <w:rPr>
          <w:rFonts w:ascii="Times New Roman" w:hAnsi="Times New Roman" w:cs="Times New Roman"/>
          <w:caps/>
          <w:color w:val="000000"/>
          <w:lang w:val="es-ES_tradnl"/>
        </w:rPr>
        <w:t>URUGUAY</w:t>
      </w:r>
    </w:p>
    <w:p w:rsidR="00FF7EE4" w:rsidRPr="00976BFF" w:rsidRDefault="00FF7EE4"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FF7EE4" w:rsidRPr="00976BFF" w:rsidRDefault="005C75DA" w:rsidP="003567E2">
      <w:pPr>
        <w:autoSpaceDE w:val="0"/>
        <w:autoSpaceDN w:val="0"/>
        <w:adjustRightInd w:val="0"/>
        <w:spacing w:after="0" w:line="240" w:lineRule="auto"/>
        <w:jc w:val="center"/>
        <w:rPr>
          <w:rFonts w:ascii="Times New Roman" w:hAnsi="Times New Roman" w:cs="Times New Roman"/>
          <w:caps/>
          <w:color w:val="000000"/>
          <w:lang w:val="es-ES_tradnl"/>
        </w:rPr>
      </w:pPr>
      <w:r w:rsidRPr="00976BFF">
        <w:rPr>
          <w:rFonts w:ascii="Times New Roman" w:hAnsi="Times New Roman" w:cs="Times New Roman"/>
          <w:caps/>
          <w:color w:val="000000"/>
          <w:lang w:val="es-ES_tradnl"/>
        </w:rPr>
        <w:t>PARA UN</w:t>
      </w:r>
    </w:p>
    <w:p w:rsidR="00FF7EE4" w:rsidRPr="00976BFF" w:rsidRDefault="00FF7EE4" w:rsidP="003567E2">
      <w:pPr>
        <w:autoSpaceDE w:val="0"/>
        <w:autoSpaceDN w:val="0"/>
        <w:adjustRightInd w:val="0"/>
        <w:spacing w:after="0" w:line="240" w:lineRule="auto"/>
        <w:jc w:val="center"/>
        <w:rPr>
          <w:rFonts w:ascii="Times New Roman" w:hAnsi="Times New Roman" w:cs="Times New Roman"/>
          <w:caps/>
          <w:color w:val="000000"/>
          <w:lang w:val="es-ES_tradnl"/>
        </w:rPr>
      </w:pPr>
    </w:p>
    <w:p w:rsidR="00FF7EE4" w:rsidRPr="00976BFF" w:rsidRDefault="005C75DA" w:rsidP="003567E2">
      <w:pPr>
        <w:autoSpaceDE w:val="0"/>
        <w:autoSpaceDN w:val="0"/>
        <w:adjustRightInd w:val="0"/>
        <w:spacing w:after="0" w:line="240" w:lineRule="auto"/>
        <w:jc w:val="center"/>
        <w:rPr>
          <w:rFonts w:ascii="Times New Roman" w:hAnsi="Times New Roman" w:cs="Times New Roman"/>
          <w:color w:val="000000"/>
          <w:lang w:val="es-ES_tradnl"/>
        </w:rPr>
      </w:pPr>
      <w:r w:rsidRPr="00976BFF">
        <w:rPr>
          <w:rFonts w:ascii="Times New Roman" w:hAnsi="Times New Roman" w:cs="Times New Roman"/>
          <w:lang w:val="es-ES_tradnl"/>
        </w:rPr>
        <w:t>PROGRAMA DE REHABILITACIÓN Y MANTENIMIENTO VIAL</w:t>
      </w:r>
    </w:p>
    <w:p w:rsidR="00FF7EE4" w:rsidRPr="00976BFF" w:rsidRDefault="00FF7EE4" w:rsidP="003567E2">
      <w:pPr>
        <w:autoSpaceDE w:val="0"/>
        <w:autoSpaceDN w:val="0"/>
        <w:adjustRightInd w:val="0"/>
        <w:spacing w:after="0" w:line="240" w:lineRule="auto"/>
        <w:jc w:val="center"/>
        <w:rPr>
          <w:rFonts w:ascii="Times New Roman" w:hAnsi="Times New Roman" w:cs="Times New Roman"/>
          <w:color w:val="000000"/>
          <w:lang w:val="es-ES_tradnl"/>
        </w:rPr>
      </w:pPr>
    </w:p>
    <w:p w:rsidR="003567E2" w:rsidRPr="00976BFF" w:rsidRDefault="003567E2" w:rsidP="003567E2">
      <w:pPr>
        <w:autoSpaceDE w:val="0"/>
        <w:autoSpaceDN w:val="0"/>
        <w:adjustRightInd w:val="0"/>
        <w:spacing w:after="0" w:line="240" w:lineRule="auto"/>
        <w:jc w:val="center"/>
        <w:rPr>
          <w:rFonts w:ascii="Times New Roman" w:hAnsi="Times New Roman" w:cs="Times New Roman"/>
          <w:color w:val="000000"/>
          <w:lang w:val="es-ES_tradnl"/>
        </w:rPr>
      </w:pPr>
    </w:p>
    <w:p w:rsidR="003567E2" w:rsidRPr="00976BFF" w:rsidRDefault="003567E2" w:rsidP="003567E2">
      <w:pPr>
        <w:autoSpaceDE w:val="0"/>
        <w:autoSpaceDN w:val="0"/>
        <w:adjustRightInd w:val="0"/>
        <w:spacing w:after="0" w:line="240" w:lineRule="auto"/>
        <w:jc w:val="center"/>
        <w:rPr>
          <w:rFonts w:ascii="Times New Roman" w:hAnsi="Times New Roman" w:cs="Times New Roman"/>
          <w:color w:val="000000"/>
          <w:lang w:val="es-ES_tradnl"/>
        </w:rPr>
      </w:pPr>
    </w:p>
    <w:p w:rsidR="00FF7EE4" w:rsidRPr="00976BFF" w:rsidRDefault="00D74AD4" w:rsidP="003567E2">
      <w:pPr>
        <w:autoSpaceDE w:val="0"/>
        <w:autoSpaceDN w:val="0"/>
        <w:adjustRightInd w:val="0"/>
        <w:spacing w:after="0" w:line="240" w:lineRule="auto"/>
        <w:jc w:val="center"/>
        <w:rPr>
          <w:rFonts w:ascii="Times New Roman" w:hAnsi="Times New Roman" w:cs="Times New Roman"/>
          <w:color w:val="000000"/>
          <w:lang w:val="es-ES_tradnl"/>
        </w:rPr>
      </w:pPr>
      <w:r w:rsidRPr="00976BFF">
        <w:rPr>
          <w:rFonts w:ascii="Times New Roman" w:hAnsi="Times New Roman" w:cs="Times New Roman"/>
          <w:color w:val="000000"/>
          <w:lang w:val="es-ES_tradnl"/>
        </w:rPr>
        <w:t>1</w:t>
      </w:r>
      <w:r w:rsidR="00156CE6" w:rsidRPr="00976BFF">
        <w:rPr>
          <w:rFonts w:ascii="Times New Roman" w:hAnsi="Times New Roman" w:cs="Times New Roman"/>
          <w:color w:val="000000"/>
          <w:lang w:val="es-ES_tradnl"/>
        </w:rPr>
        <w:t>2</w:t>
      </w:r>
      <w:r w:rsidR="005C75DA" w:rsidRPr="00976BFF">
        <w:rPr>
          <w:rFonts w:ascii="Times New Roman" w:hAnsi="Times New Roman" w:cs="Times New Roman"/>
          <w:color w:val="000000"/>
          <w:lang w:val="es-ES_tradnl"/>
        </w:rPr>
        <w:t xml:space="preserve"> DE OCTUBRE DE</w:t>
      </w:r>
      <w:r w:rsidRPr="00976BFF">
        <w:rPr>
          <w:rFonts w:ascii="Times New Roman" w:hAnsi="Times New Roman" w:cs="Times New Roman"/>
          <w:color w:val="000000"/>
          <w:lang w:val="es-ES_tradnl"/>
        </w:rPr>
        <w:t xml:space="preserve"> 2012</w:t>
      </w:r>
    </w:p>
    <w:p w:rsidR="0049646E" w:rsidRPr="00976BFF" w:rsidRDefault="0049646E" w:rsidP="00FF7EE4">
      <w:pPr>
        <w:autoSpaceDE w:val="0"/>
        <w:autoSpaceDN w:val="0"/>
        <w:adjustRightInd w:val="0"/>
        <w:spacing w:line="240" w:lineRule="atLeast"/>
        <w:jc w:val="center"/>
        <w:rPr>
          <w:rFonts w:ascii="Times New Roman" w:hAnsi="Times New Roman" w:cs="Times New Roman"/>
          <w:color w:val="000000"/>
          <w:lang w:val="es-ES_tradnl"/>
        </w:rPr>
      </w:pPr>
    </w:p>
    <w:p w:rsidR="0049646E" w:rsidRPr="00976BFF" w:rsidRDefault="0049646E" w:rsidP="00FF7EE4">
      <w:pPr>
        <w:autoSpaceDE w:val="0"/>
        <w:autoSpaceDN w:val="0"/>
        <w:adjustRightInd w:val="0"/>
        <w:spacing w:line="240" w:lineRule="atLeast"/>
        <w:jc w:val="center"/>
        <w:rPr>
          <w:rFonts w:ascii="Times New Roman" w:hAnsi="Times New Roman" w:cs="Times New Roman"/>
          <w:color w:val="000000"/>
          <w:lang w:val="es-ES_tradnl"/>
        </w:rPr>
      </w:pPr>
    </w:p>
    <w:p w:rsidR="003567E2" w:rsidRPr="00976BFF" w:rsidRDefault="005C75DA" w:rsidP="005C75DA">
      <w:pPr>
        <w:autoSpaceDE w:val="0"/>
        <w:autoSpaceDN w:val="0"/>
        <w:adjustRightInd w:val="0"/>
        <w:spacing w:after="0" w:line="240" w:lineRule="auto"/>
        <w:rPr>
          <w:rFonts w:ascii="Times New Roman" w:hAnsi="Times New Roman" w:cs="Times New Roman"/>
          <w:color w:val="000000"/>
          <w:lang w:val="es-ES_tradnl"/>
        </w:rPr>
      </w:pPr>
      <w:r w:rsidRPr="00976BFF">
        <w:rPr>
          <w:rFonts w:ascii="Times New Roman" w:hAnsi="Times New Roman" w:cs="Times New Roman"/>
          <w:color w:val="000000"/>
          <w:lang w:val="es-ES_tradnl"/>
        </w:rPr>
        <w:t>Departamento de Desarrollo Sostenible</w:t>
      </w:r>
      <w:r w:rsidR="00842A9E" w:rsidRPr="00976BFF">
        <w:rPr>
          <w:rFonts w:ascii="Times New Roman" w:hAnsi="Times New Roman" w:cs="Times New Roman"/>
          <w:color w:val="000000"/>
          <w:lang w:val="es-ES_tradnl"/>
        </w:rPr>
        <w:t xml:space="preserve"> </w:t>
      </w:r>
    </w:p>
    <w:p w:rsidR="00834DE6" w:rsidRPr="00976BFF" w:rsidRDefault="005C75DA" w:rsidP="00834DE6">
      <w:pPr>
        <w:autoSpaceDE w:val="0"/>
        <w:autoSpaceDN w:val="0"/>
        <w:adjustRightInd w:val="0"/>
        <w:spacing w:after="0"/>
        <w:rPr>
          <w:rFonts w:ascii="Times New Roman" w:hAnsi="Times New Roman" w:cs="Times New Roman"/>
          <w:color w:val="000000"/>
          <w:lang w:val="es-ES_tradnl"/>
        </w:rPr>
      </w:pPr>
      <w:r w:rsidRPr="00976BFF">
        <w:rPr>
          <w:rFonts w:ascii="Times New Roman" w:hAnsi="Times New Roman" w:cs="Times New Roman"/>
          <w:color w:val="000000"/>
          <w:lang w:val="es-ES_tradnl"/>
        </w:rPr>
        <w:t xml:space="preserve">Unidad de Gestión de </w:t>
      </w:r>
      <w:r w:rsidR="00785446" w:rsidRPr="00976BFF">
        <w:rPr>
          <w:rFonts w:ascii="Times New Roman" w:hAnsi="Times New Roman" w:cs="Times New Roman"/>
          <w:color w:val="000000"/>
          <w:lang w:val="es-ES_tradnl"/>
        </w:rPr>
        <w:t xml:space="preserve">Argentina, Paraguay </w:t>
      </w:r>
      <w:r w:rsidRPr="00976BFF">
        <w:rPr>
          <w:rFonts w:ascii="Times New Roman" w:hAnsi="Times New Roman" w:cs="Times New Roman"/>
          <w:color w:val="000000"/>
          <w:lang w:val="es-ES_tradnl"/>
        </w:rPr>
        <w:t>y</w:t>
      </w:r>
      <w:r w:rsidR="00785446" w:rsidRPr="00976BFF">
        <w:rPr>
          <w:rFonts w:ascii="Times New Roman" w:hAnsi="Times New Roman" w:cs="Times New Roman"/>
          <w:color w:val="000000"/>
          <w:lang w:val="es-ES_tradnl"/>
        </w:rPr>
        <w:t xml:space="preserve"> Uruguay </w:t>
      </w:r>
    </w:p>
    <w:p w:rsidR="00C5685F" w:rsidRPr="00976BFF" w:rsidRDefault="005C75DA" w:rsidP="00834DE6">
      <w:pPr>
        <w:autoSpaceDE w:val="0"/>
        <w:autoSpaceDN w:val="0"/>
        <w:adjustRightInd w:val="0"/>
        <w:spacing w:after="0"/>
        <w:rPr>
          <w:rFonts w:ascii="Times New Roman" w:hAnsi="Times New Roman" w:cs="Times New Roman"/>
          <w:color w:val="000000"/>
          <w:lang w:val="es-ES_tradnl"/>
        </w:rPr>
      </w:pPr>
      <w:r w:rsidRPr="00976BFF">
        <w:rPr>
          <w:rFonts w:ascii="Times New Roman" w:hAnsi="Times New Roman" w:cs="Times New Roman"/>
          <w:color w:val="000000"/>
          <w:lang w:val="es-ES_tradnl"/>
        </w:rPr>
        <w:t>Oficina Regional de América Latina y el Caribe</w:t>
      </w:r>
      <w:r w:rsidR="00842A9E" w:rsidRPr="00976BFF">
        <w:rPr>
          <w:rFonts w:ascii="Times New Roman" w:hAnsi="Times New Roman" w:cs="Times New Roman"/>
          <w:color w:val="000000"/>
          <w:lang w:val="es-ES_tradnl"/>
        </w:rPr>
        <w:t xml:space="preserve"> </w:t>
      </w:r>
    </w:p>
    <w:p w:rsidR="00C5685F" w:rsidRPr="00976BFF" w:rsidRDefault="00C5685F" w:rsidP="00FF7EE4">
      <w:pPr>
        <w:autoSpaceDE w:val="0"/>
        <w:autoSpaceDN w:val="0"/>
        <w:adjustRightInd w:val="0"/>
        <w:spacing w:line="240" w:lineRule="atLeast"/>
        <w:jc w:val="center"/>
        <w:rPr>
          <w:rFonts w:ascii="Times New Roman" w:hAnsi="Times New Roman" w:cs="Times New Roman"/>
          <w:color w:val="000000"/>
          <w:lang w:val="es-ES_tradnl"/>
        </w:rPr>
      </w:pPr>
    </w:p>
    <w:p w:rsidR="00C5685F" w:rsidRPr="00976BFF" w:rsidRDefault="00C5685F" w:rsidP="00FF7EE4">
      <w:pPr>
        <w:autoSpaceDE w:val="0"/>
        <w:autoSpaceDN w:val="0"/>
        <w:adjustRightInd w:val="0"/>
        <w:spacing w:line="240" w:lineRule="atLeast"/>
        <w:jc w:val="center"/>
        <w:rPr>
          <w:rFonts w:ascii="Times New Roman" w:hAnsi="Times New Roman" w:cs="Times New Roman"/>
          <w:color w:val="00000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F7EE4" w:rsidRPr="00AC438C">
        <w:tc>
          <w:tcPr>
            <w:tcW w:w="9576" w:type="dxa"/>
          </w:tcPr>
          <w:p w:rsidR="004F1094" w:rsidRPr="00976BFF" w:rsidRDefault="00E32486" w:rsidP="00C902A6">
            <w:pPr>
              <w:autoSpaceDE w:val="0"/>
              <w:autoSpaceDN w:val="0"/>
              <w:adjustRightInd w:val="0"/>
              <w:spacing w:line="240" w:lineRule="atLeast"/>
              <w:jc w:val="both"/>
              <w:rPr>
                <w:rFonts w:ascii="Times New Roman" w:hAnsi="Times New Roman" w:cs="Times New Roman"/>
                <w:lang w:val="es-ES_tradnl"/>
              </w:rPr>
            </w:pPr>
            <w:r w:rsidRPr="00976BFF">
              <w:rPr>
                <w:rFonts w:ascii="Times New Roman" w:hAnsi="Times New Roman" w:cs="Times New Roman"/>
                <w:lang w:val="es-ES_tradnl"/>
              </w:rPr>
              <w:t>El presente documento es de distribución restringida y puede ser usado por quienes lo reciban solo en el desempeño de sus obligaciones oficiales. Su contenido no podrá divulgarse de otro modo sin autorización del Banco Mundial</w:t>
            </w:r>
            <w:r w:rsidR="001D2940" w:rsidRPr="00976BFF">
              <w:rPr>
                <w:rFonts w:ascii="Times New Roman" w:hAnsi="Times New Roman" w:cs="Times New Roman"/>
                <w:lang w:val="es-ES_tradnl"/>
              </w:rPr>
              <w:t xml:space="preserve">. </w:t>
            </w:r>
          </w:p>
        </w:tc>
      </w:tr>
    </w:tbl>
    <w:p w:rsidR="00644BD6" w:rsidRPr="00976BFF" w:rsidRDefault="00644BD6">
      <w:pPr>
        <w:rPr>
          <w:rFonts w:ascii="Times New Roman" w:hAnsi="Times New Roman" w:cs="Times New Roman"/>
          <w:lang w:val="es-ES_tradnl"/>
        </w:rPr>
      </w:pPr>
      <w:r w:rsidRPr="00976BFF">
        <w:rPr>
          <w:rFonts w:ascii="Times New Roman" w:hAnsi="Times New Roman" w:cs="Times New Roman"/>
          <w:lang w:val="es-ES_tradnl"/>
        </w:rPr>
        <w:br w:type="page"/>
      </w:r>
    </w:p>
    <w:p w:rsidR="00FF7EE4" w:rsidRPr="00976BFF" w:rsidRDefault="00FF7EE4" w:rsidP="00FF7EE4">
      <w:pPr>
        <w:jc w:val="center"/>
        <w:rPr>
          <w:rFonts w:ascii="Times New Roman" w:hAnsi="Times New Roman" w:cs="Times New Roman"/>
          <w:lang w:val="es-ES_tradnl"/>
        </w:rPr>
      </w:pPr>
    </w:p>
    <w:p w:rsidR="002F20EB" w:rsidRPr="00976BFF" w:rsidRDefault="00E32486" w:rsidP="00DF0162">
      <w:pPr>
        <w:jc w:val="center"/>
        <w:rPr>
          <w:rFonts w:ascii="Times New Roman" w:hAnsi="Times New Roman" w:cs="Times New Roman"/>
          <w:lang w:val="es-ES_tradnl"/>
        </w:rPr>
      </w:pPr>
      <w:r w:rsidRPr="00976BFF">
        <w:rPr>
          <w:rFonts w:ascii="Times New Roman" w:hAnsi="Times New Roman" w:cs="Times New Roman"/>
          <w:lang w:val="es-ES_tradnl"/>
        </w:rPr>
        <w:t>EQUIVALENCIAS MONETARIAS</w:t>
      </w:r>
    </w:p>
    <w:p w:rsidR="00ED434D" w:rsidRPr="00976BFF" w:rsidRDefault="00ED434D" w:rsidP="00D953C1">
      <w:pPr>
        <w:jc w:val="center"/>
        <w:rPr>
          <w:rFonts w:ascii="Times New Roman" w:hAnsi="Times New Roman" w:cs="Times New Roman"/>
          <w:lang w:val="es-ES_tradnl"/>
        </w:rPr>
      </w:pPr>
      <w:r w:rsidRPr="00976BFF">
        <w:rPr>
          <w:rFonts w:ascii="Times New Roman" w:hAnsi="Times New Roman" w:cs="Times New Roman"/>
          <w:lang w:val="es-ES_tradnl"/>
        </w:rPr>
        <w:t>(</w:t>
      </w:r>
      <w:r w:rsidR="00E32486" w:rsidRPr="00976BFF">
        <w:rPr>
          <w:rFonts w:ascii="Times New Roman" w:hAnsi="Times New Roman" w:cs="Times New Roman"/>
          <w:lang w:val="es-ES_tradnl"/>
        </w:rPr>
        <w:t xml:space="preserve">Tipo de cambio vigente </w:t>
      </w:r>
      <w:r w:rsidR="00031E45">
        <w:rPr>
          <w:rFonts w:ascii="Times New Roman" w:hAnsi="Times New Roman" w:cs="Times New Roman"/>
          <w:lang w:val="es-ES_tradnl"/>
        </w:rPr>
        <w:t>a</w:t>
      </w:r>
      <w:r w:rsidR="00031E45" w:rsidRPr="00976BFF">
        <w:rPr>
          <w:rFonts w:ascii="Times New Roman" w:hAnsi="Times New Roman" w:cs="Times New Roman"/>
          <w:lang w:val="es-ES_tradnl"/>
        </w:rPr>
        <w:t xml:space="preserve">l </w:t>
      </w:r>
      <w:r w:rsidRPr="00976BFF">
        <w:rPr>
          <w:rFonts w:ascii="Times New Roman" w:hAnsi="Times New Roman" w:cs="Times New Roman"/>
          <w:lang w:val="es-ES_tradnl"/>
        </w:rPr>
        <w:t>12</w:t>
      </w:r>
      <w:r w:rsidR="00E32486" w:rsidRPr="00976BFF">
        <w:rPr>
          <w:rFonts w:ascii="Times New Roman" w:hAnsi="Times New Roman" w:cs="Times New Roman"/>
          <w:lang w:val="es-ES_tradnl"/>
        </w:rPr>
        <w:t xml:space="preserve"> de octubre de</w:t>
      </w:r>
      <w:r w:rsidRPr="00976BFF">
        <w:rPr>
          <w:rFonts w:ascii="Times New Roman" w:hAnsi="Times New Roman" w:cs="Times New Roman"/>
          <w:lang w:val="es-ES_tradnl"/>
        </w:rPr>
        <w:t xml:space="preserve"> 2012)</w:t>
      </w:r>
    </w:p>
    <w:p w:rsidR="00DF0162" w:rsidRPr="00976BFF" w:rsidRDefault="00A11339" w:rsidP="00D953C1">
      <w:pPr>
        <w:jc w:val="center"/>
        <w:rPr>
          <w:rFonts w:ascii="Times New Roman" w:hAnsi="Times New Roman" w:cs="Times New Roman"/>
          <w:lang w:val="es-ES_tradnl"/>
        </w:rPr>
      </w:pPr>
      <w:r w:rsidRPr="00976BFF">
        <w:rPr>
          <w:rFonts w:ascii="Times New Roman" w:hAnsi="Times New Roman" w:cs="Times New Roman"/>
          <w:lang w:val="es-ES_tradnl"/>
        </w:rPr>
        <w:t>US$</w:t>
      </w:r>
      <w:r w:rsidR="00644BD6" w:rsidRPr="00976BFF">
        <w:rPr>
          <w:rFonts w:ascii="Times New Roman" w:hAnsi="Times New Roman" w:cs="Times New Roman"/>
          <w:lang w:val="es-ES_tradnl"/>
        </w:rPr>
        <w:t>1 = UYU</w:t>
      </w:r>
      <w:r w:rsidRPr="00976BFF">
        <w:rPr>
          <w:rFonts w:ascii="Times New Roman" w:hAnsi="Times New Roman" w:cs="Times New Roman"/>
          <w:lang w:val="es-ES_tradnl"/>
        </w:rPr>
        <w:t xml:space="preserve"> </w:t>
      </w:r>
      <w:r w:rsidR="00D74AD4" w:rsidRPr="00976BFF">
        <w:rPr>
          <w:rFonts w:ascii="Times New Roman" w:hAnsi="Times New Roman" w:cs="Times New Roman"/>
          <w:lang w:val="es-ES_tradnl"/>
        </w:rPr>
        <w:t>20</w:t>
      </w:r>
      <w:r w:rsidR="00812DE5" w:rsidRPr="00976BFF">
        <w:rPr>
          <w:rFonts w:ascii="Times New Roman" w:hAnsi="Times New Roman" w:cs="Times New Roman"/>
          <w:lang w:val="es-ES_tradnl"/>
        </w:rPr>
        <w:t>,</w:t>
      </w:r>
      <w:r w:rsidR="00D74AD4" w:rsidRPr="00976BFF">
        <w:rPr>
          <w:rFonts w:ascii="Times New Roman" w:hAnsi="Times New Roman" w:cs="Times New Roman"/>
          <w:lang w:val="es-ES_tradnl"/>
        </w:rPr>
        <w:t>3</w:t>
      </w:r>
    </w:p>
    <w:p w:rsidR="00DF0162" w:rsidRPr="00976BFF" w:rsidRDefault="00DF0162" w:rsidP="00FF7EE4">
      <w:pPr>
        <w:rPr>
          <w:rFonts w:ascii="Times New Roman" w:hAnsi="Times New Roman" w:cs="Times New Roman"/>
          <w:lang w:val="es-ES_tradnl"/>
        </w:rPr>
      </w:pPr>
    </w:p>
    <w:p w:rsidR="00DF0162" w:rsidRPr="00976BFF" w:rsidRDefault="00812DE5" w:rsidP="00DF0162">
      <w:pPr>
        <w:jc w:val="center"/>
        <w:rPr>
          <w:rFonts w:ascii="Times New Roman" w:hAnsi="Times New Roman" w:cs="Times New Roman"/>
          <w:lang w:val="es-ES_tradnl"/>
        </w:rPr>
      </w:pPr>
      <w:r w:rsidRPr="00976BFF">
        <w:rPr>
          <w:rFonts w:ascii="Times New Roman" w:hAnsi="Times New Roman" w:cs="Times New Roman"/>
          <w:lang w:val="es-ES_tradnl"/>
        </w:rPr>
        <w:t>SIGLAS Y ABREVIATURAS</w:t>
      </w:r>
    </w:p>
    <w:tbl>
      <w:tblPr>
        <w:tblStyle w:val="TableGrid"/>
        <w:tblW w:w="0" w:type="auto"/>
        <w:tblLook w:val="04A0" w:firstRow="1" w:lastRow="0" w:firstColumn="1" w:lastColumn="0" w:noHBand="0" w:noVBand="1"/>
      </w:tblPr>
      <w:tblGrid>
        <w:gridCol w:w="1458"/>
        <w:gridCol w:w="8118"/>
      </w:tblGrid>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AIN</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Auditoria Interna de la Nación</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BID</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Banco Interamericano de Desarrollo</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Pr>
                <w:rFonts w:ascii="Times New Roman" w:hAnsi="Times New Roman" w:cs="Times New Roman"/>
                <w:lang w:val="es-ES_tradnl"/>
              </w:rPr>
              <w:t>BIRF</w:t>
            </w:r>
          </w:p>
        </w:tc>
        <w:tc>
          <w:tcPr>
            <w:tcW w:w="8118" w:type="dxa"/>
          </w:tcPr>
          <w:p w:rsidR="00E65F78" w:rsidRPr="00976BFF" w:rsidRDefault="00E65F78" w:rsidP="00EE2522">
            <w:pPr>
              <w:rPr>
                <w:rFonts w:ascii="Times New Roman" w:hAnsi="Times New Roman" w:cs="Times New Roman"/>
                <w:lang w:val="es-ES_tradnl"/>
              </w:rPr>
            </w:pPr>
            <w:r>
              <w:rPr>
                <w:rFonts w:ascii="Times New Roman" w:hAnsi="Times New Roman" w:cs="Times New Roman"/>
                <w:lang w:val="es-ES_tradnl"/>
              </w:rPr>
              <w:t>Banco Internacional de Reconstrucción y Fomento</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CGN</w:t>
            </w:r>
          </w:p>
        </w:tc>
        <w:tc>
          <w:tcPr>
            <w:tcW w:w="8118" w:type="dxa"/>
          </w:tcPr>
          <w:p w:rsidR="00E65F78" w:rsidRPr="00976BFF" w:rsidRDefault="00E65F78" w:rsidP="00EE2522">
            <w:pPr>
              <w:rPr>
                <w:rFonts w:ascii="Times New Roman" w:hAnsi="Times New Roman" w:cs="Times New Roman"/>
                <w:lang w:val="es-ES_tradnl"/>
              </w:rPr>
            </w:pPr>
            <w:r w:rsidRPr="00976BFF">
              <w:rPr>
                <w:rFonts w:ascii="Times New Roman" w:hAnsi="Times New Roman" w:cs="Times New Roman"/>
                <w:lang w:val="es-ES_tradnl"/>
              </w:rPr>
              <w:t>Contaduría General de la Nación</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CVU</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Corporación Vial del Uruguay</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DINAMA</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Dirección Nacional de Medio Ambiente</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DINAPLO</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Dirección Nacional de Planificación y Logística</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DNTop</w:t>
            </w:r>
          </w:p>
        </w:tc>
        <w:tc>
          <w:tcPr>
            <w:tcW w:w="8118" w:type="dxa"/>
          </w:tcPr>
          <w:p w:rsidR="00E65F78" w:rsidRPr="00976BFF" w:rsidRDefault="00E65F78" w:rsidP="003C6F41">
            <w:pPr>
              <w:rPr>
                <w:rFonts w:ascii="Times New Roman" w:hAnsi="Times New Roman" w:cs="Times New Roman"/>
                <w:lang w:val="es-ES_tradnl"/>
              </w:rPr>
            </w:pPr>
            <w:r w:rsidRPr="00976BFF">
              <w:rPr>
                <w:rFonts w:ascii="Times New Roman" w:hAnsi="Times New Roman" w:cs="Times New Roman"/>
                <w:lang w:val="es-ES_tradnl"/>
              </w:rPr>
              <w:t>Dirección Nacional de Topografía</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DNV</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Dirección Nacional de Vialidad</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EAP</w:t>
            </w:r>
          </w:p>
        </w:tc>
        <w:tc>
          <w:tcPr>
            <w:tcW w:w="811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Estrategia de alianza con el país</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FONPLATA</w:t>
            </w:r>
          </w:p>
        </w:tc>
        <w:tc>
          <w:tcPr>
            <w:tcW w:w="8118" w:type="dxa"/>
          </w:tcPr>
          <w:p w:rsidR="00E65F78" w:rsidRPr="00976BFF" w:rsidRDefault="00E65F78" w:rsidP="00D71D15">
            <w:pPr>
              <w:rPr>
                <w:rFonts w:ascii="Times New Roman" w:hAnsi="Times New Roman" w:cs="Times New Roman"/>
                <w:lang w:val="es-ES_tradnl"/>
              </w:rPr>
            </w:pPr>
            <w:r w:rsidRPr="00976BFF">
              <w:rPr>
                <w:rFonts w:ascii="Times New Roman" w:hAnsi="Times New Roman" w:cs="Times New Roman"/>
                <w:lang w:val="es-ES_tradnl"/>
              </w:rPr>
              <w:t>Fondo Financiero para el Desarrollo de la Cuenca del Plata</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HDM</w:t>
            </w:r>
          </w:p>
        </w:tc>
        <w:tc>
          <w:tcPr>
            <w:tcW w:w="811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Modelo de desarrollo y gestión vial</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IES</w:t>
            </w:r>
          </w:p>
        </w:tc>
        <w:tc>
          <w:tcPr>
            <w:tcW w:w="8118" w:type="dxa"/>
          </w:tcPr>
          <w:p w:rsidR="00E65F78" w:rsidRPr="00976BFF" w:rsidRDefault="00E65F78" w:rsidP="006D44FB">
            <w:pPr>
              <w:rPr>
                <w:rFonts w:ascii="Times New Roman" w:hAnsi="Times New Roman" w:cs="Times New Roman"/>
                <w:lang w:val="es-ES_tradnl"/>
              </w:rPr>
            </w:pPr>
            <w:r w:rsidRPr="00976BFF">
              <w:rPr>
                <w:rFonts w:ascii="Times New Roman" w:hAnsi="Times New Roman" w:cs="Times New Roman"/>
                <w:lang w:val="es-ES_tradnl"/>
              </w:rPr>
              <w:t xml:space="preserve">Índice de </w:t>
            </w:r>
            <w:r>
              <w:rPr>
                <w:rFonts w:ascii="Times New Roman" w:hAnsi="Times New Roman" w:cs="Times New Roman"/>
                <w:lang w:val="es-ES_tradnl"/>
              </w:rPr>
              <w:t>e</w:t>
            </w:r>
            <w:r w:rsidRPr="00976BFF">
              <w:rPr>
                <w:rFonts w:ascii="Times New Roman" w:hAnsi="Times New Roman" w:cs="Times New Roman"/>
                <w:lang w:val="es-ES_tradnl"/>
              </w:rPr>
              <w:t xml:space="preserve">stado de </w:t>
            </w:r>
            <w:r>
              <w:rPr>
                <w:rFonts w:ascii="Times New Roman" w:hAnsi="Times New Roman" w:cs="Times New Roman"/>
                <w:lang w:val="es-ES_tradnl"/>
              </w:rPr>
              <w:t>s</w:t>
            </w:r>
            <w:r w:rsidRPr="00976BFF">
              <w:rPr>
                <w:rFonts w:ascii="Times New Roman" w:hAnsi="Times New Roman" w:cs="Times New Roman"/>
                <w:lang w:val="es-ES_tradnl"/>
              </w:rPr>
              <w:t>uperficie</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IRI</w:t>
            </w:r>
          </w:p>
        </w:tc>
        <w:tc>
          <w:tcPr>
            <w:tcW w:w="811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Índice de rugosidad internacional</w:t>
            </w:r>
          </w:p>
        </w:tc>
      </w:tr>
      <w:tr w:rsidR="00E65F78" w:rsidRPr="00AC438C">
        <w:tc>
          <w:tcPr>
            <w:tcW w:w="1458" w:type="dxa"/>
          </w:tcPr>
          <w:p w:rsidR="00E65F78" w:rsidRPr="00976BFF" w:rsidRDefault="00E65F78" w:rsidP="001168B7">
            <w:pPr>
              <w:rPr>
                <w:rFonts w:ascii="Times New Roman" w:hAnsi="Times New Roman" w:cs="Times New Roman"/>
                <w:lang w:val="es-ES_tradnl"/>
              </w:rPr>
            </w:pPr>
            <w:r w:rsidRPr="00976BFF">
              <w:rPr>
                <w:rFonts w:ascii="Times New Roman" w:hAnsi="Times New Roman" w:cs="Times New Roman"/>
                <w:lang w:val="es-ES_tradnl"/>
              </w:rPr>
              <w:t>IVD</w:t>
            </w:r>
          </w:p>
        </w:tc>
        <w:tc>
          <w:tcPr>
            <w:tcW w:w="8118" w:type="dxa"/>
          </w:tcPr>
          <w:p w:rsidR="00E65F78" w:rsidRPr="00976BFF" w:rsidRDefault="00E65F78" w:rsidP="00E57E6E">
            <w:pPr>
              <w:rPr>
                <w:rFonts w:ascii="Times New Roman" w:hAnsi="Times New Roman" w:cs="Times New Roman"/>
                <w:lang w:val="es-ES_tradnl"/>
              </w:rPr>
            </w:pPr>
            <w:r w:rsidRPr="00976BFF">
              <w:rPr>
                <w:rFonts w:ascii="Times New Roman" w:hAnsi="Times New Roman" w:cs="Times New Roman"/>
                <w:lang w:val="es-ES_tradnl"/>
              </w:rPr>
              <w:t xml:space="preserve">Indicador vinculado </w:t>
            </w:r>
            <w:r>
              <w:rPr>
                <w:rFonts w:ascii="Times New Roman" w:hAnsi="Times New Roman" w:cs="Times New Roman"/>
                <w:lang w:val="es-ES_tradnl"/>
              </w:rPr>
              <w:t>con</w:t>
            </w:r>
            <w:r w:rsidRPr="00976BFF">
              <w:rPr>
                <w:rFonts w:ascii="Times New Roman" w:hAnsi="Times New Roman" w:cs="Times New Roman"/>
                <w:lang w:val="es-ES_tradnl"/>
              </w:rPr>
              <w:t xml:space="preserve"> los desembolsos</w:t>
            </w:r>
          </w:p>
        </w:tc>
      </w:tr>
      <w:tr w:rsidR="00E65F78" w:rsidRPr="00AC438C">
        <w:tc>
          <w:tcPr>
            <w:tcW w:w="145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MEF</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Ministerio de Economía y Finanzas</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Pr>
                <w:rFonts w:ascii="Times New Roman" w:hAnsi="Times New Roman" w:cs="Times New Roman"/>
                <w:lang w:val="es-ES_tradnl"/>
              </w:rPr>
              <w:t>MGAP</w:t>
            </w:r>
          </w:p>
        </w:tc>
        <w:tc>
          <w:tcPr>
            <w:tcW w:w="8118" w:type="dxa"/>
          </w:tcPr>
          <w:p w:rsidR="00E65F78" w:rsidRPr="00976BFF" w:rsidRDefault="00E65F78" w:rsidP="008C29C8">
            <w:pPr>
              <w:rPr>
                <w:rFonts w:ascii="Times New Roman" w:hAnsi="Times New Roman" w:cs="Times New Roman"/>
                <w:lang w:val="es-ES_tradnl"/>
              </w:rPr>
            </w:pPr>
            <w:r>
              <w:rPr>
                <w:rFonts w:ascii="Times New Roman" w:hAnsi="Times New Roman" w:cs="Times New Roman"/>
                <w:lang w:val="es-ES_tradnl"/>
              </w:rPr>
              <w:t>Ministerio de Ganadería, Agricultura y Pesca</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MTOP</w:t>
            </w:r>
          </w:p>
        </w:tc>
        <w:tc>
          <w:tcPr>
            <w:tcW w:w="8118" w:type="dxa"/>
          </w:tcPr>
          <w:p w:rsidR="00E65F78" w:rsidRPr="00976BFF" w:rsidRDefault="00E65F78" w:rsidP="008C29C8">
            <w:pPr>
              <w:rPr>
                <w:rFonts w:ascii="Times New Roman" w:hAnsi="Times New Roman" w:cs="Times New Roman"/>
                <w:lang w:val="es-ES_tradnl"/>
              </w:rPr>
            </w:pPr>
            <w:r w:rsidRPr="00976BFF">
              <w:rPr>
                <w:rFonts w:ascii="Times New Roman" w:hAnsi="Times New Roman" w:cs="Times New Roman"/>
                <w:lang w:val="es-ES_tradnl"/>
              </w:rPr>
              <w:t>Ministerio de Transporte y Obras P</w:t>
            </w:r>
            <w:r>
              <w:rPr>
                <w:rFonts w:ascii="Times New Roman" w:hAnsi="Times New Roman" w:cs="Times New Roman"/>
                <w:lang w:val="es-ES_tradnl"/>
              </w:rPr>
              <w:t>ú</w:t>
            </w:r>
            <w:r w:rsidRPr="00976BFF">
              <w:rPr>
                <w:rFonts w:ascii="Times New Roman" w:hAnsi="Times New Roman" w:cs="Times New Roman"/>
                <w:lang w:val="es-ES_tradnl"/>
              </w:rPr>
              <w:t>blicas</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MVOTMA</w:t>
            </w:r>
          </w:p>
        </w:tc>
        <w:tc>
          <w:tcPr>
            <w:tcW w:w="8118" w:type="dxa"/>
          </w:tcPr>
          <w:p w:rsidR="00E65F78" w:rsidRPr="00976BFF" w:rsidRDefault="00E65F78" w:rsidP="004D7734">
            <w:pPr>
              <w:rPr>
                <w:rFonts w:ascii="Times New Roman" w:hAnsi="Times New Roman" w:cs="Times New Roman"/>
                <w:lang w:val="es-ES_tradnl"/>
              </w:rPr>
            </w:pPr>
            <w:r w:rsidRPr="00976BFF">
              <w:rPr>
                <w:rFonts w:ascii="Times New Roman" w:hAnsi="Times New Roman" w:cs="Times New Roman"/>
                <w:lang w:val="es-ES_tradnl"/>
              </w:rPr>
              <w:t>Ministerio de Vivienda, Ordenamiento Territorial y Medio Ambiente</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Pr>
                <w:rFonts w:ascii="Times New Roman" w:hAnsi="Times New Roman" w:cs="Times New Roman"/>
                <w:lang w:val="es-ES_tradnl"/>
              </w:rPr>
              <w:t>ODP</w:t>
            </w:r>
          </w:p>
        </w:tc>
        <w:tc>
          <w:tcPr>
            <w:tcW w:w="8118" w:type="dxa"/>
          </w:tcPr>
          <w:p w:rsidR="00E65F78" w:rsidRPr="00976BFF" w:rsidRDefault="00E65F78" w:rsidP="00893415">
            <w:pPr>
              <w:rPr>
                <w:rFonts w:ascii="Times New Roman" w:hAnsi="Times New Roman" w:cs="Times New Roman"/>
                <w:lang w:val="es-ES_tradnl"/>
              </w:rPr>
            </w:pPr>
            <w:r>
              <w:rPr>
                <w:rFonts w:ascii="Times New Roman" w:hAnsi="Times New Roman" w:cs="Times New Roman"/>
                <w:lang w:val="es-ES_tradnl"/>
              </w:rPr>
              <w:t>Objetivo de desarrollo del programa</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OP</w:t>
            </w:r>
          </w:p>
        </w:tc>
        <w:tc>
          <w:tcPr>
            <w:tcW w:w="8118" w:type="dxa"/>
          </w:tcPr>
          <w:p w:rsidR="00E65F78" w:rsidRPr="00976BFF" w:rsidRDefault="00E65F78" w:rsidP="00E57E6E">
            <w:pPr>
              <w:rPr>
                <w:rFonts w:ascii="Times New Roman" w:hAnsi="Times New Roman" w:cs="Times New Roman"/>
                <w:lang w:val="es-ES_tradnl"/>
              </w:rPr>
            </w:pPr>
            <w:r w:rsidRPr="00976BFF">
              <w:rPr>
                <w:rFonts w:ascii="Times New Roman" w:hAnsi="Times New Roman" w:cs="Times New Roman"/>
                <w:lang w:val="es-ES_tradnl"/>
              </w:rPr>
              <w:t xml:space="preserve">Política </w:t>
            </w:r>
            <w:r>
              <w:rPr>
                <w:rFonts w:ascii="Times New Roman" w:hAnsi="Times New Roman" w:cs="Times New Roman"/>
                <w:lang w:val="es-ES_tradnl"/>
              </w:rPr>
              <w:t>o</w:t>
            </w:r>
            <w:r w:rsidRPr="00976BFF">
              <w:rPr>
                <w:rFonts w:ascii="Times New Roman" w:hAnsi="Times New Roman" w:cs="Times New Roman"/>
                <w:lang w:val="es-ES_tradnl"/>
              </w:rPr>
              <w:t>peracional</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OPP</w:t>
            </w:r>
          </w:p>
        </w:tc>
        <w:tc>
          <w:tcPr>
            <w:tcW w:w="8118" w:type="dxa"/>
          </w:tcPr>
          <w:p w:rsidR="00E65F78" w:rsidRPr="00976BFF" w:rsidRDefault="00E65F78" w:rsidP="00EE2522">
            <w:pPr>
              <w:rPr>
                <w:rFonts w:ascii="Times New Roman" w:hAnsi="Times New Roman" w:cs="Times New Roman"/>
                <w:lang w:val="es-ES_tradnl"/>
              </w:rPr>
            </w:pPr>
            <w:r w:rsidRPr="00976BFF">
              <w:rPr>
                <w:rFonts w:ascii="Times New Roman" w:hAnsi="Times New Roman" w:cs="Times New Roman"/>
                <w:lang w:val="es-ES_tradnl"/>
              </w:rPr>
              <w:t>Oficina de Planeamiento y Presupuesto</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Pr>
                <w:rFonts w:ascii="Times New Roman" w:hAnsi="Times New Roman" w:cs="Times New Roman"/>
                <w:lang w:val="es-ES_tradnl"/>
              </w:rPr>
              <w:t>PIB</w:t>
            </w:r>
          </w:p>
        </w:tc>
        <w:tc>
          <w:tcPr>
            <w:tcW w:w="8118" w:type="dxa"/>
          </w:tcPr>
          <w:p w:rsidR="00E65F78" w:rsidRPr="00976BFF" w:rsidRDefault="00E65F78" w:rsidP="00E57E6E">
            <w:pPr>
              <w:rPr>
                <w:rFonts w:ascii="Times New Roman" w:hAnsi="Times New Roman" w:cs="Times New Roman"/>
                <w:lang w:val="es-ES_tradnl"/>
              </w:rPr>
            </w:pPr>
            <w:r>
              <w:rPr>
                <w:rFonts w:ascii="Times New Roman" w:hAnsi="Times New Roman" w:cs="Times New Roman"/>
                <w:lang w:val="es-ES_tradnl"/>
              </w:rPr>
              <w:t>Producto interno bruto</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RVD</w:t>
            </w:r>
          </w:p>
        </w:tc>
        <w:tc>
          <w:tcPr>
            <w:tcW w:w="8118" w:type="dxa"/>
          </w:tcPr>
          <w:p w:rsidR="00E65F78" w:rsidRPr="00976BFF" w:rsidRDefault="00E65F78" w:rsidP="00C915B4">
            <w:pPr>
              <w:rPr>
                <w:rFonts w:ascii="Times New Roman" w:hAnsi="Times New Roman" w:cs="Times New Roman"/>
                <w:lang w:val="es-ES_tradnl"/>
              </w:rPr>
            </w:pPr>
            <w:r w:rsidRPr="00976BFF">
              <w:rPr>
                <w:rFonts w:ascii="Times New Roman" w:hAnsi="Times New Roman" w:cs="Times New Roman"/>
                <w:lang w:val="es-ES_tradnl"/>
              </w:rPr>
              <w:t xml:space="preserve">Resultado vinculado </w:t>
            </w:r>
            <w:r>
              <w:rPr>
                <w:rFonts w:ascii="Times New Roman" w:hAnsi="Times New Roman" w:cs="Times New Roman"/>
                <w:lang w:val="es-ES_tradnl"/>
              </w:rPr>
              <w:t>con los</w:t>
            </w:r>
            <w:r w:rsidRPr="00976BFF">
              <w:rPr>
                <w:rFonts w:ascii="Times New Roman" w:hAnsi="Times New Roman" w:cs="Times New Roman"/>
                <w:lang w:val="es-ES_tradnl"/>
              </w:rPr>
              <w:t xml:space="preserve"> desembolso</w:t>
            </w:r>
            <w:r>
              <w:rPr>
                <w:rFonts w:ascii="Times New Roman" w:hAnsi="Times New Roman" w:cs="Times New Roman"/>
                <w:lang w:val="es-ES_tradnl"/>
              </w:rPr>
              <w:t>s</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Pr>
                <w:rFonts w:ascii="Times New Roman" w:hAnsi="Times New Roman" w:cs="Times New Roman"/>
                <w:lang w:val="es-ES_tradnl"/>
              </w:rPr>
              <w:t>SIIF</w:t>
            </w:r>
          </w:p>
        </w:tc>
        <w:tc>
          <w:tcPr>
            <w:tcW w:w="8118" w:type="dxa"/>
          </w:tcPr>
          <w:p w:rsidR="00E65F78" w:rsidRPr="00C80044" w:rsidRDefault="00E65F78" w:rsidP="00EE2522">
            <w:pPr>
              <w:rPr>
                <w:rFonts w:ascii="Times New Roman" w:hAnsi="Times New Roman" w:cs="Times New Roman"/>
                <w:lang w:val="es-ES_tradnl"/>
              </w:rPr>
            </w:pPr>
            <w:r w:rsidRPr="00C80044">
              <w:rPr>
                <w:rFonts w:ascii="Times New Roman" w:hAnsi="Times New Roman"/>
                <w:lang w:val="es-ES_tradnl"/>
              </w:rPr>
              <w:t>Sistema Integrado de Información Financiera</w:t>
            </w:r>
          </w:p>
        </w:tc>
      </w:tr>
      <w:tr w:rsidR="00E65F78" w:rsidRPr="00AC438C">
        <w:tc>
          <w:tcPr>
            <w:tcW w:w="145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TCA</w:t>
            </w:r>
          </w:p>
        </w:tc>
        <w:tc>
          <w:tcPr>
            <w:tcW w:w="8118" w:type="dxa"/>
          </w:tcPr>
          <w:p w:rsidR="00E65F78" w:rsidRPr="00976BFF" w:rsidRDefault="00E65F78" w:rsidP="00EE2522">
            <w:pPr>
              <w:rPr>
                <w:rFonts w:ascii="Times New Roman" w:hAnsi="Times New Roman" w:cs="Times New Roman"/>
                <w:lang w:val="es-ES_tradnl"/>
              </w:rPr>
            </w:pPr>
            <w:r w:rsidRPr="00976BFF">
              <w:rPr>
                <w:rFonts w:ascii="Times New Roman" w:hAnsi="Times New Roman" w:cs="Times New Roman"/>
                <w:lang w:val="es-ES_tradnl"/>
              </w:rPr>
              <w:t>Tribunal de lo Contencioso Administrativo</w:t>
            </w:r>
          </w:p>
        </w:tc>
      </w:tr>
      <w:tr w:rsidR="00E65F78" w:rsidRPr="00AC438C">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TCR</w:t>
            </w:r>
          </w:p>
        </w:tc>
        <w:tc>
          <w:tcPr>
            <w:tcW w:w="8118" w:type="dxa"/>
          </w:tcPr>
          <w:p w:rsidR="00E65F78" w:rsidRPr="00976BFF" w:rsidRDefault="00E65F78" w:rsidP="008C29C8">
            <w:pPr>
              <w:rPr>
                <w:rFonts w:ascii="Times New Roman" w:hAnsi="Times New Roman" w:cs="Times New Roman"/>
                <w:lang w:val="es-ES_tradnl"/>
              </w:rPr>
            </w:pPr>
            <w:r w:rsidRPr="00976BFF">
              <w:rPr>
                <w:rFonts w:ascii="Times New Roman" w:hAnsi="Times New Roman" w:cs="Times New Roman"/>
                <w:lang w:val="es-ES_tradnl"/>
              </w:rPr>
              <w:t>Tribunal de Cuentas de la Rep</w:t>
            </w:r>
            <w:r>
              <w:rPr>
                <w:rFonts w:ascii="Times New Roman" w:hAnsi="Times New Roman" w:cs="Times New Roman"/>
                <w:lang w:val="es-ES_tradnl"/>
              </w:rPr>
              <w:t>ú</w:t>
            </w:r>
            <w:r w:rsidRPr="00976BFF">
              <w:rPr>
                <w:rFonts w:ascii="Times New Roman" w:hAnsi="Times New Roman" w:cs="Times New Roman"/>
                <w:lang w:val="es-ES_tradnl"/>
              </w:rPr>
              <w:t xml:space="preserve">blica </w:t>
            </w:r>
          </w:p>
        </w:tc>
      </w:tr>
      <w:tr w:rsidR="00E65F78" w:rsidRPr="00AC438C">
        <w:tc>
          <w:tcPr>
            <w:tcW w:w="145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TGN</w:t>
            </w:r>
          </w:p>
        </w:tc>
        <w:tc>
          <w:tcPr>
            <w:tcW w:w="8118" w:type="dxa"/>
          </w:tcPr>
          <w:p w:rsidR="00E65F78" w:rsidRPr="00976BFF" w:rsidRDefault="00E65F78" w:rsidP="00EE2522">
            <w:pPr>
              <w:rPr>
                <w:rFonts w:ascii="Times New Roman" w:hAnsi="Times New Roman" w:cs="Times New Roman"/>
                <w:lang w:val="es-ES_tradnl"/>
              </w:rPr>
            </w:pPr>
            <w:r w:rsidRPr="00976BFF">
              <w:rPr>
                <w:rFonts w:ascii="Times New Roman" w:hAnsi="Times New Roman" w:cs="Times New Roman"/>
                <w:lang w:val="es-ES_tradnl"/>
              </w:rPr>
              <w:t>Tesorería General de la Nación</w:t>
            </w:r>
          </w:p>
        </w:tc>
      </w:tr>
      <w:tr w:rsidR="00E65F78" w:rsidRPr="00AC438C">
        <w:tc>
          <w:tcPr>
            <w:tcW w:w="1458" w:type="dxa"/>
          </w:tcPr>
          <w:p w:rsidR="00E65F78" w:rsidRPr="00976BFF" w:rsidRDefault="00E65F78">
            <w:pPr>
              <w:rPr>
                <w:rFonts w:ascii="Times New Roman" w:hAnsi="Times New Roman" w:cs="Times New Roman"/>
                <w:lang w:val="es-ES_tradnl"/>
              </w:rPr>
            </w:pPr>
            <w:r w:rsidRPr="00976BFF">
              <w:rPr>
                <w:rFonts w:ascii="Times New Roman" w:hAnsi="Times New Roman" w:cs="Times New Roman"/>
                <w:lang w:val="es-ES_tradnl"/>
              </w:rPr>
              <w:t>TOCAF</w:t>
            </w:r>
          </w:p>
        </w:tc>
        <w:tc>
          <w:tcPr>
            <w:tcW w:w="8118" w:type="dxa"/>
          </w:tcPr>
          <w:p w:rsidR="00E65F78" w:rsidRPr="00976BFF" w:rsidRDefault="00E65F78" w:rsidP="00EE2522">
            <w:pPr>
              <w:rPr>
                <w:rFonts w:ascii="Times New Roman" w:hAnsi="Times New Roman" w:cs="Times New Roman"/>
                <w:lang w:val="es-ES_tradnl"/>
              </w:rPr>
            </w:pPr>
            <w:r w:rsidRPr="00976BFF">
              <w:rPr>
                <w:rFonts w:ascii="Times New Roman" w:hAnsi="Times New Roman" w:cs="Times New Roman"/>
                <w:lang w:val="es-ES_tradnl"/>
              </w:rPr>
              <w:t>Texto Ordenado de Contabilidad y Administración Financiera del Estado</w:t>
            </w:r>
          </w:p>
        </w:tc>
      </w:tr>
      <w:tr w:rsidR="00E65F78" w:rsidRPr="00976BFF">
        <w:tc>
          <w:tcPr>
            <w:tcW w:w="1458" w:type="dxa"/>
          </w:tcPr>
          <w:p w:rsidR="00E65F78" w:rsidRPr="00976BFF" w:rsidRDefault="00E65F78" w:rsidP="00105D0E">
            <w:pPr>
              <w:rPr>
                <w:rFonts w:ascii="Times New Roman" w:hAnsi="Times New Roman" w:cs="Times New Roman"/>
                <w:lang w:val="es-ES_tradnl"/>
              </w:rPr>
            </w:pPr>
            <w:r w:rsidRPr="00976BFF">
              <w:rPr>
                <w:rFonts w:ascii="Times New Roman" w:hAnsi="Times New Roman" w:cs="Times New Roman"/>
                <w:lang w:val="es-ES_tradnl"/>
              </w:rPr>
              <w:t>UAV</w:t>
            </w:r>
          </w:p>
        </w:tc>
        <w:tc>
          <w:tcPr>
            <w:tcW w:w="8118" w:type="dxa"/>
          </w:tcPr>
          <w:p w:rsidR="00E65F78" w:rsidRPr="00976BFF" w:rsidRDefault="00E65F78" w:rsidP="00EE2522">
            <w:pPr>
              <w:rPr>
                <w:rFonts w:ascii="Times New Roman" w:hAnsi="Times New Roman" w:cs="Times New Roman"/>
                <w:lang w:val="es-ES_tradnl"/>
              </w:rPr>
            </w:pPr>
            <w:r w:rsidRPr="00976BFF">
              <w:rPr>
                <w:rFonts w:ascii="Times New Roman" w:hAnsi="Times New Roman" w:cs="Times New Roman"/>
                <w:lang w:val="es-ES_tradnl"/>
              </w:rPr>
              <w:t>Unidad Ambiental de Vialidad</w:t>
            </w:r>
          </w:p>
        </w:tc>
      </w:tr>
    </w:tbl>
    <w:p w:rsidR="00D74AD4" w:rsidRPr="00976BFF" w:rsidRDefault="00D74AD4" w:rsidP="00FF7EE4">
      <w:pPr>
        <w:rPr>
          <w:rFonts w:ascii="Times New Roman" w:hAnsi="Times New Roman" w:cs="Times New Roman"/>
          <w:lang w:val="es-ES_tradnl"/>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68"/>
        <w:gridCol w:w="360"/>
        <w:gridCol w:w="4548"/>
      </w:tblGrid>
      <w:tr w:rsidR="00644BD6" w:rsidRPr="00976BFF">
        <w:tc>
          <w:tcPr>
            <w:tcW w:w="4668" w:type="dxa"/>
          </w:tcPr>
          <w:p w:rsidR="002C2A48" w:rsidRPr="00976BFF" w:rsidRDefault="00644BD6" w:rsidP="00EE2522">
            <w:pPr>
              <w:spacing w:after="0" w:line="240" w:lineRule="auto"/>
              <w:rPr>
                <w:rFonts w:ascii="Times New Roman" w:hAnsi="Times New Roman" w:cs="Times New Roman"/>
                <w:lang w:val="es-ES_tradnl"/>
              </w:rPr>
            </w:pPr>
            <w:r w:rsidRPr="00976BFF">
              <w:rPr>
                <w:rFonts w:ascii="Times New Roman" w:hAnsi="Times New Roman" w:cs="Times New Roman"/>
                <w:lang w:val="es-ES_tradnl"/>
              </w:rPr>
              <w:t>Vice</w:t>
            </w:r>
            <w:r w:rsidR="00EE2522" w:rsidRPr="00976BFF">
              <w:rPr>
                <w:rFonts w:ascii="Times New Roman" w:hAnsi="Times New Roman" w:cs="Times New Roman"/>
                <w:lang w:val="es-ES_tradnl"/>
              </w:rPr>
              <w:t>p</w:t>
            </w:r>
            <w:r w:rsidRPr="00976BFF">
              <w:rPr>
                <w:rFonts w:ascii="Times New Roman" w:hAnsi="Times New Roman" w:cs="Times New Roman"/>
                <w:lang w:val="es-ES_tradnl"/>
              </w:rPr>
              <w:t>resident</w:t>
            </w:r>
            <w:r w:rsidR="00EE2522" w:rsidRPr="00976BFF">
              <w:rPr>
                <w:rFonts w:ascii="Times New Roman" w:hAnsi="Times New Roman" w:cs="Times New Roman"/>
                <w:lang w:val="es-ES_tradnl"/>
              </w:rPr>
              <w:t>e</w:t>
            </w:r>
            <w:r w:rsidRPr="00976BFF">
              <w:rPr>
                <w:rFonts w:ascii="Times New Roman" w:hAnsi="Times New Roman" w:cs="Times New Roman"/>
                <w:lang w:val="es-ES_tradnl"/>
              </w:rPr>
              <w:t>:</w:t>
            </w:r>
          </w:p>
        </w:tc>
        <w:tc>
          <w:tcPr>
            <w:tcW w:w="360" w:type="dxa"/>
          </w:tcPr>
          <w:p w:rsidR="002C2A48" w:rsidRPr="00976BFF" w:rsidRDefault="002C2A48">
            <w:pPr>
              <w:spacing w:after="0" w:line="240" w:lineRule="auto"/>
              <w:rPr>
                <w:rFonts w:ascii="Times New Roman" w:hAnsi="Times New Roman" w:cs="Times New Roman"/>
                <w:lang w:val="es-ES_tradnl"/>
              </w:rPr>
            </w:pPr>
          </w:p>
        </w:tc>
        <w:tc>
          <w:tcPr>
            <w:tcW w:w="4548" w:type="dxa"/>
          </w:tcPr>
          <w:p w:rsidR="002C2A48" w:rsidRPr="00976BFF" w:rsidRDefault="00644BD6">
            <w:pPr>
              <w:spacing w:after="0" w:line="240" w:lineRule="auto"/>
              <w:rPr>
                <w:rFonts w:ascii="Times New Roman" w:hAnsi="Times New Roman" w:cs="Times New Roman"/>
                <w:lang w:val="es-ES_tradnl"/>
              </w:rPr>
            </w:pPr>
            <w:r w:rsidRPr="00976BFF">
              <w:rPr>
                <w:rFonts w:ascii="Times New Roman" w:hAnsi="Times New Roman" w:cs="Times New Roman"/>
                <w:lang w:val="es-ES_tradnl"/>
              </w:rPr>
              <w:t xml:space="preserve">Hasan </w:t>
            </w:r>
            <w:r w:rsidR="00D74AD4" w:rsidRPr="00976BFF">
              <w:rPr>
                <w:rFonts w:ascii="Times New Roman" w:hAnsi="Times New Roman" w:cs="Times New Roman"/>
                <w:lang w:val="es-ES_tradnl"/>
              </w:rPr>
              <w:t xml:space="preserve">A. </w:t>
            </w:r>
            <w:r w:rsidRPr="00976BFF">
              <w:rPr>
                <w:rFonts w:ascii="Times New Roman" w:hAnsi="Times New Roman" w:cs="Times New Roman"/>
                <w:lang w:val="es-ES_tradnl"/>
              </w:rPr>
              <w:t>Tuluy</w:t>
            </w:r>
          </w:p>
        </w:tc>
      </w:tr>
      <w:tr w:rsidR="00644BD6" w:rsidRPr="00976BFF">
        <w:tc>
          <w:tcPr>
            <w:tcW w:w="4668" w:type="dxa"/>
          </w:tcPr>
          <w:p w:rsidR="002C2A48" w:rsidRPr="00976BFF" w:rsidRDefault="00644BD6" w:rsidP="00EE2522">
            <w:pPr>
              <w:spacing w:after="0" w:line="240" w:lineRule="auto"/>
              <w:rPr>
                <w:rFonts w:ascii="Times New Roman" w:hAnsi="Times New Roman" w:cs="Times New Roman"/>
                <w:lang w:val="es-ES_tradnl"/>
              </w:rPr>
            </w:pPr>
            <w:r w:rsidRPr="00976BFF">
              <w:rPr>
                <w:rFonts w:ascii="Times New Roman" w:hAnsi="Times New Roman" w:cs="Times New Roman"/>
                <w:lang w:val="es-ES_tradnl"/>
              </w:rPr>
              <w:t>Director</w:t>
            </w:r>
            <w:r w:rsidR="00EE2522" w:rsidRPr="00976BFF">
              <w:rPr>
                <w:rFonts w:ascii="Times New Roman" w:hAnsi="Times New Roman" w:cs="Times New Roman"/>
                <w:lang w:val="es-ES_tradnl"/>
              </w:rPr>
              <w:t>a de país</w:t>
            </w:r>
            <w:r w:rsidRPr="00976BFF">
              <w:rPr>
                <w:rFonts w:ascii="Times New Roman" w:hAnsi="Times New Roman" w:cs="Times New Roman"/>
                <w:lang w:val="es-ES_tradnl"/>
              </w:rPr>
              <w:t>:</w:t>
            </w:r>
          </w:p>
        </w:tc>
        <w:tc>
          <w:tcPr>
            <w:tcW w:w="360" w:type="dxa"/>
          </w:tcPr>
          <w:p w:rsidR="002C2A48" w:rsidRPr="00976BFF" w:rsidRDefault="002C2A48">
            <w:pPr>
              <w:spacing w:after="0" w:line="240" w:lineRule="auto"/>
              <w:rPr>
                <w:rFonts w:ascii="Times New Roman" w:hAnsi="Times New Roman" w:cs="Times New Roman"/>
                <w:lang w:val="es-ES_tradnl"/>
              </w:rPr>
            </w:pPr>
          </w:p>
        </w:tc>
        <w:tc>
          <w:tcPr>
            <w:tcW w:w="4548" w:type="dxa"/>
          </w:tcPr>
          <w:p w:rsidR="002C2A48" w:rsidRPr="00976BFF" w:rsidRDefault="00644BD6">
            <w:pPr>
              <w:spacing w:after="0" w:line="240" w:lineRule="auto"/>
              <w:rPr>
                <w:rFonts w:ascii="Times New Roman" w:hAnsi="Times New Roman" w:cs="Times New Roman"/>
                <w:lang w:val="es-ES_tradnl"/>
              </w:rPr>
            </w:pPr>
            <w:r w:rsidRPr="00976BFF">
              <w:rPr>
                <w:rFonts w:ascii="Times New Roman" w:hAnsi="Times New Roman" w:cs="Times New Roman"/>
                <w:lang w:val="es-ES_tradnl"/>
              </w:rPr>
              <w:t xml:space="preserve">Penelope </w:t>
            </w:r>
            <w:r w:rsidR="00D74AD4" w:rsidRPr="00976BFF">
              <w:rPr>
                <w:rFonts w:ascii="Times New Roman" w:hAnsi="Times New Roman" w:cs="Times New Roman"/>
                <w:lang w:val="es-ES_tradnl"/>
              </w:rPr>
              <w:t xml:space="preserve">J. </w:t>
            </w:r>
            <w:r w:rsidRPr="00976BFF">
              <w:rPr>
                <w:rFonts w:ascii="Times New Roman" w:hAnsi="Times New Roman" w:cs="Times New Roman"/>
                <w:lang w:val="es-ES_tradnl"/>
              </w:rPr>
              <w:t>Brook</w:t>
            </w:r>
          </w:p>
        </w:tc>
      </w:tr>
      <w:tr w:rsidR="00644BD6" w:rsidRPr="00AC438C">
        <w:tc>
          <w:tcPr>
            <w:tcW w:w="4668" w:type="dxa"/>
          </w:tcPr>
          <w:p w:rsidR="002C2A48" w:rsidRPr="00976BFF" w:rsidRDefault="00644BD6">
            <w:pPr>
              <w:spacing w:after="0" w:line="240" w:lineRule="auto"/>
              <w:rPr>
                <w:rFonts w:ascii="Times New Roman" w:hAnsi="Times New Roman" w:cs="Times New Roman"/>
                <w:lang w:val="es-ES_tradnl"/>
              </w:rPr>
            </w:pPr>
            <w:r w:rsidRPr="00976BFF">
              <w:rPr>
                <w:rFonts w:ascii="Times New Roman" w:hAnsi="Times New Roman" w:cs="Times New Roman"/>
                <w:lang w:val="es-ES_tradnl"/>
              </w:rPr>
              <w:t>Director</w:t>
            </w:r>
            <w:r w:rsidR="00EE2522" w:rsidRPr="00976BFF">
              <w:rPr>
                <w:rFonts w:ascii="Times New Roman" w:hAnsi="Times New Roman" w:cs="Times New Roman"/>
                <w:lang w:val="es-ES_tradnl"/>
              </w:rPr>
              <w:t xml:space="preserve"> sectorial</w:t>
            </w:r>
            <w:r w:rsidRPr="00976BFF">
              <w:rPr>
                <w:rFonts w:ascii="Times New Roman" w:hAnsi="Times New Roman" w:cs="Times New Roman"/>
                <w:lang w:val="es-ES_tradnl"/>
              </w:rPr>
              <w:t>:</w:t>
            </w:r>
          </w:p>
          <w:p w:rsidR="002C2A48" w:rsidRPr="00976BFF" w:rsidRDefault="00EE2522">
            <w:pPr>
              <w:spacing w:after="0" w:line="240" w:lineRule="auto"/>
              <w:rPr>
                <w:rFonts w:ascii="Times New Roman" w:hAnsi="Times New Roman" w:cs="Times New Roman"/>
                <w:lang w:val="es-ES_tradnl"/>
              </w:rPr>
            </w:pPr>
            <w:r w:rsidRPr="00976BFF">
              <w:rPr>
                <w:rFonts w:ascii="Times New Roman" w:hAnsi="Times New Roman" w:cs="Times New Roman"/>
                <w:lang w:val="es-ES_tradnl"/>
              </w:rPr>
              <w:t>Gerente sectorial</w:t>
            </w:r>
            <w:r w:rsidR="00644BD6" w:rsidRPr="00976BFF">
              <w:rPr>
                <w:rFonts w:ascii="Times New Roman" w:hAnsi="Times New Roman" w:cs="Times New Roman"/>
                <w:lang w:val="es-ES_tradnl"/>
              </w:rPr>
              <w:t>:</w:t>
            </w:r>
          </w:p>
        </w:tc>
        <w:tc>
          <w:tcPr>
            <w:tcW w:w="360" w:type="dxa"/>
          </w:tcPr>
          <w:p w:rsidR="002C2A48" w:rsidRPr="00976BFF" w:rsidRDefault="002C2A48">
            <w:pPr>
              <w:spacing w:after="0" w:line="240" w:lineRule="auto"/>
              <w:rPr>
                <w:rFonts w:ascii="Times New Roman" w:hAnsi="Times New Roman" w:cs="Times New Roman"/>
                <w:lang w:val="es-ES_tradnl"/>
              </w:rPr>
            </w:pPr>
          </w:p>
        </w:tc>
        <w:tc>
          <w:tcPr>
            <w:tcW w:w="4548" w:type="dxa"/>
          </w:tcPr>
          <w:p w:rsidR="002C2A48" w:rsidRPr="00976BFF" w:rsidRDefault="00644BD6">
            <w:pPr>
              <w:spacing w:after="0" w:line="240" w:lineRule="auto"/>
              <w:rPr>
                <w:rFonts w:ascii="Times New Roman" w:hAnsi="Times New Roman" w:cs="Times New Roman"/>
                <w:lang w:val="es-ES_tradnl"/>
              </w:rPr>
            </w:pPr>
            <w:r w:rsidRPr="00976BFF">
              <w:rPr>
                <w:rFonts w:ascii="Times New Roman" w:hAnsi="Times New Roman" w:cs="Times New Roman"/>
                <w:lang w:val="es-ES_tradnl"/>
              </w:rPr>
              <w:t xml:space="preserve">Ede </w:t>
            </w:r>
            <w:r w:rsidR="00D74AD4" w:rsidRPr="00976BFF">
              <w:rPr>
                <w:rFonts w:ascii="Times New Roman" w:hAnsi="Times New Roman" w:cs="Times New Roman"/>
                <w:lang w:val="es-ES_tradnl"/>
              </w:rPr>
              <w:t xml:space="preserve">J. </w:t>
            </w:r>
            <w:r w:rsidR="003C61E6">
              <w:rPr>
                <w:rFonts w:ascii="Times New Roman" w:hAnsi="Times New Roman" w:cs="Times New Roman"/>
                <w:lang w:val="es-ES_tradnl"/>
              </w:rPr>
              <w:t>Ijjasz-Vá</w:t>
            </w:r>
            <w:r w:rsidRPr="00976BFF">
              <w:rPr>
                <w:rFonts w:ascii="Times New Roman" w:hAnsi="Times New Roman" w:cs="Times New Roman"/>
                <w:lang w:val="es-ES_tradnl"/>
              </w:rPr>
              <w:t xml:space="preserve">squez </w:t>
            </w:r>
          </w:p>
          <w:p w:rsidR="002C2A48" w:rsidRPr="00976BFF" w:rsidRDefault="00550488">
            <w:pPr>
              <w:spacing w:after="0" w:line="240" w:lineRule="auto"/>
              <w:rPr>
                <w:rFonts w:ascii="Times New Roman" w:hAnsi="Times New Roman" w:cs="Times New Roman"/>
                <w:lang w:val="es-ES_tradnl"/>
              </w:rPr>
            </w:pPr>
            <w:r>
              <w:rPr>
                <w:rFonts w:ascii="Times New Roman" w:hAnsi="Times New Roman" w:cs="Times New Roman"/>
                <w:lang w:val="es-ES_tradnl"/>
              </w:rPr>
              <w:t>Aurelio Mené</w:t>
            </w:r>
            <w:r w:rsidR="00644BD6" w:rsidRPr="00976BFF">
              <w:rPr>
                <w:rFonts w:ascii="Times New Roman" w:hAnsi="Times New Roman" w:cs="Times New Roman"/>
                <w:lang w:val="es-ES_tradnl"/>
              </w:rPr>
              <w:t>ndez</w:t>
            </w:r>
          </w:p>
        </w:tc>
      </w:tr>
      <w:tr w:rsidR="00644BD6" w:rsidRPr="00976BFF">
        <w:tc>
          <w:tcPr>
            <w:tcW w:w="4668" w:type="dxa"/>
          </w:tcPr>
          <w:p w:rsidR="002C2A48" w:rsidRPr="00976BFF" w:rsidRDefault="00EE2522">
            <w:pPr>
              <w:spacing w:after="0" w:line="240" w:lineRule="auto"/>
              <w:rPr>
                <w:rFonts w:ascii="Times New Roman" w:hAnsi="Times New Roman" w:cs="Times New Roman"/>
                <w:lang w:val="es-ES_tradnl"/>
              </w:rPr>
            </w:pPr>
            <w:r w:rsidRPr="00976BFF">
              <w:rPr>
                <w:rFonts w:ascii="Times New Roman" w:hAnsi="Times New Roman" w:cs="Times New Roman"/>
                <w:lang w:val="es-ES_tradnl"/>
              </w:rPr>
              <w:t>Gerente de proyecto</w:t>
            </w:r>
            <w:r w:rsidR="00644BD6" w:rsidRPr="00976BFF">
              <w:rPr>
                <w:rFonts w:ascii="Times New Roman" w:hAnsi="Times New Roman" w:cs="Times New Roman"/>
                <w:lang w:val="es-ES_tradnl"/>
              </w:rPr>
              <w:t>:</w:t>
            </w:r>
          </w:p>
        </w:tc>
        <w:tc>
          <w:tcPr>
            <w:tcW w:w="360" w:type="dxa"/>
          </w:tcPr>
          <w:p w:rsidR="002C2A48" w:rsidRPr="00976BFF" w:rsidRDefault="002C2A48">
            <w:pPr>
              <w:spacing w:after="0" w:line="240" w:lineRule="auto"/>
              <w:rPr>
                <w:rFonts w:ascii="Times New Roman" w:hAnsi="Times New Roman" w:cs="Times New Roman"/>
                <w:lang w:val="es-ES_tradnl"/>
              </w:rPr>
            </w:pPr>
          </w:p>
        </w:tc>
        <w:tc>
          <w:tcPr>
            <w:tcW w:w="4548" w:type="dxa"/>
          </w:tcPr>
          <w:p w:rsidR="002C2A48" w:rsidRPr="00976BFF" w:rsidRDefault="00644BD6">
            <w:pPr>
              <w:spacing w:after="0" w:line="240" w:lineRule="auto"/>
              <w:rPr>
                <w:rFonts w:ascii="Times New Roman" w:hAnsi="Times New Roman" w:cs="Times New Roman"/>
                <w:lang w:val="es-ES_tradnl"/>
              </w:rPr>
            </w:pPr>
            <w:r w:rsidRPr="00976BFF">
              <w:rPr>
                <w:rFonts w:ascii="Times New Roman" w:hAnsi="Times New Roman" w:cs="Times New Roman"/>
                <w:lang w:val="es-ES_tradnl"/>
              </w:rPr>
              <w:t xml:space="preserve">Gregoire </w:t>
            </w:r>
            <w:r w:rsidR="00D74AD4" w:rsidRPr="00976BFF">
              <w:rPr>
                <w:rFonts w:ascii="Times New Roman" w:hAnsi="Times New Roman" w:cs="Times New Roman"/>
                <w:lang w:val="es-ES_tradnl"/>
              </w:rPr>
              <w:t xml:space="preserve">F. </w:t>
            </w:r>
            <w:r w:rsidRPr="00976BFF">
              <w:rPr>
                <w:rFonts w:ascii="Times New Roman" w:hAnsi="Times New Roman" w:cs="Times New Roman"/>
                <w:lang w:val="es-ES_tradnl"/>
              </w:rPr>
              <w:t>Gauthier</w:t>
            </w:r>
          </w:p>
        </w:tc>
      </w:tr>
    </w:tbl>
    <w:p w:rsidR="00A11339" w:rsidRPr="00976BFF" w:rsidRDefault="00A11339">
      <w:pPr>
        <w:rPr>
          <w:rFonts w:ascii="Times New Roman" w:hAnsi="Times New Roman" w:cs="Times New Roman"/>
          <w:b/>
          <w:lang w:val="es-ES_tradnl"/>
        </w:rPr>
      </w:pPr>
      <w:r w:rsidRPr="00976BFF">
        <w:rPr>
          <w:rFonts w:ascii="Times New Roman" w:hAnsi="Times New Roman" w:cs="Times New Roman"/>
          <w:b/>
          <w:lang w:val="es-ES_tradnl"/>
        </w:rPr>
        <w:br w:type="page"/>
      </w:r>
    </w:p>
    <w:p w:rsidR="008A2707" w:rsidRPr="00976BFF" w:rsidRDefault="008A2707" w:rsidP="00DF0162">
      <w:pPr>
        <w:jc w:val="center"/>
        <w:rPr>
          <w:rFonts w:ascii="Times New Roman" w:hAnsi="Times New Roman" w:cs="Times New Roman"/>
          <w:b/>
          <w:lang w:val="es-ES_tradnl"/>
        </w:rPr>
      </w:pPr>
    </w:p>
    <w:p w:rsidR="00667179" w:rsidRPr="00976BFF" w:rsidRDefault="00EE2522" w:rsidP="00DF0162">
      <w:pPr>
        <w:jc w:val="center"/>
        <w:rPr>
          <w:rFonts w:ascii="Times New Roman" w:hAnsi="Times New Roman" w:cs="Times New Roman"/>
          <w:b/>
          <w:lang w:val="es-ES_tradnl"/>
        </w:rPr>
      </w:pPr>
      <w:r w:rsidRPr="00976BFF">
        <w:rPr>
          <w:rFonts w:ascii="Times New Roman" w:hAnsi="Times New Roman" w:cs="Times New Roman"/>
          <w:b/>
          <w:lang w:val="es-ES_tradnl"/>
        </w:rPr>
        <w:t>REPÚBLICA ORIENTAL DEL URUGUAY</w:t>
      </w:r>
    </w:p>
    <w:p w:rsidR="000F4826" w:rsidRPr="00976BFF" w:rsidRDefault="00EE2522" w:rsidP="000F4826">
      <w:pPr>
        <w:pStyle w:val="NoSpacing"/>
        <w:jc w:val="center"/>
        <w:rPr>
          <w:rFonts w:ascii="Times New Roman" w:hAnsi="Times New Roman" w:cs="Times New Roman"/>
          <w:b/>
          <w:lang w:val="es-ES_tradnl"/>
        </w:rPr>
      </w:pPr>
      <w:r w:rsidRPr="00976BFF">
        <w:rPr>
          <w:rFonts w:ascii="Times New Roman" w:hAnsi="Times New Roman" w:cs="Times New Roman"/>
          <w:b/>
          <w:lang w:val="es-ES_tradnl"/>
        </w:rPr>
        <w:t>Programa de Rehabilitación y Mantenimiento Vial</w:t>
      </w:r>
    </w:p>
    <w:p w:rsidR="000F4826" w:rsidRPr="00976BFF" w:rsidRDefault="000F4826" w:rsidP="000F4826">
      <w:pPr>
        <w:pStyle w:val="NoSpacing"/>
        <w:jc w:val="center"/>
        <w:rPr>
          <w:rFonts w:ascii="Times New Roman" w:hAnsi="Times New Roman" w:cs="Times New Roman"/>
          <w:b/>
          <w:lang w:val="es-ES_tradnl"/>
        </w:rPr>
      </w:pPr>
    </w:p>
    <w:p w:rsidR="000F4826" w:rsidRDefault="00EE2522" w:rsidP="000F4826">
      <w:pPr>
        <w:pStyle w:val="NoSpacing"/>
        <w:jc w:val="center"/>
        <w:rPr>
          <w:rFonts w:ascii="Times New Roman" w:hAnsi="Times New Roman" w:cs="Times New Roman"/>
          <w:b/>
          <w:lang w:val="es-ES_tradnl"/>
        </w:rPr>
      </w:pPr>
      <w:r w:rsidRPr="00976BFF">
        <w:rPr>
          <w:rFonts w:ascii="Times New Roman" w:hAnsi="Times New Roman" w:cs="Times New Roman"/>
          <w:b/>
          <w:lang w:val="es-ES_tradnl"/>
        </w:rPr>
        <w:t>Índice</w:t>
      </w:r>
    </w:p>
    <w:p w:rsidR="007C20D4" w:rsidRPr="00976BFF" w:rsidRDefault="007C20D4" w:rsidP="000F4826">
      <w:pPr>
        <w:pStyle w:val="NoSpacing"/>
        <w:jc w:val="center"/>
        <w:rPr>
          <w:rFonts w:ascii="Times New Roman" w:hAnsi="Times New Roman" w:cs="Times New Roman"/>
          <w:b/>
          <w:lang w:val="es-ES_tradnl"/>
        </w:rPr>
      </w:pPr>
    </w:p>
    <w:sdt>
      <w:sdtPr>
        <w:rPr>
          <w:rFonts w:asciiTheme="minorHAnsi" w:eastAsiaTheme="minorHAnsi" w:hAnsiTheme="minorHAnsi" w:cstheme="minorBidi"/>
          <w:b w:val="0"/>
          <w:bCs w:val="0"/>
          <w:color w:val="auto"/>
          <w:sz w:val="22"/>
          <w:szCs w:val="22"/>
          <w:lang w:val="es-ES_tradnl"/>
        </w:rPr>
        <w:id w:val="20900477"/>
        <w:docPartObj>
          <w:docPartGallery w:val="Table of Contents"/>
          <w:docPartUnique/>
        </w:docPartObj>
      </w:sdtPr>
      <w:sdtEndPr>
        <w:rPr>
          <w:rFonts w:eastAsiaTheme="minorEastAsia"/>
        </w:rPr>
      </w:sdtEndPr>
      <w:sdtContent>
        <w:p w:rsidR="006068D8" w:rsidRPr="00976BFF" w:rsidRDefault="006068D8" w:rsidP="00B034C5">
          <w:pPr>
            <w:pStyle w:val="TOCHeading"/>
            <w:spacing w:before="0" w:line="240" w:lineRule="auto"/>
            <w:rPr>
              <w:rFonts w:ascii="Times New Roman" w:hAnsi="Times New Roman" w:cs="Times New Roman"/>
              <w:sz w:val="24"/>
              <w:szCs w:val="24"/>
              <w:lang w:val="es-ES_tradnl"/>
            </w:rPr>
          </w:pPr>
        </w:p>
        <w:p w:rsidR="007A653A" w:rsidRPr="00C860F8" w:rsidRDefault="00EF1F28" w:rsidP="00C860F8">
          <w:pPr>
            <w:pStyle w:val="TOC1"/>
            <w:rPr>
              <w:b w:val="0"/>
              <w:bCs w:val="0"/>
              <w:lang w:eastAsia="es-AR"/>
            </w:rPr>
          </w:pPr>
          <w:r w:rsidRPr="00C860F8">
            <w:rPr>
              <w:b w:val="0"/>
              <w:bCs w:val="0"/>
            </w:rPr>
            <w:fldChar w:fldCharType="begin"/>
          </w:r>
          <w:r w:rsidR="006068D8" w:rsidRPr="00C860F8">
            <w:rPr>
              <w:b w:val="0"/>
              <w:bCs w:val="0"/>
            </w:rPr>
            <w:instrText xml:space="preserve"> TOC \o "1-3" \h \z \u </w:instrText>
          </w:r>
          <w:r w:rsidRPr="00C860F8">
            <w:rPr>
              <w:b w:val="0"/>
              <w:bCs w:val="0"/>
            </w:rPr>
            <w:fldChar w:fldCharType="separate"/>
          </w:r>
          <w:hyperlink w:anchor="_Toc344927144" w:history="1">
            <w:r w:rsidR="007A653A" w:rsidRPr="00C860F8">
              <w:rPr>
                <w:rStyle w:val="Hyperlink"/>
                <w:b w:val="0"/>
                <w:bCs w:val="0"/>
                <w:color w:val="auto"/>
                <w:u w:val="none"/>
              </w:rPr>
              <w:t>I. CONTEXTO ESTRATÉGICO</w:t>
            </w:r>
            <w:r w:rsidR="007A653A" w:rsidRPr="00C860F8">
              <w:rPr>
                <w:b w:val="0"/>
                <w:bCs w:val="0"/>
                <w:webHidden/>
              </w:rPr>
              <w:tab/>
            </w:r>
            <w:r w:rsidRPr="00C860F8">
              <w:rPr>
                <w:b w:val="0"/>
                <w:bCs w:val="0"/>
                <w:webHidden/>
              </w:rPr>
              <w:fldChar w:fldCharType="begin"/>
            </w:r>
            <w:r w:rsidR="007A653A" w:rsidRPr="00C860F8">
              <w:rPr>
                <w:b w:val="0"/>
                <w:bCs w:val="0"/>
                <w:webHidden/>
              </w:rPr>
              <w:instrText xml:space="preserve"> PAGEREF _Toc344927144 \h </w:instrText>
            </w:r>
            <w:r w:rsidRPr="00C860F8">
              <w:rPr>
                <w:b w:val="0"/>
                <w:bCs w:val="0"/>
                <w:webHidden/>
              </w:rPr>
            </w:r>
            <w:r w:rsidRPr="00C860F8">
              <w:rPr>
                <w:b w:val="0"/>
                <w:bCs w:val="0"/>
                <w:webHidden/>
              </w:rPr>
              <w:fldChar w:fldCharType="separate"/>
            </w:r>
            <w:r w:rsidR="00746A45">
              <w:rPr>
                <w:b w:val="0"/>
                <w:bCs w:val="0"/>
                <w:webHidden/>
              </w:rPr>
              <w:t>1</w:t>
            </w:r>
            <w:r w:rsidRPr="00C860F8">
              <w:rPr>
                <w:b w:val="0"/>
                <w:bCs w:val="0"/>
                <w:webHidden/>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45" w:history="1">
            <w:r w:rsidR="007A653A" w:rsidRPr="00C860F8">
              <w:rPr>
                <w:rStyle w:val="Hyperlink"/>
                <w:rFonts w:ascii="Times New Roman" w:hAnsi="Times New Roman"/>
                <w:i w:val="0"/>
                <w:iCs w:val="0"/>
                <w:noProof/>
                <w:color w:val="auto"/>
                <w:sz w:val="24"/>
                <w:u w:val="none"/>
                <w:lang w:val="es-ES_tradnl"/>
              </w:rPr>
              <w:t>A.</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Contexto socioeconómico del país</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_Toc344927145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46" w:history="1">
            <w:r w:rsidR="007A653A" w:rsidRPr="00C860F8">
              <w:rPr>
                <w:rStyle w:val="Hyperlink"/>
                <w:rFonts w:ascii="Times New Roman" w:hAnsi="Times New Roman"/>
                <w:i w:val="0"/>
                <w:iCs w:val="0"/>
                <w:noProof/>
                <w:color w:val="auto"/>
                <w:sz w:val="24"/>
                <w:u w:val="none"/>
                <w:lang w:val="es-ES_tradnl"/>
              </w:rPr>
              <w:t>B.</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Contexto sectorial e institucional</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_Toc344927146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47" w:history="1">
            <w:r w:rsidR="007A653A" w:rsidRPr="00C860F8">
              <w:rPr>
                <w:rStyle w:val="Hyperlink"/>
                <w:rFonts w:ascii="Times New Roman" w:hAnsi="Times New Roman"/>
                <w:i w:val="0"/>
                <w:iCs w:val="0"/>
                <w:noProof/>
                <w:color w:val="auto"/>
                <w:sz w:val="24"/>
                <w:u w:val="none"/>
                <w:lang w:val="es-ES_tradnl"/>
              </w:rPr>
              <w:t>C.</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 xml:space="preserve">Relación con la estrategia de asistencia al país/estrategia de alianza con el país y </w:t>
            </w:r>
            <w:r w:rsidR="00E57E6E">
              <w:rPr>
                <w:rStyle w:val="Hyperlink"/>
                <w:rFonts w:ascii="Times New Roman" w:hAnsi="Times New Roman"/>
                <w:i w:val="0"/>
                <w:iCs w:val="0"/>
                <w:noProof/>
                <w:color w:val="auto"/>
                <w:sz w:val="24"/>
                <w:u w:val="none"/>
                <w:lang w:val="es-ES_tradnl"/>
              </w:rPr>
              <w:t>fundamentos d</w:t>
            </w:r>
            <w:r w:rsidR="007A653A" w:rsidRPr="00C860F8">
              <w:rPr>
                <w:rStyle w:val="Hyperlink"/>
                <w:rFonts w:ascii="Times New Roman" w:hAnsi="Times New Roman"/>
                <w:i w:val="0"/>
                <w:iCs w:val="0"/>
                <w:noProof/>
                <w:color w:val="auto"/>
                <w:sz w:val="24"/>
                <w:u w:val="none"/>
                <w:lang w:val="es-ES_tradnl"/>
              </w:rPr>
              <w:t>el uso del instrumento</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_Toc344927147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4</w:t>
            </w:r>
            <w:r w:rsidR="00EF1F28" w:rsidRPr="00C860F8">
              <w:rPr>
                <w:rFonts w:ascii="Times New Roman" w:hAnsi="Times New Roman"/>
                <w:i w:val="0"/>
                <w:iCs w:val="0"/>
                <w:noProof/>
                <w:webHidden/>
                <w:sz w:val="24"/>
                <w:lang w:val="es-ES_tradnl"/>
              </w:rPr>
              <w:fldChar w:fldCharType="end"/>
            </w:r>
          </w:hyperlink>
        </w:p>
        <w:p w:rsidR="007A653A" w:rsidRPr="00C860F8" w:rsidRDefault="000817AF" w:rsidP="00C860F8">
          <w:pPr>
            <w:pStyle w:val="TOC1"/>
            <w:rPr>
              <w:b w:val="0"/>
              <w:bCs w:val="0"/>
              <w:lang w:eastAsia="es-AR"/>
            </w:rPr>
          </w:pPr>
          <w:hyperlink w:anchor="_Toc344927148" w:history="1">
            <w:r w:rsidR="007A653A" w:rsidRPr="00C860F8">
              <w:rPr>
                <w:rStyle w:val="Hyperlink"/>
                <w:b w:val="0"/>
                <w:bCs w:val="0"/>
                <w:color w:val="auto"/>
                <w:u w:val="none"/>
              </w:rPr>
              <w:t>II.</w:t>
            </w:r>
            <w:r w:rsidR="00C860F8" w:rsidRPr="00C860F8">
              <w:rPr>
                <w:rStyle w:val="Hyperlink"/>
                <w:b w:val="0"/>
                <w:bCs w:val="0"/>
                <w:color w:val="auto"/>
                <w:u w:val="none"/>
              </w:rPr>
              <w:t xml:space="preserve"> </w:t>
            </w:r>
            <w:r w:rsidR="007A653A" w:rsidRPr="00C860F8">
              <w:rPr>
                <w:rStyle w:val="Hyperlink"/>
                <w:b w:val="0"/>
                <w:bCs w:val="0"/>
                <w:color w:val="auto"/>
                <w:u w:val="none"/>
              </w:rPr>
              <w:t>DESCRIPCIÓN DEL PROGRAMA</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_Toc344927148 \h </w:instrText>
            </w:r>
            <w:r w:rsidR="00EF1F28" w:rsidRPr="00C860F8">
              <w:rPr>
                <w:b w:val="0"/>
                <w:bCs w:val="0"/>
                <w:webHidden/>
              </w:rPr>
            </w:r>
            <w:r w:rsidR="00EF1F28" w:rsidRPr="00C860F8">
              <w:rPr>
                <w:b w:val="0"/>
                <w:bCs w:val="0"/>
                <w:webHidden/>
              </w:rPr>
              <w:fldChar w:fldCharType="separate"/>
            </w:r>
            <w:r w:rsidR="00746A45">
              <w:rPr>
                <w:b w:val="0"/>
                <w:bCs w:val="0"/>
                <w:webHidden/>
              </w:rPr>
              <w:t>5</w:t>
            </w:r>
            <w:r w:rsidR="00EF1F28" w:rsidRPr="00C860F8">
              <w:rPr>
                <w:b w:val="0"/>
                <w:bCs w:val="0"/>
                <w:webHidden/>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49" w:history="1">
            <w:r w:rsidR="007A653A" w:rsidRPr="00C860F8">
              <w:rPr>
                <w:rStyle w:val="Hyperlink"/>
                <w:rFonts w:ascii="Times New Roman" w:hAnsi="Times New Roman"/>
                <w:i w:val="0"/>
                <w:iCs w:val="0"/>
                <w:noProof/>
                <w:color w:val="auto"/>
                <w:sz w:val="24"/>
                <w:u w:val="none"/>
                <w:lang w:val="es-ES_tradnl"/>
              </w:rPr>
              <w:t>A.</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 xml:space="preserve">Alcance del </w:t>
            </w:r>
            <w:r w:rsidR="007D08FD" w:rsidRPr="00C860F8">
              <w:rPr>
                <w:rStyle w:val="Hyperlink"/>
                <w:rFonts w:ascii="Times New Roman" w:hAnsi="Times New Roman"/>
                <w:i w:val="0"/>
                <w:iCs w:val="0"/>
                <w:noProof/>
                <w:color w:val="auto"/>
                <w:sz w:val="24"/>
                <w:u w:val="none"/>
                <w:lang w:val="es-ES_tradnl"/>
              </w:rPr>
              <w:t>programa</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_Toc344927149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5</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50" w:history="1">
            <w:r w:rsidR="007A653A" w:rsidRPr="00C860F8">
              <w:rPr>
                <w:rStyle w:val="Hyperlink"/>
                <w:rFonts w:ascii="Times New Roman" w:hAnsi="Times New Roman"/>
                <w:i w:val="0"/>
                <w:iCs w:val="0"/>
                <w:noProof/>
                <w:color w:val="auto"/>
                <w:sz w:val="24"/>
                <w:u w:val="none"/>
                <w:lang w:val="es-ES_tradnl"/>
              </w:rPr>
              <w:t>B.</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 xml:space="preserve">Objetivo de desarrollo del </w:t>
            </w:r>
            <w:r w:rsidR="00650A31" w:rsidRPr="00C860F8">
              <w:rPr>
                <w:rStyle w:val="Hyperlink"/>
                <w:rFonts w:ascii="Times New Roman" w:hAnsi="Times New Roman"/>
                <w:i w:val="0"/>
                <w:iCs w:val="0"/>
                <w:noProof/>
                <w:color w:val="auto"/>
                <w:sz w:val="24"/>
                <w:u w:val="none"/>
                <w:lang w:val="es-ES_tradnl"/>
              </w:rPr>
              <w:t>programa</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_Toc344927150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7</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51" w:history="1">
            <w:r w:rsidR="007A653A" w:rsidRPr="00C860F8">
              <w:rPr>
                <w:rStyle w:val="Hyperlink"/>
                <w:rFonts w:ascii="Times New Roman" w:hAnsi="Times New Roman"/>
                <w:i w:val="0"/>
                <w:iCs w:val="0"/>
                <w:noProof/>
                <w:color w:val="auto"/>
                <w:sz w:val="24"/>
                <w:u w:val="none"/>
                <w:lang w:val="es-ES_tradnl"/>
              </w:rPr>
              <w:t>C.</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 xml:space="preserve">Principales indicadores de resultados e indicadores vinculados </w:t>
            </w:r>
            <w:r w:rsidR="00E57E6E">
              <w:rPr>
                <w:rStyle w:val="Hyperlink"/>
                <w:rFonts w:ascii="Times New Roman" w:hAnsi="Times New Roman"/>
                <w:i w:val="0"/>
                <w:iCs w:val="0"/>
                <w:noProof/>
                <w:color w:val="auto"/>
                <w:sz w:val="24"/>
                <w:u w:val="none"/>
                <w:lang w:val="es-ES_tradnl"/>
              </w:rPr>
              <w:t>con</w:t>
            </w:r>
            <w:r w:rsidR="00E57E6E" w:rsidRPr="00C860F8">
              <w:rPr>
                <w:rStyle w:val="Hyperlink"/>
                <w:rFonts w:ascii="Times New Roman" w:hAnsi="Times New Roman"/>
                <w:i w:val="0"/>
                <w:iCs w:val="0"/>
                <w:noProof/>
                <w:color w:val="auto"/>
                <w:sz w:val="24"/>
                <w:u w:val="none"/>
                <w:lang w:val="es-ES_tradnl"/>
              </w:rPr>
              <w:t xml:space="preserve"> </w:t>
            </w:r>
            <w:r w:rsidR="007A653A" w:rsidRPr="00C860F8">
              <w:rPr>
                <w:rStyle w:val="Hyperlink"/>
                <w:rFonts w:ascii="Times New Roman" w:hAnsi="Times New Roman"/>
                <w:i w:val="0"/>
                <w:iCs w:val="0"/>
                <w:noProof/>
                <w:color w:val="auto"/>
                <w:sz w:val="24"/>
                <w:u w:val="none"/>
                <w:lang w:val="es-ES_tradnl"/>
              </w:rPr>
              <w:t xml:space="preserve">los desembolsos del </w:t>
            </w:r>
            <w:r w:rsidR="00650A31" w:rsidRPr="00C860F8">
              <w:rPr>
                <w:rStyle w:val="Hyperlink"/>
                <w:rFonts w:ascii="Times New Roman" w:hAnsi="Times New Roman"/>
                <w:i w:val="0"/>
                <w:iCs w:val="0"/>
                <w:noProof/>
                <w:color w:val="auto"/>
                <w:sz w:val="24"/>
                <w:u w:val="none"/>
                <w:lang w:val="es-ES_tradnl"/>
              </w:rPr>
              <w:t>programa</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_Toc344927151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8</w:t>
            </w:r>
            <w:r w:rsidR="00EF1F28" w:rsidRPr="00C860F8">
              <w:rPr>
                <w:rFonts w:ascii="Times New Roman" w:hAnsi="Times New Roman"/>
                <w:i w:val="0"/>
                <w:iCs w:val="0"/>
                <w:noProof/>
                <w:webHidden/>
                <w:sz w:val="24"/>
                <w:lang w:val="es-ES_tradnl"/>
              </w:rPr>
              <w:fldChar w:fldCharType="end"/>
            </w:r>
          </w:hyperlink>
        </w:p>
        <w:p w:rsidR="007A653A" w:rsidRPr="00C860F8" w:rsidRDefault="000817AF" w:rsidP="00C860F8">
          <w:pPr>
            <w:pStyle w:val="TOC1"/>
            <w:rPr>
              <w:b w:val="0"/>
              <w:bCs w:val="0"/>
              <w:lang w:eastAsia="es-AR"/>
            </w:rPr>
          </w:pPr>
          <w:hyperlink w:anchor="_Toc344927152" w:history="1">
            <w:r w:rsidR="007A653A" w:rsidRPr="00C860F8">
              <w:rPr>
                <w:rStyle w:val="Hyperlink"/>
                <w:b w:val="0"/>
                <w:bCs w:val="0"/>
                <w:color w:val="auto"/>
                <w:u w:val="none"/>
              </w:rPr>
              <w:t>III.</w:t>
            </w:r>
            <w:r w:rsidR="00C860F8" w:rsidRPr="00C860F8">
              <w:rPr>
                <w:rStyle w:val="Hyperlink"/>
                <w:b w:val="0"/>
                <w:bCs w:val="0"/>
                <w:color w:val="auto"/>
                <w:u w:val="none"/>
              </w:rPr>
              <w:t xml:space="preserve"> </w:t>
            </w:r>
            <w:r w:rsidR="007A653A" w:rsidRPr="00C860F8">
              <w:rPr>
                <w:rStyle w:val="Hyperlink"/>
                <w:b w:val="0"/>
                <w:bCs w:val="0"/>
                <w:color w:val="auto"/>
                <w:u w:val="none"/>
              </w:rPr>
              <w:t>EJECUCIÓN DEL PROGRAMA</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_Toc344927152 \h </w:instrText>
            </w:r>
            <w:r w:rsidR="00EF1F28" w:rsidRPr="00C860F8">
              <w:rPr>
                <w:b w:val="0"/>
                <w:bCs w:val="0"/>
                <w:webHidden/>
              </w:rPr>
            </w:r>
            <w:r w:rsidR="00EF1F28" w:rsidRPr="00C860F8">
              <w:rPr>
                <w:b w:val="0"/>
                <w:bCs w:val="0"/>
                <w:webHidden/>
              </w:rPr>
              <w:fldChar w:fldCharType="separate"/>
            </w:r>
            <w:r w:rsidR="00746A45">
              <w:rPr>
                <w:b w:val="0"/>
                <w:bCs w:val="0"/>
                <w:webHidden/>
              </w:rPr>
              <w:t>9</w:t>
            </w:r>
            <w:r w:rsidR="00EF1F28" w:rsidRPr="00C860F8">
              <w:rPr>
                <w:b w:val="0"/>
                <w:bCs w:val="0"/>
                <w:webHidden/>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53" w:history="1">
            <w:r w:rsidR="007A653A" w:rsidRPr="00C860F8">
              <w:rPr>
                <w:rStyle w:val="Hyperlink"/>
                <w:rFonts w:ascii="Times New Roman" w:hAnsi="Times New Roman"/>
                <w:i w:val="0"/>
                <w:iCs w:val="0"/>
                <w:noProof/>
                <w:color w:val="auto"/>
                <w:sz w:val="24"/>
                <w:u w:val="none"/>
                <w:lang w:val="es-ES_tradnl"/>
              </w:rPr>
              <w:t>A.</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Disposiciones institucionales y relativas a la ejecución</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_Toc344927153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9</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59" w:history="1">
            <w:r w:rsidR="007A653A" w:rsidRPr="00C860F8">
              <w:rPr>
                <w:rStyle w:val="Hyperlink"/>
                <w:rFonts w:ascii="Times New Roman" w:hAnsi="Times New Roman"/>
                <w:i w:val="0"/>
                <w:iCs w:val="0"/>
                <w:noProof/>
                <w:color w:val="auto"/>
                <w:sz w:val="24"/>
                <w:u w:val="none"/>
                <w:lang w:val="es-ES_tradnl"/>
              </w:rPr>
              <w:t>B.</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Seguimiento y evaluación de los resultados</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_Toc344927159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13</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60" w:history="1">
            <w:r w:rsidR="007A653A" w:rsidRPr="00C860F8">
              <w:rPr>
                <w:rStyle w:val="Hyperlink"/>
                <w:rFonts w:ascii="Times New Roman" w:hAnsi="Times New Roman"/>
                <w:i w:val="0"/>
                <w:iCs w:val="0"/>
                <w:noProof/>
                <w:color w:val="auto"/>
                <w:sz w:val="24"/>
                <w:u w:val="none"/>
                <w:lang w:val="es-ES_tradnl"/>
              </w:rPr>
              <w:t>C.</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Mecanismos de desembolso y protocolos de verificación</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_Toc344927160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14</w:t>
            </w:r>
            <w:r w:rsidR="00EF1F28" w:rsidRPr="00C860F8">
              <w:rPr>
                <w:rFonts w:ascii="Times New Roman" w:hAnsi="Times New Roman"/>
                <w:i w:val="0"/>
                <w:iCs w:val="0"/>
                <w:noProof/>
                <w:webHidden/>
                <w:sz w:val="24"/>
                <w:lang w:val="es-ES_tradnl"/>
              </w:rPr>
              <w:fldChar w:fldCharType="end"/>
            </w:r>
          </w:hyperlink>
        </w:p>
        <w:p w:rsidR="007A653A" w:rsidRPr="00C860F8" w:rsidRDefault="000817AF" w:rsidP="00C860F8">
          <w:pPr>
            <w:pStyle w:val="TOC1"/>
            <w:rPr>
              <w:b w:val="0"/>
              <w:bCs w:val="0"/>
              <w:lang w:eastAsia="es-AR"/>
            </w:rPr>
          </w:pPr>
          <w:hyperlink w:anchor="_Toc344927161" w:history="1">
            <w:r w:rsidR="007A653A" w:rsidRPr="00C860F8">
              <w:rPr>
                <w:rStyle w:val="Hyperlink"/>
                <w:b w:val="0"/>
                <w:bCs w:val="0"/>
                <w:color w:val="auto"/>
                <w:u w:val="none"/>
              </w:rPr>
              <w:t>IV.</w:t>
            </w:r>
            <w:r w:rsidR="00C860F8" w:rsidRPr="00C860F8">
              <w:rPr>
                <w:rStyle w:val="Hyperlink"/>
                <w:b w:val="0"/>
                <w:bCs w:val="0"/>
                <w:color w:val="auto"/>
                <w:u w:val="none"/>
              </w:rPr>
              <w:t xml:space="preserve"> </w:t>
            </w:r>
            <w:r w:rsidR="007A653A" w:rsidRPr="00C860F8">
              <w:rPr>
                <w:rStyle w:val="Hyperlink"/>
                <w:b w:val="0"/>
                <w:bCs w:val="0"/>
                <w:color w:val="auto"/>
                <w:u w:val="none"/>
              </w:rPr>
              <w:t>RESUMEN DE LAS EVALUACIONES</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_Toc344927161 \h </w:instrText>
            </w:r>
            <w:r w:rsidR="00EF1F28" w:rsidRPr="00C860F8">
              <w:rPr>
                <w:b w:val="0"/>
                <w:bCs w:val="0"/>
                <w:webHidden/>
              </w:rPr>
            </w:r>
            <w:r w:rsidR="00EF1F28" w:rsidRPr="00C860F8">
              <w:rPr>
                <w:b w:val="0"/>
                <w:bCs w:val="0"/>
                <w:webHidden/>
              </w:rPr>
              <w:fldChar w:fldCharType="separate"/>
            </w:r>
            <w:r w:rsidR="00746A45">
              <w:rPr>
                <w:b w:val="0"/>
                <w:bCs w:val="0"/>
                <w:webHidden/>
              </w:rPr>
              <w:t>15</w:t>
            </w:r>
            <w:r w:rsidR="00EF1F28" w:rsidRPr="00C860F8">
              <w:rPr>
                <w:b w:val="0"/>
                <w:bCs w:val="0"/>
                <w:webHidden/>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62" w:history="1">
            <w:r w:rsidR="007A653A" w:rsidRPr="00C860F8">
              <w:rPr>
                <w:rStyle w:val="Hyperlink"/>
                <w:rFonts w:ascii="Times New Roman" w:hAnsi="Times New Roman"/>
                <w:i w:val="0"/>
                <w:iCs w:val="0"/>
                <w:noProof/>
                <w:color w:val="auto"/>
                <w:sz w:val="24"/>
                <w:u w:val="none"/>
                <w:lang w:val="es-ES_tradnl"/>
              </w:rPr>
              <w:t>A.</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 xml:space="preserve">Aspectos técnicos (incluida la evaluación económica del </w:t>
            </w:r>
            <w:r w:rsidR="00650A31" w:rsidRPr="00C860F8">
              <w:rPr>
                <w:rStyle w:val="Hyperlink"/>
                <w:rFonts w:ascii="Times New Roman" w:hAnsi="Times New Roman"/>
                <w:i w:val="0"/>
                <w:iCs w:val="0"/>
                <w:noProof/>
                <w:color w:val="auto"/>
                <w:sz w:val="24"/>
                <w:u w:val="none"/>
                <w:lang w:val="es-ES_tradnl"/>
              </w:rPr>
              <w:t>programa</w:t>
            </w:r>
            <w:r w:rsidR="007A653A" w:rsidRPr="00C860F8">
              <w:rPr>
                <w:rStyle w:val="Hyperlink"/>
                <w:rFonts w:ascii="Times New Roman" w:hAnsi="Times New Roman"/>
                <w:i w:val="0"/>
                <w:iCs w:val="0"/>
                <w:noProof/>
                <w:color w:val="auto"/>
                <w:sz w:val="24"/>
                <w:u w:val="none"/>
                <w:lang w:val="es-ES_tradnl"/>
              </w:rPr>
              <w:t>)</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_Toc344927162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15</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63" w:history="1">
            <w:r w:rsidR="007A653A" w:rsidRPr="00C860F8">
              <w:rPr>
                <w:rStyle w:val="Hyperlink"/>
                <w:rFonts w:ascii="Times New Roman" w:hAnsi="Times New Roman"/>
                <w:i w:val="0"/>
                <w:iCs w:val="0"/>
                <w:noProof/>
                <w:color w:val="auto"/>
                <w:sz w:val="24"/>
                <w:u w:val="none"/>
                <w:lang w:val="es-ES_tradnl"/>
              </w:rPr>
              <w:t>B.</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Aspectos fiduciarios</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_Toc344927163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16</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64" w:history="1">
            <w:r w:rsidR="007A653A" w:rsidRPr="00C860F8">
              <w:rPr>
                <w:rStyle w:val="Hyperlink"/>
                <w:rFonts w:ascii="Times New Roman" w:hAnsi="Times New Roman"/>
                <w:i w:val="0"/>
                <w:iCs w:val="0"/>
                <w:noProof/>
                <w:color w:val="auto"/>
                <w:sz w:val="24"/>
                <w:u w:val="none"/>
                <w:lang w:val="es-ES_tradnl"/>
              </w:rPr>
              <w:t>C.</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Aspectos ambientales y sociales</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_Toc344927164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18</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Fonts w:ascii="Times New Roman" w:hAnsi="Times New Roman"/>
              <w:i w:val="0"/>
              <w:iCs w:val="0"/>
              <w:noProof/>
              <w:sz w:val="24"/>
              <w:lang w:val="es-ES_tradnl" w:eastAsia="es-AR"/>
            </w:rPr>
          </w:pPr>
          <w:hyperlink w:anchor="_Toc344927165" w:history="1">
            <w:r w:rsidR="007A653A" w:rsidRPr="00C860F8">
              <w:rPr>
                <w:rStyle w:val="Hyperlink"/>
                <w:rFonts w:ascii="Times New Roman" w:hAnsi="Times New Roman"/>
                <w:i w:val="0"/>
                <w:iCs w:val="0"/>
                <w:noProof/>
                <w:color w:val="auto"/>
                <w:sz w:val="24"/>
                <w:u w:val="none"/>
                <w:lang w:val="es-ES_tradnl"/>
              </w:rPr>
              <w:t>D.</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Resumen de la evaluación integrada de los riesgos</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_Toc344927165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20</w:t>
            </w:r>
            <w:r w:rsidR="00EF1F28" w:rsidRPr="00C860F8">
              <w:rPr>
                <w:rFonts w:ascii="Times New Roman" w:hAnsi="Times New Roman"/>
                <w:i w:val="0"/>
                <w:iCs w:val="0"/>
                <w:noProof/>
                <w:webHidden/>
                <w:sz w:val="24"/>
                <w:lang w:val="es-ES_tradnl"/>
              </w:rPr>
              <w:fldChar w:fldCharType="end"/>
            </w:r>
          </w:hyperlink>
        </w:p>
        <w:p w:rsidR="007A653A" w:rsidRPr="00C860F8" w:rsidRDefault="000817AF">
          <w:pPr>
            <w:pStyle w:val="TOC2"/>
            <w:tabs>
              <w:tab w:val="left" w:pos="660"/>
              <w:tab w:val="right" w:leader="dot" w:pos="9350"/>
            </w:tabs>
            <w:rPr>
              <w:rStyle w:val="Hyperlink"/>
              <w:noProof/>
            </w:rPr>
          </w:pPr>
          <w:hyperlink w:anchor="_Toc344927166" w:history="1">
            <w:r w:rsidR="007A653A" w:rsidRPr="00C860F8">
              <w:rPr>
                <w:rStyle w:val="Hyperlink"/>
                <w:rFonts w:ascii="Times New Roman" w:hAnsi="Times New Roman"/>
                <w:i w:val="0"/>
                <w:iCs w:val="0"/>
                <w:noProof/>
                <w:color w:val="auto"/>
                <w:sz w:val="24"/>
                <w:u w:val="none"/>
                <w:lang w:val="es-ES_tradnl"/>
              </w:rPr>
              <w:t>E.</w:t>
            </w:r>
            <w:r w:rsidR="007A653A" w:rsidRPr="00C860F8">
              <w:rPr>
                <w:rFonts w:ascii="Times New Roman" w:hAnsi="Times New Roman"/>
                <w:i w:val="0"/>
                <w:iCs w:val="0"/>
                <w:noProof/>
                <w:sz w:val="24"/>
                <w:lang w:val="es-ES_tradnl" w:eastAsia="es-AR"/>
              </w:rPr>
              <w:tab/>
            </w:r>
            <w:r w:rsidR="007A653A" w:rsidRPr="00C860F8">
              <w:rPr>
                <w:rStyle w:val="Hyperlink"/>
                <w:rFonts w:ascii="Times New Roman" w:hAnsi="Times New Roman"/>
                <w:i w:val="0"/>
                <w:iCs w:val="0"/>
                <w:noProof/>
                <w:color w:val="auto"/>
                <w:sz w:val="24"/>
                <w:u w:val="none"/>
                <w:lang w:val="es-ES_tradnl"/>
              </w:rPr>
              <w:t xml:space="preserve">Plan de Acción del </w:t>
            </w:r>
            <w:r w:rsidR="00650A31" w:rsidRPr="00C860F8">
              <w:rPr>
                <w:rStyle w:val="Hyperlink"/>
                <w:rFonts w:ascii="Times New Roman" w:hAnsi="Times New Roman"/>
                <w:i w:val="0"/>
                <w:iCs w:val="0"/>
                <w:noProof/>
                <w:color w:val="auto"/>
                <w:sz w:val="24"/>
                <w:u w:val="none"/>
                <w:lang w:val="es-ES_tradnl"/>
              </w:rPr>
              <w:t>programa</w:t>
            </w:r>
            <w:r w:rsidR="007A653A" w:rsidRPr="00C860F8">
              <w:rPr>
                <w:rFonts w:ascii="Times New Roman" w:hAnsi="Times New Roman"/>
                <w:i w:val="0"/>
                <w:iCs w:val="0"/>
                <w:noProof/>
                <w:webHidden/>
                <w:sz w:val="24"/>
                <w:lang w:val="es-ES_tradnl"/>
              </w:rPr>
              <w:tab/>
            </w:r>
            <w:r w:rsidR="00EF1F28" w:rsidRPr="00C860F8">
              <w:rPr>
                <w:rFonts w:ascii="Times New Roman" w:hAnsi="Times New Roman"/>
                <w:i w:val="0"/>
                <w:iCs w:val="0"/>
                <w:noProof/>
                <w:webHidden/>
                <w:sz w:val="24"/>
                <w:lang w:val="es-ES_tradnl"/>
              </w:rPr>
              <w:fldChar w:fldCharType="begin"/>
            </w:r>
            <w:r w:rsidR="007A653A" w:rsidRPr="00C860F8">
              <w:rPr>
                <w:rFonts w:ascii="Times New Roman" w:hAnsi="Times New Roman"/>
                <w:i w:val="0"/>
                <w:iCs w:val="0"/>
                <w:noProof/>
                <w:webHidden/>
                <w:sz w:val="24"/>
                <w:lang w:val="es-ES_tradnl"/>
              </w:rPr>
              <w:instrText xml:space="preserve"> PAGEREF _Toc344927166 \h </w:instrText>
            </w:r>
            <w:r w:rsidR="00EF1F28" w:rsidRPr="00C860F8">
              <w:rPr>
                <w:rFonts w:ascii="Times New Roman" w:hAnsi="Times New Roman"/>
                <w:i w:val="0"/>
                <w:iCs w:val="0"/>
                <w:noProof/>
                <w:webHidden/>
                <w:sz w:val="24"/>
                <w:lang w:val="es-ES_tradnl"/>
              </w:rPr>
            </w:r>
            <w:r w:rsidR="00EF1F28" w:rsidRPr="00C860F8">
              <w:rPr>
                <w:rFonts w:ascii="Times New Roman" w:hAnsi="Times New Roman"/>
                <w:i w:val="0"/>
                <w:iCs w:val="0"/>
                <w:noProof/>
                <w:webHidden/>
                <w:sz w:val="24"/>
                <w:lang w:val="es-ES_tradnl"/>
              </w:rPr>
              <w:fldChar w:fldCharType="separate"/>
            </w:r>
            <w:r w:rsidR="00746A45">
              <w:rPr>
                <w:rFonts w:ascii="Times New Roman" w:hAnsi="Times New Roman"/>
                <w:i w:val="0"/>
                <w:iCs w:val="0"/>
                <w:noProof/>
                <w:webHidden/>
                <w:sz w:val="24"/>
                <w:lang w:val="es-ES_tradnl"/>
              </w:rPr>
              <w:t>20</w:t>
            </w:r>
            <w:r w:rsidR="00EF1F28" w:rsidRPr="00C860F8">
              <w:rPr>
                <w:rFonts w:ascii="Times New Roman" w:hAnsi="Times New Roman"/>
                <w:i w:val="0"/>
                <w:iCs w:val="0"/>
                <w:noProof/>
                <w:webHidden/>
                <w:sz w:val="24"/>
                <w:lang w:val="es-ES_tradnl"/>
              </w:rPr>
              <w:fldChar w:fldCharType="end"/>
            </w:r>
          </w:hyperlink>
        </w:p>
        <w:p w:rsidR="007A5A0A" w:rsidRPr="00C860F8" w:rsidRDefault="007A5A0A" w:rsidP="007A5A0A">
          <w:pPr>
            <w:rPr>
              <w:rFonts w:ascii="Times New Roman" w:hAnsi="Times New Roman"/>
              <w:noProof/>
              <w:sz w:val="24"/>
              <w:szCs w:val="20"/>
              <w:lang w:val="es-ES_tradnl"/>
            </w:rPr>
          </w:pPr>
        </w:p>
        <w:p w:rsidR="007A5A0A" w:rsidRPr="00C860F8" w:rsidRDefault="007A5A0A" w:rsidP="007A5A0A">
          <w:pPr>
            <w:rPr>
              <w:rFonts w:ascii="Times New Roman" w:hAnsi="Times New Roman"/>
              <w:noProof/>
              <w:sz w:val="24"/>
              <w:szCs w:val="20"/>
              <w:lang w:val="es-ES_tradnl"/>
            </w:rPr>
          </w:pPr>
          <w:r w:rsidRPr="00C860F8">
            <w:rPr>
              <w:rFonts w:ascii="Times New Roman" w:hAnsi="Times New Roman"/>
              <w:noProof/>
              <w:sz w:val="24"/>
              <w:szCs w:val="20"/>
              <w:lang w:val="es-ES_tradnl"/>
            </w:rPr>
            <w:t>ANEXOS</w:t>
          </w:r>
        </w:p>
        <w:p w:rsidR="007A653A" w:rsidRPr="00C860F8" w:rsidRDefault="000817AF" w:rsidP="00C860F8">
          <w:pPr>
            <w:pStyle w:val="TOC1"/>
            <w:rPr>
              <w:b w:val="0"/>
              <w:bCs w:val="0"/>
              <w:lang w:eastAsia="es-AR"/>
            </w:rPr>
          </w:pPr>
          <w:hyperlink w:anchor="_Toc344927167" w:history="1">
            <w:r w:rsidR="007A653A" w:rsidRPr="00C860F8">
              <w:rPr>
                <w:rStyle w:val="Hyperlink"/>
                <w:b w:val="0"/>
                <w:bCs w:val="0"/>
                <w:color w:val="auto"/>
                <w:u w:val="none"/>
              </w:rPr>
              <w:t xml:space="preserve">Anexo 1. Descripción detallada del </w:t>
            </w:r>
            <w:r w:rsidR="00650A31" w:rsidRPr="00C860F8">
              <w:rPr>
                <w:rStyle w:val="Hyperlink"/>
                <w:b w:val="0"/>
                <w:bCs w:val="0"/>
                <w:color w:val="auto"/>
                <w:u w:val="none"/>
              </w:rPr>
              <w:t>programa</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_Toc344927167 \h </w:instrText>
            </w:r>
            <w:r w:rsidR="00EF1F28" w:rsidRPr="00C860F8">
              <w:rPr>
                <w:b w:val="0"/>
                <w:bCs w:val="0"/>
                <w:webHidden/>
              </w:rPr>
            </w:r>
            <w:r w:rsidR="00EF1F28" w:rsidRPr="00C860F8">
              <w:rPr>
                <w:b w:val="0"/>
                <w:bCs w:val="0"/>
                <w:webHidden/>
              </w:rPr>
              <w:fldChar w:fldCharType="separate"/>
            </w:r>
            <w:r w:rsidR="00746A45">
              <w:rPr>
                <w:b w:val="0"/>
                <w:bCs w:val="0"/>
                <w:webHidden/>
              </w:rPr>
              <w:t>22</w:t>
            </w:r>
            <w:r w:rsidR="00EF1F28" w:rsidRPr="00C860F8">
              <w:rPr>
                <w:b w:val="0"/>
                <w:bCs w:val="0"/>
                <w:webHidden/>
              </w:rPr>
              <w:fldChar w:fldCharType="end"/>
            </w:r>
          </w:hyperlink>
        </w:p>
        <w:p w:rsidR="007A653A" w:rsidRPr="00C860F8" w:rsidRDefault="000817AF" w:rsidP="00C860F8">
          <w:pPr>
            <w:pStyle w:val="TOC1"/>
            <w:rPr>
              <w:b w:val="0"/>
              <w:bCs w:val="0"/>
              <w:lang w:eastAsia="es-AR"/>
            </w:rPr>
          </w:pPr>
          <w:hyperlink w:anchor="_Toc344927176" w:history="1">
            <w:r w:rsidR="007A653A" w:rsidRPr="00C860F8">
              <w:rPr>
                <w:rStyle w:val="Hyperlink"/>
                <w:b w:val="0"/>
                <w:bCs w:val="0"/>
                <w:color w:val="auto"/>
                <w:u w:val="none"/>
              </w:rPr>
              <w:t>Anexo 2. Marco de resultados</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_Toc344927176 \h </w:instrText>
            </w:r>
            <w:r w:rsidR="00EF1F28" w:rsidRPr="00C860F8">
              <w:rPr>
                <w:b w:val="0"/>
                <w:bCs w:val="0"/>
                <w:webHidden/>
              </w:rPr>
            </w:r>
            <w:r w:rsidR="00EF1F28" w:rsidRPr="00C860F8">
              <w:rPr>
                <w:b w:val="0"/>
                <w:bCs w:val="0"/>
                <w:webHidden/>
              </w:rPr>
              <w:fldChar w:fldCharType="separate"/>
            </w:r>
            <w:r w:rsidR="00746A45">
              <w:rPr>
                <w:b w:val="0"/>
                <w:bCs w:val="0"/>
                <w:webHidden/>
              </w:rPr>
              <w:t>33</w:t>
            </w:r>
            <w:r w:rsidR="00EF1F28" w:rsidRPr="00C860F8">
              <w:rPr>
                <w:b w:val="0"/>
                <w:bCs w:val="0"/>
                <w:webHidden/>
              </w:rPr>
              <w:fldChar w:fldCharType="end"/>
            </w:r>
          </w:hyperlink>
        </w:p>
        <w:p w:rsidR="007A653A" w:rsidRPr="00C860F8" w:rsidRDefault="000817AF" w:rsidP="00C860F8">
          <w:pPr>
            <w:pStyle w:val="TOC1"/>
            <w:rPr>
              <w:b w:val="0"/>
              <w:bCs w:val="0"/>
              <w:lang w:eastAsia="es-AR"/>
            </w:rPr>
          </w:pPr>
          <w:hyperlink w:anchor="_Toc344927177" w:history="1">
            <w:r w:rsidR="007A653A" w:rsidRPr="00C860F8">
              <w:rPr>
                <w:rStyle w:val="Hyperlink"/>
                <w:b w:val="0"/>
                <w:bCs w:val="0"/>
                <w:color w:val="auto"/>
                <w:u w:val="none"/>
              </w:rPr>
              <w:t xml:space="preserve">Anexo 3. Indicadores vinculados </w:t>
            </w:r>
            <w:r w:rsidR="00E57E6E">
              <w:rPr>
                <w:rStyle w:val="Hyperlink"/>
                <w:b w:val="0"/>
                <w:bCs w:val="0"/>
                <w:color w:val="auto"/>
                <w:u w:val="none"/>
              </w:rPr>
              <w:t>con</w:t>
            </w:r>
            <w:r w:rsidR="00E57E6E" w:rsidRPr="00C860F8">
              <w:rPr>
                <w:rStyle w:val="Hyperlink"/>
                <w:b w:val="0"/>
                <w:bCs w:val="0"/>
                <w:color w:val="auto"/>
                <w:u w:val="none"/>
              </w:rPr>
              <w:t xml:space="preserve"> </w:t>
            </w:r>
            <w:r w:rsidR="007A653A" w:rsidRPr="00C860F8">
              <w:rPr>
                <w:rStyle w:val="Hyperlink"/>
                <w:b w:val="0"/>
                <w:bCs w:val="0"/>
                <w:color w:val="auto"/>
                <w:u w:val="none"/>
              </w:rPr>
              <w:t>los desembolsos, mecanismos de desembolso y protocolos de verificación</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_Toc344927177 \h </w:instrText>
            </w:r>
            <w:r w:rsidR="00EF1F28" w:rsidRPr="00C860F8">
              <w:rPr>
                <w:b w:val="0"/>
                <w:bCs w:val="0"/>
                <w:webHidden/>
              </w:rPr>
            </w:r>
            <w:r w:rsidR="00EF1F28" w:rsidRPr="00C860F8">
              <w:rPr>
                <w:b w:val="0"/>
                <w:bCs w:val="0"/>
                <w:webHidden/>
              </w:rPr>
              <w:fldChar w:fldCharType="separate"/>
            </w:r>
            <w:r w:rsidR="00746A45">
              <w:rPr>
                <w:b w:val="0"/>
                <w:bCs w:val="0"/>
                <w:webHidden/>
              </w:rPr>
              <w:t>35</w:t>
            </w:r>
            <w:r w:rsidR="00EF1F28" w:rsidRPr="00C860F8">
              <w:rPr>
                <w:b w:val="0"/>
                <w:bCs w:val="0"/>
                <w:webHidden/>
              </w:rPr>
              <w:fldChar w:fldCharType="end"/>
            </w:r>
          </w:hyperlink>
        </w:p>
        <w:p w:rsidR="007A653A" w:rsidRPr="00C860F8" w:rsidRDefault="000817AF" w:rsidP="00C860F8">
          <w:pPr>
            <w:pStyle w:val="TOC1"/>
            <w:rPr>
              <w:b w:val="0"/>
              <w:bCs w:val="0"/>
              <w:lang w:eastAsia="es-AR"/>
            </w:rPr>
          </w:pPr>
          <w:hyperlink w:anchor="_Toc344927178" w:history="1">
            <w:r w:rsidR="001C47AE" w:rsidRPr="00C860F8">
              <w:rPr>
                <w:rStyle w:val="Hyperlink"/>
                <w:b w:val="0"/>
                <w:bCs w:val="0"/>
                <w:color w:val="auto"/>
                <w:u w:val="none"/>
              </w:rPr>
              <w:t xml:space="preserve">Anexo 4. </w:t>
            </w:r>
            <w:r w:rsidR="007A653A" w:rsidRPr="00C860F8">
              <w:rPr>
                <w:rStyle w:val="Hyperlink"/>
                <w:b w:val="0"/>
                <w:bCs w:val="0"/>
                <w:color w:val="auto"/>
                <w:u w:val="none"/>
              </w:rPr>
              <w:t>Resumen de la evaluación técnica</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_Toc344927178 \h </w:instrText>
            </w:r>
            <w:r w:rsidR="00EF1F28" w:rsidRPr="00C860F8">
              <w:rPr>
                <w:b w:val="0"/>
                <w:bCs w:val="0"/>
                <w:webHidden/>
              </w:rPr>
            </w:r>
            <w:r w:rsidR="00EF1F28" w:rsidRPr="00C860F8">
              <w:rPr>
                <w:b w:val="0"/>
                <w:bCs w:val="0"/>
                <w:webHidden/>
              </w:rPr>
              <w:fldChar w:fldCharType="separate"/>
            </w:r>
            <w:r w:rsidR="00746A45">
              <w:rPr>
                <w:b w:val="0"/>
                <w:bCs w:val="0"/>
                <w:webHidden/>
              </w:rPr>
              <w:t>42</w:t>
            </w:r>
            <w:r w:rsidR="00EF1F28" w:rsidRPr="00C860F8">
              <w:rPr>
                <w:b w:val="0"/>
                <w:bCs w:val="0"/>
                <w:webHidden/>
              </w:rPr>
              <w:fldChar w:fldCharType="end"/>
            </w:r>
          </w:hyperlink>
        </w:p>
        <w:p w:rsidR="007A653A" w:rsidRPr="00C860F8" w:rsidRDefault="000817AF" w:rsidP="00C860F8">
          <w:pPr>
            <w:pStyle w:val="TOC1"/>
            <w:rPr>
              <w:b w:val="0"/>
              <w:bCs w:val="0"/>
              <w:lang w:eastAsia="es-AR"/>
            </w:rPr>
          </w:pPr>
          <w:hyperlink w:anchor="_Toc344927207" w:history="1">
            <w:r w:rsidR="007A653A" w:rsidRPr="00C860F8">
              <w:rPr>
                <w:rStyle w:val="Hyperlink"/>
                <w:b w:val="0"/>
                <w:bCs w:val="0"/>
                <w:color w:val="auto"/>
                <w:u w:val="none"/>
              </w:rPr>
              <w:t>Anexo 5. Resumen de la evaluación de los sistemas fiduciarios</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_Toc344927207 \h </w:instrText>
            </w:r>
            <w:r w:rsidR="00EF1F28" w:rsidRPr="00C860F8">
              <w:rPr>
                <w:b w:val="0"/>
                <w:bCs w:val="0"/>
                <w:webHidden/>
              </w:rPr>
            </w:r>
            <w:r w:rsidR="00EF1F28" w:rsidRPr="00C860F8">
              <w:rPr>
                <w:b w:val="0"/>
                <w:bCs w:val="0"/>
                <w:webHidden/>
              </w:rPr>
              <w:fldChar w:fldCharType="separate"/>
            </w:r>
            <w:r w:rsidR="00746A45">
              <w:rPr>
                <w:b w:val="0"/>
                <w:bCs w:val="0"/>
                <w:webHidden/>
              </w:rPr>
              <w:t>58</w:t>
            </w:r>
            <w:r w:rsidR="00EF1F28" w:rsidRPr="00C860F8">
              <w:rPr>
                <w:b w:val="0"/>
                <w:bCs w:val="0"/>
                <w:webHidden/>
              </w:rPr>
              <w:fldChar w:fldCharType="end"/>
            </w:r>
          </w:hyperlink>
        </w:p>
        <w:p w:rsidR="007A653A" w:rsidRPr="00C860F8" w:rsidRDefault="000817AF" w:rsidP="00C860F8">
          <w:pPr>
            <w:pStyle w:val="TOC1"/>
            <w:rPr>
              <w:rStyle w:val="Hyperlink"/>
            </w:rPr>
          </w:pPr>
          <w:hyperlink w:anchor="_Toc344927214" w:history="1">
            <w:r w:rsidR="007A653A" w:rsidRPr="00C860F8">
              <w:rPr>
                <w:rStyle w:val="Hyperlink"/>
                <w:b w:val="0"/>
                <w:bCs w:val="0"/>
                <w:color w:val="auto"/>
                <w:u w:val="none"/>
              </w:rPr>
              <w:t xml:space="preserve">Anexo 6. Resumen de la </w:t>
            </w:r>
            <w:r w:rsidR="00D61A8A">
              <w:rPr>
                <w:rStyle w:val="Hyperlink"/>
                <w:b w:val="0"/>
                <w:bCs w:val="0"/>
                <w:color w:val="auto"/>
                <w:u w:val="none"/>
              </w:rPr>
              <w:t>e</w:t>
            </w:r>
            <w:r w:rsidR="00D61A8A" w:rsidRPr="00C860F8">
              <w:rPr>
                <w:rStyle w:val="Hyperlink"/>
                <w:b w:val="0"/>
                <w:bCs w:val="0"/>
                <w:color w:val="auto"/>
                <w:u w:val="none"/>
              </w:rPr>
              <w:t xml:space="preserve">valuación </w:t>
            </w:r>
            <w:r w:rsidR="007A653A" w:rsidRPr="00C860F8">
              <w:rPr>
                <w:rStyle w:val="Hyperlink"/>
                <w:b w:val="0"/>
                <w:bCs w:val="0"/>
                <w:color w:val="auto"/>
                <w:u w:val="none"/>
              </w:rPr>
              <w:t xml:space="preserve">de los </w:t>
            </w:r>
            <w:r w:rsidR="00D61A8A">
              <w:rPr>
                <w:rStyle w:val="Hyperlink"/>
                <w:b w:val="0"/>
                <w:bCs w:val="0"/>
                <w:color w:val="auto"/>
                <w:u w:val="none"/>
              </w:rPr>
              <w:t>s</w:t>
            </w:r>
            <w:r w:rsidR="00D61A8A" w:rsidRPr="00C860F8">
              <w:rPr>
                <w:rStyle w:val="Hyperlink"/>
                <w:b w:val="0"/>
                <w:bCs w:val="0"/>
                <w:color w:val="auto"/>
                <w:u w:val="none"/>
              </w:rPr>
              <w:t xml:space="preserve">istemas </w:t>
            </w:r>
            <w:r w:rsidR="00D61A8A">
              <w:rPr>
                <w:rStyle w:val="Hyperlink"/>
                <w:b w:val="0"/>
                <w:bCs w:val="0"/>
                <w:color w:val="auto"/>
                <w:u w:val="none"/>
              </w:rPr>
              <w:t>a</w:t>
            </w:r>
            <w:r w:rsidR="00D61A8A" w:rsidRPr="00C860F8">
              <w:rPr>
                <w:rStyle w:val="Hyperlink"/>
                <w:b w:val="0"/>
                <w:bCs w:val="0"/>
                <w:color w:val="auto"/>
                <w:u w:val="none"/>
              </w:rPr>
              <w:t xml:space="preserve">mbientales </w:t>
            </w:r>
            <w:r w:rsidR="007A653A" w:rsidRPr="00C860F8">
              <w:rPr>
                <w:rStyle w:val="Hyperlink"/>
                <w:b w:val="0"/>
                <w:bCs w:val="0"/>
                <w:color w:val="auto"/>
                <w:u w:val="none"/>
              </w:rPr>
              <w:t xml:space="preserve">y </w:t>
            </w:r>
            <w:r w:rsidR="00D61A8A">
              <w:rPr>
                <w:rStyle w:val="Hyperlink"/>
                <w:b w:val="0"/>
                <w:bCs w:val="0"/>
                <w:color w:val="auto"/>
                <w:u w:val="none"/>
              </w:rPr>
              <w:t>s</w:t>
            </w:r>
            <w:r w:rsidR="00D61A8A" w:rsidRPr="00C860F8">
              <w:rPr>
                <w:rStyle w:val="Hyperlink"/>
                <w:b w:val="0"/>
                <w:bCs w:val="0"/>
                <w:color w:val="auto"/>
                <w:u w:val="none"/>
              </w:rPr>
              <w:t>ociales</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_Toc344927214 \h </w:instrText>
            </w:r>
            <w:r w:rsidR="00EF1F28" w:rsidRPr="00C860F8">
              <w:rPr>
                <w:b w:val="0"/>
                <w:bCs w:val="0"/>
                <w:webHidden/>
              </w:rPr>
            </w:r>
            <w:r w:rsidR="00EF1F28" w:rsidRPr="00C860F8">
              <w:rPr>
                <w:b w:val="0"/>
                <w:bCs w:val="0"/>
                <w:webHidden/>
              </w:rPr>
              <w:fldChar w:fldCharType="separate"/>
            </w:r>
            <w:r w:rsidR="00746A45">
              <w:rPr>
                <w:b w:val="0"/>
                <w:bCs w:val="0"/>
                <w:webHidden/>
              </w:rPr>
              <w:t>69</w:t>
            </w:r>
            <w:r w:rsidR="00EF1F28" w:rsidRPr="00C860F8">
              <w:rPr>
                <w:b w:val="0"/>
                <w:bCs w:val="0"/>
                <w:webHidden/>
              </w:rPr>
              <w:fldChar w:fldCharType="end"/>
            </w:r>
          </w:hyperlink>
        </w:p>
        <w:p w:rsidR="007A5A0A" w:rsidRPr="00C860F8" w:rsidRDefault="007A5A0A" w:rsidP="00E65F78">
          <w:pPr>
            <w:tabs>
              <w:tab w:val="left" w:leader="dot" w:pos="9072"/>
              <w:tab w:val="left" w:leader="dot" w:pos="9185"/>
              <w:tab w:val="left" w:leader="dot" w:pos="9350"/>
            </w:tabs>
            <w:rPr>
              <w:rFonts w:ascii="Times New Roman" w:hAnsi="Times New Roman"/>
              <w:noProof/>
              <w:sz w:val="24"/>
              <w:szCs w:val="20"/>
              <w:lang w:val="es-ES_tradnl"/>
            </w:rPr>
          </w:pPr>
          <w:r w:rsidRPr="00C860F8">
            <w:rPr>
              <w:rFonts w:ascii="Times New Roman" w:hAnsi="Times New Roman"/>
              <w:noProof/>
              <w:sz w:val="24"/>
              <w:szCs w:val="20"/>
              <w:lang w:val="es-ES_tradnl"/>
            </w:rPr>
            <w:t xml:space="preserve">Anexo 7. Evaluación </w:t>
          </w:r>
          <w:r w:rsidR="00D61A8A">
            <w:rPr>
              <w:rFonts w:ascii="Times New Roman" w:hAnsi="Times New Roman"/>
              <w:noProof/>
              <w:sz w:val="24"/>
              <w:szCs w:val="20"/>
              <w:lang w:val="es-ES_tradnl"/>
            </w:rPr>
            <w:t>i</w:t>
          </w:r>
          <w:r w:rsidR="00D61A8A" w:rsidRPr="00C860F8">
            <w:rPr>
              <w:rFonts w:ascii="Times New Roman" w:hAnsi="Times New Roman"/>
              <w:noProof/>
              <w:sz w:val="24"/>
              <w:szCs w:val="20"/>
              <w:lang w:val="es-ES_tradnl"/>
            </w:rPr>
            <w:t xml:space="preserve">ntegrada </w:t>
          </w:r>
          <w:r w:rsidRPr="00C860F8">
            <w:rPr>
              <w:rFonts w:ascii="Times New Roman" w:hAnsi="Times New Roman"/>
              <w:noProof/>
              <w:sz w:val="24"/>
              <w:szCs w:val="20"/>
              <w:lang w:val="es-ES_tradnl"/>
            </w:rPr>
            <w:t xml:space="preserve">de los </w:t>
          </w:r>
          <w:r w:rsidR="00D61A8A">
            <w:rPr>
              <w:rFonts w:ascii="Times New Roman" w:hAnsi="Times New Roman"/>
              <w:noProof/>
              <w:sz w:val="24"/>
              <w:szCs w:val="20"/>
              <w:lang w:val="es-ES_tradnl"/>
            </w:rPr>
            <w:t>r</w:t>
          </w:r>
          <w:r w:rsidR="00D61A8A" w:rsidRPr="00C860F8">
            <w:rPr>
              <w:rFonts w:ascii="Times New Roman" w:hAnsi="Times New Roman"/>
              <w:noProof/>
              <w:sz w:val="24"/>
              <w:szCs w:val="20"/>
              <w:lang w:val="es-ES_tradnl"/>
            </w:rPr>
            <w:t xml:space="preserve">iesgos </w:t>
          </w:r>
          <w:r w:rsidR="00C860F8">
            <w:rPr>
              <w:rFonts w:ascii="Times New Roman" w:hAnsi="Times New Roman"/>
              <w:noProof/>
              <w:sz w:val="24"/>
              <w:szCs w:val="20"/>
              <w:lang w:val="es-ES_tradnl"/>
            </w:rPr>
            <w:tab/>
          </w:r>
          <w:r w:rsidR="003F6499">
            <w:rPr>
              <w:rFonts w:ascii="Times New Roman" w:hAnsi="Times New Roman"/>
              <w:noProof/>
              <w:sz w:val="24"/>
              <w:szCs w:val="20"/>
              <w:lang w:val="es-ES_tradnl"/>
            </w:rPr>
            <w:t>83</w:t>
          </w:r>
        </w:p>
        <w:p w:rsidR="007A653A" w:rsidRPr="00C860F8" w:rsidRDefault="000817AF" w:rsidP="00C860F8">
          <w:pPr>
            <w:pStyle w:val="TOC1"/>
            <w:rPr>
              <w:b w:val="0"/>
              <w:bCs w:val="0"/>
              <w:lang w:eastAsia="es-AR"/>
            </w:rPr>
          </w:pPr>
          <w:hyperlink w:anchor="_Toc344927224" w:history="1">
            <w:r w:rsidR="007A653A" w:rsidRPr="00C860F8">
              <w:rPr>
                <w:rStyle w:val="Hyperlink"/>
                <w:b w:val="0"/>
                <w:bCs w:val="0"/>
                <w:color w:val="auto"/>
                <w:u w:val="none"/>
              </w:rPr>
              <w:t>Anexo 8</w:t>
            </w:r>
            <w:r w:rsidR="00E65F78">
              <w:rPr>
                <w:rStyle w:val="Hyperlink"/>
                <w:b w:val="0"/>
                <w:bCs w:val="0"/>
                <w:color w:val="auto"/>
                <w:u w:val="none"/>
              </w:rPr>
              <w:t>.</w:t>
            </w:r>
            <w:r w:rsidR="007A653A" w:rsidRPr="00C860F8">
              <w:rPr>
                <w:rStyle w:val="Hyperlink"/>
                <w:b w:val="0"/>
                <w:bCs w:val="0"/>
                <w:color w:val="auto"/>
                <w:u w:val="none"/>
              </w:rPr>
              <w:t xml:space="preserve"> Plan de Acción del </w:t>
            </w:r>
            <w:r w:rsidR="00650A31" w:rsidRPr="00C860F8">
              <w:rPr>
                <w:rStyle w:val="Hyperlink"/>
                <w:b w:val="0"/>
                <w:bCs w:val="0"/>
                <w:color w:val="auto"/>
                <w:u w:val="none"/>
              </w:rPr>
              <w:t>programa</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_Toc344927224 \h </w:instrText>
            </w:r>
            <w:r w:rsidR="00EF1F28" w:rsidRPr="00C860F8">
              <w:rPr>
                <w:b w:val="0"/>
                <w:bCs w:val="0"/>
                <w:webHidden/>
              </w:rPr>
            </w:r>
            <w:r w:rsidR="00EF1F28" w:rsidRPr="00C860F8">
              <w:rPr>
                <w:b w:val="0"/>
                <w:bCs w:val="0"/>
                <w:webHidden/>
              </w:rPr>
              <w:fldChar w:fldCharType="separate"/>
            </w:r>
            <w:r w:rsidR="00746A45">
              <w:rPr>
                <w:b w:val="0"/>
                <w:bCs w:val="0"/>
                <w:webHidden/>
              </w:rPr>
              <w:t>84</w:t>
            </w:r>
            <w:r w:rsidR="00EF1F28" w:rsidRPr="00C860F8">
              <w:rPr>
                <w:b w:val="0"/>
                <w:bCs w:val="0"/>
                <w:webHidden/>
              </w:rPr>
              <w:fldChar w:fldCharType="end"/>
            </w:r>
          </w:hyperlink>
        </w:p>
        <w:p w:rsidR="007A653A" w:rsidRPr="00C860F8" w:rsidRDefault="000817AF" w:rsidP="00C860F8">
          <w:pPr>
            <w:pStyle w:val="TOC1"/>
            <w:rPr>
              <w:b w:val="0"/>
              <w:bCs w:val="0"/>
            </w:rPr>
          </w:pPr>
          <w:hyperlink w:anchor="_Toc344927225" w:history="1">
            <w:r w:rsidR="007A653A" w:rsidRPr="00C860F8">
              <w:rPr>
                <w:rStyle w:val="Hyperlink"/>
                <w:b w:val="0"/>
                <w:bCs w:val="0"/>
                <w:color w:val="auto"/>
                <w:u w:val="none"/>
              </w:rPr>
              <w:t>Anexo 9</w:t>
            </w:r>
            <w:r w:rsidR="00E65F78">
              <w:rPr>
                <w:rStyle w:val="Hyperlink"/>
                <w:b w:val="0"/>
                <w:bCs w:val="0"/>
                <w:color w:val="auto"/>
                <w:u w:val="none"/>
              </w:rPr>
              <w:t>.</w:t>
            </w:r>
            <w:r w:rsidR="007A653A" w:rsidRPr="00C860F8">
              <w:rPr>
                <w:rStyle w:val="Hyperlink"/>
                <w:b w:val="0"/>
                <w:bCs w:val="0"/>
                <w:color w:val="auto"/>
                <w:u w:val="none"/>
              </w:rPr>
              <w:t xml:space="preserve"> Plan de apoyo a la ejecución</w:t>
            </w:r>
            <w:r w:rsidR="007A653A" w:rsidRPr="00C860F8">
              <w:rPr>
                <w:b w:val="0"/>
                <w:bCs w:val="0"/>
                <w:webHidden/>
              </w:rPr>
              <w:tab/>
            </w:r>
            <w:r w:rsidR="00EF1F28" w:rsidRPr="00C860F8">
              <w:rPr>
                <w:b w:val="0"/>
                <w:bCs w:val="0"/>
                <w:webHidden/>
              </w:rPr>
              <w:fldChar w:fldCharType="begin"/>
            </w:r>
            <w:r w:rsidR="007A653A" w:rsidRPr="00C860F8">
              <w:rPr>
                <w:b w:val="0"/>
                <w:bCs w:val="0"/>
                <w:webHidden/>
              </w:rPr>
              <w:instrText xml:space="preserve"> PAGEREF _Toc344927225 \h </w:instrText>
            </w:r>
            <w:r w:rsidR="00EF1F28" w:rsidRPr="00C860F8">
              <w:rPr>
                <w:b w:val="0"/>
                <w:bCs w:val="0"/>
                <w:webHidden/>
              </w:rPr>
            </w:r>
            <w:r w:rsidR="00EF1F28" w:rsidRPr="00C860F8">
              <w:rPr>
                <w:b w:val="0"/>
                <w:bCs w:val="0"/>
                <w:webHidden/>
              </w:rPr>
              <w:fldChar w:fldCharType="separate"/>
            </w:r>
            <w:r w:rsidR="00746A45">
              <w:rPr>
                <w:b w:val="0"/>
                <w:bCs w:val="0"/>
                <w:webHidden/>
              </w:rPr>
              <w:t>87</w:t>
            </w:r>
            <w:r w:rsidR="00EF1F28" w:rsidRPr="00C860F8">
              <w:rPr>
                <w:b w:val="0"/>
                <w:bCs w:val="0"/>
                <w:webHidden/>
              </w:rPr>
              <w:fldChar w:fldCharType="end"/>
            </w:r>
          </w:hyperlink>
        </w:p>
        <w:p w:rsidR="007C20D4" w:rsidRPr="00C860F8" w:rsidRDefault="007C20D4" w:rsidP="00E65F78">
          <w:pPr>
            <w:tabs>
              <w:tab w:val="left" w:leader="dot" w:pos="9072"/>
            </w:tabs>
            <w:rPr>
              <w:rFonts w:ascii="Times New Roman" w:hAnsi="Times New Roman"/>
              <w:noProof/>
              <w:sz w:val="24"/>
              <w:szCs w:val="20"/>
              <w:lang w:val="es-ES_tradnl"/>
            </w:rPr>
          </w:pPr>
          <w:r w:rsidRPr="00C860F8">
            <w:rPr>
              <w:rFonts w:ascii="Times New Roman" w:hAnsi="Times New Roman"/>
              <w:noProof/>
              <w:sz w:val="24"/>
              <w:szCs w:val="20"/>
              <w:lang w:val="es-ES_tradnl"/>
            </w:rPr>
            <w:t>Anexo 10</w:t>
          </w:r>
          <w:r w:rsidR="00E65F78">
            <w:rPr>
              <w:rFonts w:ascii="Times New Roman" w:hAnsi="Times New Roman"/>
              <w:noProof/>
              <w:sz w:val="24"/>
              <w:szCs w:val="20"/>
              <w:lang w:val="es-ES_tradnl"/>
            </w:rPr>
            <w:t>.</w:t>
          </w:r>
          <w:r w:rsidRPr="00C860F8">
            <w:rPr>
              <w:rFonts w:ascii="Times New Roman" w:hAnsi="Times New Roman"/>
              <w:noProof/>
              <w:sz w:val="24"/>
              <w:szCs w:val="20"/>
              <w:lang w:val="es-ES_tradnl"/>
            </w:rPr>
            <w:t xml:space="preserve"> Mapa de la</w:t>
          </w:r>
          <w:r w:rsidR="00E65F78">
            <w:rPr>
              <w:rFonts w:ascii="Times New Roman" w:hAnsi="Times New Roman"/>
              <w:noProof/>
              <w:sz w:val="24"/>
              <w:szCs w:val="20"/>
              <w:lang w:val="es-ES_tradnl"/>
            </w:rPr>
            <w:t xml:space="preserve"> Red Vial Nacional de Uruguay</w:t>
          </w:r>
          <w:r w:rsidR="00E65F78">
            <w:rPr>
              <w:rFonts w:ascii="Times New Roman" w:hAnsi="Times New Roman"/>
              <w:noProof/>
              <w:sz w:val="24"/>
              <w:szCs w:val="20"/>
              <w:lang w:val="es-ES_tradnl"/>
            </w:rPr>
            <w:tab/>
          </w:r>
          <w:r w:rsidRPr="00C860F8">
            <w:rPr>
              <w:rFonts w:ascii="Times New Roman" w:hAnsi="Times New Roman"/>
              <w:noProof/>
              <w:sz w:val="24"/>
              <w:szCs w:val="20"/>
              <w:lang w:val="es-ES_tradnl"/>
            </w:rPr>
            <w:t>9</w:t>
          </w:r>
          <w:r w:rsidR="003F6499">
            <w:rPr>
              <w:rFonts w:ascii="Times New Roman" w:hAnsi="Times New Roman"/>
              <w:noProof/>
              <w:sz w:val="24"/>
              <w:szCs w:val="20"/>
              <w:lang w:val="es-ES_tradnl"/>
            </w:rPr>
            <w:t>6</w:t>
          </w:r>
        </w:p>
        <w:p w:rsidR="00B034C5" w:rsidRPr="006D44FB" w:rsidRDefault="00EF1F28" w:rsidP="00B034C5">
          <w:pPr>
            <w:spacing w:after="0" w:line="240" w:lineRule="auto"/>
          </w:pPr>
          <w:r w:rsidRPr="00C860F8">
            <w:rPr>
              <w:rFonts w:ascii="Times New Roman" w:hAnsi="Times New Roman"/>
              <w:sz w:val="24"/>
              <w:szCs w:val="20"/>
              <w:lang w:val="es-ES_tradnl"/>
            </w:rPr>
            <w:fldChar w:fldCharType="end"/>
          </w:r>
        </w:p>
      </w:sdtContent>
    </w:sdt>
    <w:p w:rsidR="00A7596D" w:rsidRPr="00C860F8" w:rsidRDefault="001D2940">
      <w:pPr>
        <w:rPr>
          <w:rFonts w:ascii="Times New Roman" w:hAnsi="Times New Roman"/>
          <w:sz w:val="24"/>
          <w:szCs w:val="20"/>
        </w:rPr>
      </w:pPr>
      <w:r w:rsidRPr="00C860F8">
        <w:rPr>
          <w:rFonts w:ascii="Times New Roman" w:hAnsi="Times New Roman"/>
          <w:sz w:val="24"/>
          <w:szCs w:val="20"/>
        </w:rPr>
        <w:br w:type="page"/>
      </w:r>
    </w:p>
    <w:p w:rsidR="00A7596D" w:rsidRPr="006D44FB" w:rsidRDefault="00A7596D" w:rsidP="00A7596D">
      <w:pPr>
        <w:pStyle w:val="NoSpacing"/>
        <w:rPr>
          <w:rFonts w:ascii="Times New Roman" w:hAnsi="Times New Roman" w:cs="Times New Roman"/>
          <w:b/>
        </w:rPr>
      </w:pPr>
    </w:p>
    <w:tbl>
      <w:tblPr>
        <w:tblW w:w="9927"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7"/>
        <w:gridCol w:w="665"/>
        <w:gridCol w:w="521"/>
        <w:gridCol w:w="295"/>
        <w:gridCol w:w="86"/>
        <w:gridCol w:w="15"/>
        <w:gridCol w:w="409"/>
        <w:gridCol w:w="141"/>
        <w:gridCol w:w="63"/>
        <w:gridCol w:w="286"/>
        <w:gridCol w:w="321"/>
        <w:gridCol w:w="614"/>
        <w:gridCol w:w="137"/>
        <w:gridCol w:w="510"/>
        <w:gridCol w:w="299"/>
        <w:gridCol w:w="561"/>
        <w:gridCol w:w="158"/>
        <w:gridCol w:w="227"/>
        <w:gridCol w:w="54"/>
        <w:gridCol w:w="229"/>
        <w:gridCol w:w="306"/>
        <w:gridCol w:w="357"/>
        <w:gridCol w:w="368"/>
        <w:gridCol w:w="90"/>
        <w:gridCol w:w="52"/>
        <w:gridCol w:w="872"/>
        <w:gridCol w:w="23"/>
        <w:gridCol w:w="73"/>
        <w:gridCol w:w="414"/>
        <w:gridCol w:w="189"/>
        <w:gridCol w:w="567"/>
        <w:gridCol w:w="17"/>
        <w:gridCol w:w="173"/>
        <w:gridCol w:w="378"/>
        <w:gridCol w:w="403"/>
        <w:gridCol w:w="27"/>
      </w:tblGrid>
      <w:tr w:rsidR="00FF7EE4" w:rsidRPr="00AC438C">
        <w:trPr>
          <w:gridAfter w:val="1"/>
          <w:wAfter w:w="27" w:type="dxa"/>
          <w:trHeight w:val="401"/>
        </w:trPr>
        <w:tc>
          <w:tcPr>
            <w:tcW w:w="9900" w:type="dxa"/>
            <w:gridSpan w:val="35"/>
            <w:tcBorders>
              <w:top w:val="nil"/>
              <w:left w:val="nil"/>
              <w:bottom w:val="nil"/>
              <w:right w:val="nil"/>
            </w:tcBorders>
            <w:shd w:val="clear" w:color="auto" w:fill="FFFFFF"/>
            <w:tcMar>
              <w:top w:w="50" w:type="dxa"/>
              <w:left w:w="50" w:type="dxa"/>
              <w:bottom w:w="50" w:type="dxa"/>
              <w:right w:w="50" w:type="dxa"/>
            </w:tcMar>
            <w:vAlign w:val="center"/>
          </w:tcPr>
          <w:p w:rsidR="00FF7EE4" w:rsidRPr="00976BFF" w:rsidRDefault="00EE2522" w:rsidP="00241095">
            <w:pPr>
              <w:pStyle w:val="Tableheading"/>
              <w:spacing w:before="0" w:after="0"/>
              <w:rPr>
                <w:lang w:val="es-ES_tradnl"/>
              </w:rPr>
            </w:pPr>
            <w:r w:rsidRPr="00976BFF">
              <w:rPr>
                <w:lang w:val="es-ES_tradnl"/>
              </w:rPr>
              <w:t>FICHA DE DATOS DEL DOCUMENTO DE EVALUACIÓN INICIAL DEL PROGRAMA</w:t>
            </w:r>
          </w:p>
        </w:tc>
      </w:tr>
      <w:tr w:rsidR="00FF7EE4" w:rsidRPr="00976BFF">
        <w:trPr>
          <w:gridAfter w:val="1"/>
          <w:wAfter w:w="27" w:type="dxa"/>
          <w:trHeight w:val="145"/>
        </w:trPr>
        <w:tc>
          <w:tcPr>
            <w:tcW w:w="9900" w:type="dxa"/>
            <w:gridSpan w:val="35"/>
            <w:tcBorders>
              <w:top w:val="nil"/>
              <w:left w:val="nil"/>
              <w:bottom w:val="nil"/>
              <w:right w:val="nil"/>
            </w:tcBorders>
            <w:shd w:val="clear" w:color="auto" w:fill="FFFFFF"/>
            <w:tcMar>
              <w:top w:w="50" w:type="dxa"/>
              <w:left w:w="50" w:type="dxa"/>
              <w:bottom w:w="50" w:type="dxa"/>
              <w:right w:w="50" w:type="dxa"/>
            </w:tcMar>
            <w:vAlign w:val="center"/>
          </w:tcPr>
          <w:p w:rsidR="00FF7EE4" w:rsidRPr="00976BFF" w:rsidRDefault="001D2940" w:rsidP="00241095">
            <w:pPr>
              <w:pStyle w:val="Tableheading"/>
              <w:spacing w:before="0" w:after="0"/>
              <w:rPr>
                <w:color w:val="FFFFFF"/>
                <w:sz w:val="2"/>
                <w:szCs w:val="2"/>
                <w:lang w:val="es-ES_tradnl"/>
              </w:rPr>
            </w:pPr>
            <w:r w:rsidRPr="00976BFF">
              <w:rPr>
                <w:color w:val="FFFFFF"/>
                <w:sz w:val="2"/>
                <w:szCs w:val="2"/>
                <w:lang w:val="es-ES_tradnl"/>
              </w:rPr>
              <w:t>.</w:t>
            </w:r>
          </w:p>
        </w:tc>
      </w:tr>
      <w:tr w:rsidR="00FF7EE4" w:rsidRPr="00976BFF">
        <w:trPr>
          <w:gridAfter w:val="1"/>
          <w:wAfter w:w="27" w:type="dxa"/>
          <w:trHeight w:val="145"/>
        </w:trPr>
        <w:tc>
          <w:tcPr>
            <w:tcW w:w="9900" w:type="dxa"/>
            <w:gridSpan w:val="35"/>
            <w:tcBorders>
              <w:top w:val="nil"/>
              <w:left w:val="nil"/>
              <w:bottom w:val="nil"/>
              <w:right w:val="nil"/>
            </w:tcBorders>
            <w:shd w:val="clear" w:color="auto" w:fill="FFFFFF"/>
            <w:tcMar>
              <w:top w:w="50" w:type="dxa"/>
              <w:left w:w="50" w:type="dxa"/>
              <w:bottom w:w="50" w:type="dxa"/>
              <w:right w:w="50" w:type="dxa"/>
            </w:tcMar>
            <w:vAlign w:val="center"/>
          </w:tcPr>
          <w:p w:rsidR="00FF7EE4" w:rsidRPr="00976BFF" w:rsidRDefault="00EE2522" w:rsidP="00241095">
            <w:pPr>
              <w:pStyle w:val="Tableheading"/>
              <w:spacing w:before="0" w:after="0"/>
              <w:rPr>
                <w:lang w:val="es-ES_tradnl"/>
              </w:rPr>
            </w:pPr>
            <w:r w:rsidRPr="00976BFF">
              <w:rPr>
                <w:iCs/>
                <w:sz w:val="22"/>
                <w:lang w:val="es-ES_tradnl"/>
              </w:rPr>
              <w:t>República Oriental del Uruguay</w:t>
            </w:r>
          </w:p>
        </w:tc>
      </w:tr>
      <w:tr w:rsidR="00FF7EE4" w:rsidRPr="00AC438C">
        <w:trPr>
          <w:gridAfter w:val="1"/>
          <w:wAfter w:w="27" w:type="dxa"/>
          <w:trHeight w:val="145"/>
        </w:trPr>
        <w:tc>
          <w:tcPr>
            <w:tcW w:w="9900" w:type="dxa"/>
            <w:gridSpan w:val="35"/>
            <w:tcBorders>
              <w:top w:val="nil"/>
              <w:left w:val="nil"/>
              <w:bottom w:val="nil"/>
              <w:right w:val="nil"/>
            </w:tcBorders>
            <w:shd w:val="clear" w:color="auto" w:fill="FFFFFF"/>
            <w:tcMar>
              <w:top w:w="50" w:type="dxa"/>
              <w:left w:w="50" w:type="dxa"/>
              <w:bottom w:w="50" w:type="dxa"/>
              <w:right w:w="50" w:type="dxa"/>
            </w:tcMar>
            <w:vAlign w:val="center"/>
          </w:tcPr>
          <w:p w:rsidR="00FF7EE4" w:rsidRPr="00976BFF" w:rsidRDefault="006F3888" w:rsidP="00EE2522">
            <w:pPr>
              <w:spacing w:after="0" w:line="240" w:lineRule="auto"/>
              <w:jc w:val="center"/>
              <w:rPr>
                <w:rFonts w:ascii="Times New Roman" w:hAnsi="Times New Roman" w:cs="Times New Roman"/>
                <w:lang w:val="es-ES_tradnl"/>
              </w:rPr>
            </w:pPr>
            <w:r w:rsidRPr="00976BFF">
              <w:rPr>
                <w:rFonts w:ascii="Times New Roman" w:hAnsi="Times New Roman" w:cs="Times New Roman"/>
                <w:i/>
                <w:iCs/>
                <w:lang w:val="es-ES_tradnl"/>
              </w:rPr>
              <w:t>Programa</w:t>
            </w:r>
            <w:r w:rsidR="00EE2522" w:rsidRPr="00976BFF">
              <w:rPr>
                <w:rFonts w:ascii="Times New Roman" w:hAnsi="Times New Roman" w:cs="Times New Roman"/>
                <w:i/>
                <w:iCs/>
                <w:lang w:val="es-ES_tradnl"/>
              </w:rPr>
              <w:t xml:space="preserve"> de </w:t>
            </w:r>
            <w:r w:rsidR="00644BD6" w:rsidRPr="00976BFF">
              <w:rPr>
                <w:rFonts w:ascii="Times New Roman" w:hAnsi="Times New Roman" w:cs="Times New Roman"/>
                <w:i/>
                <w:iCs/>
                <w:lang w:val="es-ES_tradnl"/>
              </w:rPr>
              <w:t>R</w:t>
            </w:r>
            <w:r w:rsidR="00EE2522" w:rsidRPr="00976BFF">
              <w:rPr>
                <w:rFonts w:ascii="Times New Roman" w:hAnsi="Times New Roman" w:cs="Times New Roman"/>
                <w:i/>
                <w:iCs/>
                <w:lang w:val="es-ES_tradnl"/>
              </w:rPr>
              <w:t>ehabilitación y Mantenimiento Vial</w:t>
            </w:r>
          </w:p>
        </w:tc>
      </w:tr>
      <w:tr w:rsidR="00FF7EE4" w:rsidRPr="00AC438C">
        <w:trPr>
          <w:gridAfter w:val="1"/>
          <w:wAfter w:w="27" w:type="dxa"/>
          <w:trHeight w:val="239"/>
        </w:trPr>
        <w:tc>
          <w:tcPr>
            <w:tcW w:w="9900" w:type="dxa"/>
            <w:gridSpan w:val="35"/>
            <w:tcBorders>
              <w:top w:val="nil"/>
              <w:left w:val="nil"/>
              <w:bottom w:val="nil"/>
              <w:right w:val="nil"/>
            </w:tcBorders>
            <w:shd w:val="clear" w:color="auto" w:fill="FFFFFF"/>
            <w:tcMar>
              <w:top w:w="50" w:type="dxa"/>
              <w:left w:w="50" w:type="dxa"/>
              <w:bottom w:w="50" w:type="dxa"/>
              <w:right w:w="50" w:type="dxa"/>
            </w:tcMar>
            <w:vAlign w:val="center"/>
          </w:tcPr>
          <w:p w:rsidR="00241095" w:rsidRPr="00976BFF" w:rsidRDefault="00241095" w:rsidP="00241095">
            <w:pPr>
              <w:spacing w:after="0" w:line="240" w:lineRule="auto"/>
              <w:jc w:val="center"/>
              <w:rPr>
                <w:rFonts w:ascii="Times New Roman" w:hAnsi="Times New Roman" w:cs="Times New Roman"/>
                <w:b/>
                <w:bCs/>
                <w:lang w:val="es-ES_tradnl"/>
              </w:rPr>
            </w:pPr>
          </w:p>
          <w:p w:rsidR="00FF7EE4" w:rsidRPr="00976BFF" w:rsidRDefault="00EE2522" w:rsidP="006F3888">
            <w:pPr>
              <w:spacing w:after="0" w:line="240" w:lineRule="auto"/>
              <w:jc w:val="center"/>
              <w:rPr>
                <w:rFonts w:ascii="Times New Roman" w:hAnsi="Times New Roman" w:cs="Times New Roman"/>
                <w:lang w:val="es-ES_tradnl"/>
              </w:rPr>
            </w:pPr>
            <w:r w:rsidRPr="00976BFF">
              <w:rPr>
                <w:rFonts w:ascii="Times New Roman" w:hAnsi="Times New Roman" w:cs="Times New Roman"/>
                <w:b/>
                <w:bCs/>
                <w:lang w:val="es-ES_tradnl"/>
              </w:rPr>
              <w:t>DOCUMENTO DE EVALUACIÓN INICIAL DEL PROGRAMA</w:t>
            </w:r>
          </w:p>
        </w:tc>
      </w:tr>
      <w:tr w:rsidR="00FF7EE4" w:rsidRPr="00976BFF">
        <w:trPr>
          <w:gridAfter w:val="1"/>
          <w:wAfter w:w="27" w:type="dxa"/>
          <w:trHeight w:val="511"/>
        </w:trPr>
        <w:tc>
          <w:tcPr>
            <w:tcW w:w="9900" w:type="dxa"/>
            <w:gridSpan w:val="35"/>
            <w:vMerge w:val="restart"/>
            <w:tcBorders>
              <w:top w:val="nil"/>
              <w:left w:val="nil"/>
              <w:bottom w:val="nil"/>
              <w:right w:val="nil"/>
            </w:tcBorders>
            <w:shd w:val="clear" w:color="auto" w:fill="FFFFFF"/>
            <w:tcMar>
              <w:top w:w="50" w:type="dxa"/>
              <w:left w:w="50" w:type="dxa"/>
              <w:bottom w:w="50" w:type="dxa"/>
              <w:right w:w="50" w:type="dxa"/>
            </w:tcMar>
          </w:tcPr>
          <w:p w:rsidR="00FF7EE4" w:rsidRPr="00976BFF" w:rsidRDefault="00EE2522" w:rsidP="00241095">
            <w:pPr>
              <w:pStyle w:val="NoSpacing"/>
              <w:jc w:val="center"/>
              <w:rPr>
                <w:rFonts w:ascii="Times New Roman" w:hAnsi="Times New Roman" w:cs="Times New Roman"/>
                <w:i/>
                <w:lang w:val="es-ES_tradnl"/>
              </w:rPr>
            </w:pPr>
            <w:r w:rsidRPr="00976BFF">
              <w:rPr>
                <w:rFonts w:ascii="Times New Roman" w:hAnsi="Times New Roman" w:cs="Times New Roman"/>
                <w:i/>
                <w:iCs/>
                <w:lang w:val="es-ES_tradnl"/>
              </w:rPr>
              <w:t>Oficina Regional de América Latina y el Caribe</w:t>
            </w:r>
          </w:p>
          <w:p w:rsidR="004B3337" w:rsidRPr="00976BFF" w:rsidRDefault="00EE2522" w:rsidP="00241095">
            <w:pPr>
              <w:pStyle w:val="NoSpacing"/>
              <w:jc w:val="center"/>
              <w:rPr>
                <w:rFonts w:ascii="Times New Roman" w:hAnsi="Times New Roman" w:cs="Times New Roman"/>
                <w:lang w:val="es-ES_tradnl"/>
              </w:rPr>
            </w:pPr>
            <w:r w:rsidRPr="00976BFF">
              <w:rPr>
                <w:rFonts w:ascii="Times New Roman" w:hAnsi="Times New Roman" w:cs="Times New Roman"/>
                <w:i/>
                <w:lang w:val="es-ES_tradnl"/>
              </w:rPr>
              <w:t>Unidad de Transporte</w:t>
            </w:r>
          </w:p>
        </w:tc>
      </w:tr>
      <w:tr w:rsidR="00FF7EE4" w:rsidRPr="00976BFF">
        <w:trPr>
          <w:gridAfter w:val="1"/>
          <w:wAfter w:w="27" w:type="dxa"/>
          <w:trHeight w:val="511"/>
        </w:trPr>
        <w:tc>
          <w:tcPr>
            <w:tcW w:w="9900" w:type="dxa"/>
            <w:gridSpan w:val="35"/>
            <w:vMerge/>
            <w:tcBorders>
              <w:top w:val="nil"/>
              <w:left w:val="nil"/>
              <w:bottom w:val="single" w:sz="4" w:space="0" w:color="auto"/>
              <w:right w:val="nil"/>
            </w:tcBorders>
            <w:shd w:val="clear" w:color="auto" w:fill="FFFFFF"/>
            <w:tcMar>
              <w:top w:w="50" w:type="dxa"/>
              <w:left w:w="50" w:type="dxa"/>
              <w:bottom w:w="50" w:type="dxa"/>
              <w:right w:w="50" w:type="dxa"/>
            </w:tcMar>
          </w:tcPr>
          <w:p w:rsidR="00FF7EE4" w:rsidRPr="00976BFF" w:rsidRDefault="00FF7EE4" w:rsidP="00986C20">
            <w:pPr>
              <w:spacing w:line="240" w:lineRule="auto"/>
              <w:rPr>
                <w:rFonts w:ascii="Times New Roman" w:hAnsi="Times New Roman" w:cs="Times New Roman"/>
                <w:lang w:val="es-ES_tradnl"/>
              </w:rPr>
            </w:pPr>
          </w:p>
        </w:tc>
      </w:tr>
      <w:tr w:rsidR="00FF7EE4" w:rsidRPr="00976BFF">
        <w:trPr>
          <w:gridAfter w:val="1"/>
          <w:wAfter w:w="27" w:type="dxa"/>
          <w:trHeight w:val="20"/>
        </w:trPr>
        <w:tc>
          <w:tcPr>
            <w:tcW w:w="9900" w:type="dxa"/>
            <w:gridSpan w:val="35"/>
            <w:tcBorders>
              <w:top w:val="single" w:sz="4" w:space="0" w:color="auto"/>
              <w:left w:val="single" w:sz="4" w:space="0" w:color="auto"/>
              <w:bottom w:val="single" w:sz="4" w:space="0" w:color="000000"/>
              <w:right w:val="single" w:sz="4" w:space="0" w:color="auto"/>
            </w:tcBorders>
            <w:shd w:val="clear" w:color="auto" w:fill="000000"/>
            <w:tcMar>
              <w:top w:w="50" w:type="dxa"/>
              <w:left w:w="50" w:type="dxa"/>
              <w:bottom w:w="50" w:type="dxa"/>
              <w:right w:w="50" w:type="dxa"/>
            </w:tcMar>
            <w:vAlign w:val="center"/>
          </w:tcPr>
          <w:p w:rsidR="00FF7EE4"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FF7EE4" w:rsidRPr="00976BFF">
        <w:trPr>
          <w:gridAfter w:val="1"/>
          <w:wAfter w:w="27" w:type="dxa"/>
          <w:trHeight w:val="145"/>
        </w:trPr>
        <w:tc>
          <w:tcPr>
            <w:tcW w:w="9900" w:type="dxa"/>
            <w:gridSpan w:val="35"/>
            <w:tcBorders>
              <w:top w:val="single" w:sz="4" w:space="0" w:color="000000"/>
              <w:left w:val="single" w:sz="4" w:space="0" w:color="auto"/>
              <w:bottom w:val="single" w:sz="4" w:space="0" w:color="000000"/>
              <w:right w:val="single" w:sz="4" w:space="0" w:color="auto"/>
            </w:tcBorders>
            <w:shd w:val="clear" w:color="auto" w:fill="DCDCDC"/>
            <w:tcMar>
              <w:top w:w="50" w:type="dxa"/>
              <w:left w:w="50" w:type="dxa"/>
              <w:bottom w:w="50" w:type="dxa"/>
              <w:right w:w="50" w:type="dxa"/>
            </w:tcMar>
          </w:tcPr>
          <w:p w:rsidR="00FF7EE4" w:rsidRPr="00976BFF" w:rsidRDefault="00EE2522" w:rsidP="00241095">
            <w:pPr>
              <w:spacing w:after="0" w:line="240" w:lineRule="auto"/>
              <w:jc w:val="center"/>
              <w:rPr>
                <w:rFonts w:ascii="Times New Roman" w:hAnsi="Times New Roman" w:cs="Times New Roman"/>
                <w:lang w:val="es-ES_tradnl"/>
              </w:rPr>
            </w:pPr>
            <w:r w:rsidRPr="00976BFF">
              <w:rPr>
                <w:rFonts w:ascii="Times New Roman" w:hAnsi="Times New Roman" w:cs="Times New Roman"/>
                <w:b/>
                <w:bCs/>
                <w:lang w:val="es-ES_tradnl"/>
              </w:rPr>
              <w:t>Información básica</w:t>
            </w:r>
          </w:p>
        </w:tc>
      </w:tr>
      <w:tr w:rsidR="00FF7EE4" w:rsidRPr="00AC438C">
        <w:trPr>
          <w:gridAfter w:val="1"/>
          <w:wAfter w:w="27" w:type="dxa"/>
          <w:trHeight w:val="141"/>
        </w:trPr>
        <w:tc>
          <w:tcPr>
            <w:tcW w:w="2222" w:type="dxa"/>
            <w:gridSpan w:val="9"/>
            <w:tcBorders>
              <w:top w:val="single" w:sz="4" w:space="0" w:color="000000"/>
              <w:left w:val="single" w:sz="4" w:space="0" w:color="auto"/>
              <w:bottom w:val="nil"/>
              <w:right w:val="nil"/>
            </w:tcBorders>
            <w:shd w:val="clear" w:color="auto" w:fill="FFFFFF"/>
            <w:tcMar>
              <w:top w:w="50" w:type="dxa"/>
              <w:left w:w="50" w:type="dxa"/>
              <w:bottom w:w="50" w:type="dxa"/>
              <w:right w:w="50" w:type="dxa"/>
            </w:tcMar>
          </w:tcPr>
          <w:p w:rsidR="00FF7EE4" w:rsidRPr="00976BFF" w:rsidRDefault="00B7640E"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Fecha</w:t>
            </w:r>
            <w:r w:rsidR="001D2940" w:rsidRPr="00976BFF">
              <w:rPr>
                <w:rFonts w:ascii="Times New Roman" w:hAnsi="Times New Roman" w:cs="Times New Roman"/>
                <w:sz w:val="20"/>
                <w:szCs w:val="20"/>
                <w:lang w:val="es-ES_tradnl"/>
              </w:rPr>
              <w:t>:</w:t>
            </w:r>
          </w:p>
        </w:tc>
        <w:tc>
          <w:tcPr>
            <w:tcW w:w="2728" w:type="dxa"/>
            <w:gridSpan w:val="7"/>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A764A2" w:rsidRPr="00976BFF" w:rsidRDefault="00B7640E" w:rsidP="00B7640E">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12</w:t>
            </w:r>
            <w:r w:rsidR="004632FD" w:rsidRPr="00976BFF">
              <w:rPr>
                <w:rFonts w:ascii="Times New Roman" w:hAnsi="Times New Roman" w:cs="Times New Roman"/>
                <w:sz w:val="20"/>
                <w:szCs w:val="20"/>
                <w:lang w:val="es-ES_tradnl"/>
              </w:rPr>
              <w:t>/</w:t>
            </w:r>
            <w:r w:rsidR="00156CE6" w:rsidRPr="00976BFF">
              <w:rPr>
                <w:rFonts w:ascii="Times New Roman" w:hAnsi="Times New Roman" w:cs="Times New Roman"/>
                <w:sz w:val="20"/>
                <w:szCs w:val="20"/>
                <w:lang w:val="es-ES_tradnl"/>
              </w:rPr>
              <w:t>1</w:t>
            </w:r>
            <w:r w:rsidRPr="00976BFF">
              <w:rPr>
                <w:rFonts w:ascii="Times New Roman" w:hAnsi="Times New Roman" w:cs="Times New Roman"/>
                <w:sz w:val="20"/>
                <w:szCs w:val="20"/>
                <w:lang w:val="es-ES_tradnl"/>
              </w:rPr>
              <w:t>0</w:t>
            </w:r>
            <w:r w:rsidR="004632FD" w:rsidRPr="00976BFF">
              <w:rPr>
                <w:rFonts w:ascii="Times New Roman" w:hAnsi="Times New Roman" w:cs="Times New Roman"/>
                <w:sz w:val="20"/>
                <w:szCs w:val="20"/>
                <w:lang w:val="es-ES_tradnl"/>
              </w:rPr>
              <w:t>/2012</w:t>
            </w:r>
          </w:p>
        </w:tc>
        <w:tc>
          <w:tcPr>
            <w:tcW w:w="974" w:type="dxa"/>
            <w:gridSpan w:val="5"/>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FF7EE4" w:rsidRPr="00976BFF" w:rsidRDefault="001D2940" w:rsidP="00241095">
            <w:pPr>
              <w:spacing w:after="0" w:line="240" w:lineRule="auto"/>
              <w:ind w:right="-1039"/>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Sector</w:t>
            </w:r>
            <w:r w:rsidR="00425E87" w:rsidRPr="00976BFF">
              <w:rPr>
                <w:rFonts w:ascii="Times New Roman" w:hAnsi="Times New Roman" w:cs="Times New Roman"/>
                <w:sz w:val="20"/>
                <w:szCs w:val="20"/>
                <w:lang w:val="es-ES_tradnl"/>
              </w:rPr>
              <w:t>e</w:t>
            </w:r>
            <w:r w:rsidRPr="00976BFF">
              <w:rPr>
                <w:rFonts w:ascii="Times New Roman" w:hAnsi="Times New Roman" w:cs="Times New Roman"/>
                <w:sz w:val="20"/>
                <w:szCs w:val="20"/>
                <w:lang w:val="es-ES_tradnl"/>
              </w:rPr>
              <w:t>s:</w:t>
            </w:r>
          </w:p>
        </w:tc>
        <w:tc>
          <w:tcPr>
            <w:tcW w:w="3976" w:type="dxa"/>
            <w:gridSpan w:val="14"/>
            <w:tcBorders>
              <w:top w:val="single" w:sz="4" w:space="0" w:color="000000"/>
              <w:left w:val="nil"/>
              <w:bottom w:val="nil"/>
              <w:right w:val="single" w:sz="4" w:space="0" w:color="auto"/>
            </w:tcBorders>
            <w:shd w:val="clear" w:color="auto" w:fill="FFFFFF"/>
            <w:tcMar>
              <w:top w:w="50" w:type="dxa"/>
              <w:left w:w="50" w:type="dxa"/>
              <w:bottom w:w="50" w:type="dxa"/>
              <w:right w:w="50" w:type="dxa"/>
            </w:tcMar>
          </w:tcPr>
          <w:p w:rsidR="00FF7EE4" w:rsidRPr="00976BFF" w:rsidRDefault="00644BD6" w:rsidP="00DE366E">
            <w:pPr>
              <w:spacing w:after="0" w:line="240" w:lineRule="auto"/>
              <w:ind w:right="5"/>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R</w:t>
            </w:r>
            <w:r w:rsidR="00425E87" w:rsidRPr="00976BFF">
              <w:rPr>
                <w:rFonts w:ascii="Times New Roman" w:hAnsi="Times New Roman" w:cs="Times New Roman"/>
                <w:sz w:val="20"/>
                <w:szCs w:val="20"/>
                <w:lang w:val="es-ES_tradnl"/>
              </w:rPr>
              <w:t>utas</w:t>
            </w:r>
            <w:r w:rsidRPr="00976BFF">
              <w:rPr>
                <w:rFonts w:ascii="Times New Roman" w:hAnsi="Times New Roman" w:cs="Times New Roman"/>
                <w:sz w:val="20"/>
                <w:szCs w:val="20"/>
                <w:lang w:val="es-ES_tradnl"/>
              </w:rPr>
              <w:t xml:space="preserve"> (90%), </w:t>
            </w:r>
            <w:r w:rsidR="00DE366E" w:rsidRPr="00976BFF">
              <w:rPr>
                <w:rFonts w:ascii="Times New Roman" w:hAnsi="Times New Roman" w:cs="Times New Roman"/>
                <w:sz w:val="20"/>
                <w:szCs w:val="20"/>
                <w:lang w:val="es-ES_tradnl"/>
              </w:rPr>
              <w:t>sector de transporte en general</w:t>
            </w:r>
            <w:r w:rsidRPr="00976BFF">
              <w:rPr>
                <w:rFonts w:ascii="Times New Roman" w:hAnsi="Times New Roman" w:cs="Times New Roman"/>
                <w:sz w:val="20"/>
                <w:szCs w:val="20"/>
                <w:lang w:val="es-ES_tradnl"/>
              </w:rPr>
              <w:t xml:space="preserve"> (10%)</w:t>
            </w:r>
          </w:p>
        </w:tc>
      </w:tr>
      <w:tr w:rsidR="00FF7EE4" w:rsidRPr="00AC438C">
        <w:trPr>
          <w:gridAfter w:val="1"/>
          <w:wAfter w:w="27" w:type="dxa"/>
          <w:trHeight w:val="248"/>
        </w:trPr>
        <w:tc>
          <w:tcPr>
            <w:tcW w:w="2222" w:type="dxa"/>
            <w:gridSpan w:val="9"/>
            <w:tcBorders>
              <w:top w:val="nil"/>
              <w:left w:val="single" w:sz="4" w:space="0" w:color="auto"/>
              <w:bottom w:val="nil"/>
              <w:right w:val="nil"/>
            </w:tcBorders>
            <w:shd w:val="clear" w:color="auto" w:fill="FFFFFF"/>
            <w:tcMar>
              <w:top w:w="50" w:type="dxa"/>
              <w:left w:w="50" w:type="dxa"/>
              <w:bottom w:w="50" w:type="dxa"/>
              <w:right w:w="50" w:type="dxa"/>
            </w:tcMar>
          </w:tcPr>
          <w:p w:rsidR="00FF7EE4" w:rsidRPr="00976BFF" w:rsidRDefault="00B7640E"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Directora de país</w:t>
            </w:r>
            <w:r w:rsidR="001D2940" w:rsidRPr="00976BFF">
              <w:rPr>
                <w:rFonts w:ascii="Times New Roman" w:hAnsi="Times New Roman" w:cs="Times New Roman"/>
                <w:sz w:val="20"/>
                <w:szCs w:val="20"/>
                <w:lang w:val="es-ES_tradnl"/>
              </w:rPr>
              <w:t>:</w:t>
            </w:r>
          </w:p>
        </w:tc>
        <w:tc>
          <w:tcPr>
            <w:tcW w:w="2728"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FF7EE4" w:rsidRPr="00976BFF" w:rsidRDefault="00644BD6"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Penelope </w:t>
            </w:r>
            <w:r w:rsidR="00D74AD4" w:rsidRPr="00976BFF">
              <w:rPr>
                <w:rFonts w:ascii="Times New Roman" w:hAnsi="Times New Roman" w:cs="Times New Roman"/>
                <w:sz w:val="20"/>
                <w:szCs w:val="20"/>
                <w:lang w:val="es-ES_tradnl"/>
              </w:rPr>
              <w:t xml:space="preserve">J. </w:t>
            </w:r>
            <w:r w:rsidRPr="00976BFF">
              <w:rPr>
                <w:rFonts w:ascii="Times New Roman" w:hAnsi="Times New Roman" w:cs="Times New Roman"/>
                <w:sz w:val="20"/>
                <w:szCs w:val="20"/>
                <w:lang w:val="es-ES_tradnl"/>
              </w:rPr>
              <w:t>Brook</w:t>
            </w:r>
          </w:p>
        </w:tc>
        <w:tc>
          <w:tcPr>
            <w:tcW w:w="974"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FF7EE4" w:rsidRPr="00976BFF" w:rsidRDefault="001D2940" w:rsidP="00DE366E">
            <w:pPr>
              <w:spacing w:after="0" w:line="240" w:lineRule="auto"/>
              <w:ind w:right="-1039"/>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Tem</w:t>
            </w:r>
            <w:r w:rsidR="00DE366E" w:rsidRPr="00976BFF">
              <w:rPr>
                <w:rFonts w:ascii="Times New Roman" w:hAnsi="Times New Roman" w:cs="Times New Roman"/>
                <w:sz w:val="20"/>
                <w:szCs w:val="20"/>
                <w:lang w:val="es-ES_tradnl"/>
              </w:rPr>
              <w:t>a</w:t>
            </w:r>
            <w:r w:rsidRPr="00976BFF">
              <w:rPr>
                <w:rFonts w:ascii="Times New Roman" w:hAnsi="Times New Roman" w:cs="Times New Roman"/>
                <w:sz w:val="20"/>
                <w:szCs w:val="20"/>
                <w:lang w:val="es-ES_tradnl"/>
              </w:rPr>
              <w:t>s:</w:t>
            </w:r>
          </w:p>
        </w:tc>
        <w:tc>
          <w:tcPr>
            <w:tcW w:w="3976" w:type="dxa"/>
            <w:gridSpan w:val="14"/>
            <w:tcBorders>
              <w:top w:val="nil"/>
              <w:left w:val="nil"/>
              <w:bottom w:val="nil"/>
              <w:right w:val="single" w:sz="4" w:space="0" w:color="auto"/>
            </w:tcBorders>
            <w:shd w:val="clear" w:color="auto" w:fill="FFFFFF"/>
            <w:tcMar>
              <w:top w:w="50" w:type="dxa"/>
              <w:left w:w="50" w:type="dxa"/>
              <w:bottom w:w="50" w:type="dxa"/>
              <w:right w:w="50" w:type="dxa"/>
            </w:tcMar>
          </w:tcPr>
          <w:p w:rsidR="00FF7EE4" w:rsidRPr="00976BFF" w:rsidRDefault="00DE366E" w:rsidP="00DE366E">
            <w:pPr>
              <w:spacing w:after="0" w:line="240" w:lineRule="auto"/>
              <w:ind w:right="5"/>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Desarrollo y competitividad de las exportaciones</w:t>
            </w:r>
            <w:r w:rsidR="00644BD6" w:rsidRPr="00976BFF">
              <w:rPr>
                <w:rFonts w:ascii="Times New Roman" w:hAnsi="Times New Roman" w:cs="Times New Roman"/>
                <w:sz w:val="20"/>
                <w:szCs w:val="20"/>
                <w:lang w:val="es-ES_tradnl"/>
              </w:rPr>
              <w:t xml:space="preserve"> (100%)</w:t>
            </w:r>
          </w:p>
        </w:tc>
      </w:tr>
      <w:tr w:rsidR="00FF7EE4" w:rsidRPr="00AC438C">
        <w:trPr>
          <w:gridAfter w:val="1"/>
          <w:wAfter w:w="27" w:type="dxa"/>
          <w:trHeight w:val="145"/>
        </w:trPr>
        <w:tc>
          <w:tcPr>
            <w:tcW w:w="2222" w:type="dxa"/>
            <w:gridSpan w:val="9"/>
            <w:tcBorders>
              <w:top w:val="nil"/>
              <w:left w:val="single" w:sz="4" w:space="0" w:color="auto"/>
              <w:bottom w:val="nil"/>
              <w:right w:val="nil"/>
            </w:tcBorders>
            <w:shd w:val="clear" w:color="auto" w:fill="FFFFFF"/>
            <w:tcMar>
              <w:top w:w="50" w:type="dxa"/>
              <w:left w:w="50" w:type="dxa"/>
              <w:bottom w:w="50" w:type="dxa"/>
              <w:right w:w="50" w:type="dxa"/>
            </w:tcMar>
          </w:tcPr>
          <w:p w:rsidR="00FF7EE4" w:rsidRPr="00976BFF" w:rsidRDefault="00B7640E" w:rsidP="00B7640E">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Gerente/Director sectorial</w:t>
            </w:r>
            <w:r w:rsidR="001D2940" w:rsidRPr="00976BFF">
              <w:rPr>
                <w:rFonts w:ascii="Times New Roman" w:hAnsi="Times New Roman" w:cs="Times New Roman"/>
                <w:sz w:val="20"/>
                <w:szCs w:val="20"/>
                <w:lang w:val="es-ES_tradnl"/>
              </w:rPr>
              <w:t>:</w:t>
            </w:r>
          </w:p>
        </w:tc>
        <w:tc>
          <w:tcPr>
            <w:tcW w:w="2728"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FF7EE4" w:rsidRPr="00976BFF" w:rsidRDefault="00644BD6" w:rsidP="003C61E6">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Aurelio Men</w:t>
            </w:r>
            <w:r w:rsidR="003C61E6">
              <w:rPr>
                <w:rFonts w:ascii="Times New Roman" w:hAnsi="Times New Roman" w:cs="Times New Roman"/>
                <w:sz w:val="20"/>
                <w:szCs w:val="20"/>
                <w:lang w:val="es-ES_tradnl"/>
              </w:rPr>
              <w:t>é</w:t>
            </w:r>
            <w:r w:rsidRPr="00976BFF">
              <w:rPr>
                <w:rFonts w:ascii="Times New Roman" w:hAnsi="Times New Roman" w:cs="Times New Roman"/>
                <w:sz w:val="20"/>
                <w:szCs w:val="20"/>
                <w:lang w:val="es-ES_tradnl"/>
              </w:rPr>
              <w:t xml:space="preserve">ndez / Ede </w:t>
            </w:r>
            <w:r w:rsidR="00D74AD4" w:rsidRPr="00976BFF">
              <w:rPr>
                <w:rFonts w:ascii="Times New Roman" w:hAnsi="Times New Roman" w:cs="Times New Roman"/>
                <w:sz w:val="20"/>
                <w:szCs w:val="20"/>
                <w:lang w:val="es-ES_tradnl"/>
              </w:rPr>
              <w:t xml:space="preserve">J. </w:t>
            </w:r>
            <w:r w:rsidR="003C61E6">
              <w:rPr>
                <w:rFonts w:ascii="Times New Roman" w:hAnsi="Times New Roman" w:cs="Times New Roman"/>
                <w:sz w:val="20"/>
                <w:szCs w:val="20"/>
                <w:lang w:val="es-ES_tradnl"/>
              </w:rPr>
              <w:t>Ijjasz Vá</w:t>
            </w:r>
            <w:r w:rsidRPr="00976BFF">
              <w:rPr>
                <w:rFonts w:ascii="Times New Roman" w:hAnsi="Times New Roman" w:cs="Times New Roman"/>
                <w:sz w:val="20"/>
                <w:szCs w:val="20"/>
                <w:lang w:val="es-ES_tradnl"/>
              </w:rPr>
              <w:t>squez</w:t>
            </w:r>
          </w:p>
        </w:tc>
        <w:tc>
          <w:tcPr>
            <w:tcW w:w="974"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ind w:right="-1039"/>
              <w:rPr>
                <w:rFonts w:ascii="Times New Roman" w:hAnsi="Times New Roman" w:cs="Times New Roman"/>
                <w:sz w:val="20"/>
                <w:szCs w:val="20"/>
                <w:lang w:val="es-ES_tradnl"/>
              </w:rPr>
            </w:pPr>
          </w:p>
        </w:tc>
        <w:tc>
          <w:tcPr>
            <w:tcW w:w="3976" w:type="dxa"/>
            <w:gridSpan w:val="14"/>
            <w:tcBorders>
              <w:top w:val="nil"/>
              <w:left w:val="nil"/>
              <w:bottom w:val="nil"/>
              <w:right w:val="single" w:sz="4" w:space="0" w:color="auto"/>
            </w:tcBorders>
            <w:shd w:val="clear" w:color="auto" w:fill="FFFFFF"/>
            <w:tcMar>
              <w:top w:w="50" w:type="dxa"/>
              <w:left w:w="50" w:type="dxa"/>
              <w:bottom w:w="50" w:type="dxa"/>
              <w:right w:w="50" w:type="dxa"/>
            </w:tcMar>
          </w:tcPr>
          <w:p w:rsidR="00FF7EE4" w:rsidRPr="00976BFF" w:rsidRDefault="00FF7EE4" w:rsidP="00241095">
            <w:pPr>
              <w:spacing w:after="0" w:line="240" w:lineRule="auto"/>
              <w:ind w:right="-1039"/>
              <w:rPr>
                <w:rFonts w:ascii="Times New Roman" w:hAnsi="Times New Roman" w:cs="Times New Roman"/>
                <w:sz w:val="20"/>
                <w:szCs w:val="20"/>
                <w:lang w:val="es-ES_tradnl"/>
              </w:rPr>
            </w:pPr>
          </w:p>
        </w:tc>
      </w:tr>
      <w:tr w:rsidR="00FF7EE4" w:rsidRPr="00976BFF">
        <w:trPr>
          <w:gridAfter w:val="1"/>
          <w:wAfter w:w="27" w:type="dxa"/>
          <w:trHeight w:val="328"/>
        </w:trPr>
        <w:tc>
          <w:tcPr>
            <w:tcW w:w="2222" w:type="dxa"/>
            <w:gridSpan w:val="9"/>
            <w:tcBorders>
              <w:top w:val="nil"/>
              <w:left w:val="single" w:sz="4" w:space="0" w:color="auto"/>
              <w:bottom w:val="nil"/>
              <w:right w:val="nil"/>
            </w:tcBorders>
            <w:shd w:val="clear" w:color="auto" w:fill="FFFFFF"/>
            <w:tcMar>
              <w:top w:w="50" w:type="dxa"/>
              <w:left w:w="50" w:type="dxa"/>
              <w:bottom w:w="50" w:type="dxa"/>
              <w:right w:w="50" w:type="dxa"/>
            </w:tcMar>
          </w:tcPr>
          <w:p w:rsidR="00111DA6" w:rsidRPr="00976BFF" w:rsidRDefault="00B7640E" w:rsidP="00B7640E">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Número de identificación del </w:t>
            </w:r>
            <w:r w:rsidR="00650A31">
              <w:rPr>
                <w:rFonts w:ascii="Times New Roman" w:hAnsi="Times New Roman" w:cs="Times New Roman"/>
                <w:sz w:val="20"/>
                <w:szCs w:val="20"/>
                <w:lang w:val="es-ES_tradnl"/>
              </w:rPr>
              <w:t>programa</w:t>
            </w:r>
            <w:r w:rsidR="001D2940" w:rsidRPr="00976BFF">
              <w:rPr>
                <w:rFonts w:ascii="Times New Roman" w:hAnsi="Times New Roman" w:cs="Times New Roman"/>
                <w:sz w:val="20"/>
                <w:szCs w:val="20"/>
                <w:lang w:val="es-ES_tradnl"/>
              </w:rPr>
              <w:t>:</w:t>
            </w:r>
          </w:p>
        </w:tc>
        <w:tc>
          <w:tcPr>
            <w:tcW w:w="2728" w:type="dxa"/>
            <w:gridSpan w:val="7"/>
            <w:tcBorders>
              <w:top w:val="nil"/>
              <w:left w:val="nil"/>
              <w:bottom w:val="nil"/>
              <w:right w:val="single" w:sz="4" w:space="0" w:color="000000"/>
            </w:tcBorders>
            <w:shd w:val="clear" w:color="auto" w:fill="FFFFFF"/>
            <w:tcMar>
              <w:top w:w="50" w:type="dxa"/>
              <w:left w:w="50" w:type="dxa"/>
              <w:bottom w:w="50" w:type="dxa"/>
              <w:right w:w="50" w:type="dxa"/>
            </w:tcMar>
          </w:tcPr>
          <w:p w:rsidR="00FF7EE4" w:rsidRPr="00976BFF" w:rsidRDefault="00644BD6"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P125803</w:t>
            </w:r>
          </w:p>
        </w:tc>
        <w:tc>
          <w:tcPr>
            <w:tcW w:w="974" w:type="dxa"/>
            <w:gridSpan w:val="5"/>
            <w:tcBorders>
              <w:top w:val="nil"/>
              <w:left w:val="single" w:sz="4" w:space="0" w:color="000000"/>
              <w:bottom w:val="nil"/>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20"/>
                <w:szCs w:val="20"/>
                <w:lang w:val="es-ES_tradnl"/>
              </w:rPr>
            </w:pPr>
          </w:p>
        </w:tc>
        <w:tc>
          <w:tcPr>
            <w:tcW w:w="3976" w:type="dxa"/>
            <w:gridSpan w:val="14"/>
            <w:tcBorders>
              <w:top w:val="nil"/>
              <w:left w:val="nil"/>
              <w:bottom w:val="nil"/>
              <w:right w:val="single" w:sz="4" w:space="0" w:color="auto"/>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20"/>
                <w:szCs w:val="20"/>
                <w:lang w:val="es-ES_tradnl"/>
              </w:rPr>
            </w:pPr>
          </w:p>
        </w:tc>
      </w:tr>
      <w:tr w:rsidR="00FF7EE4" w:rsidRPr="00976BFF">
        <w:trPr>
          <w:gridAfter w:val="1"/>
          <w:wAfter w:w="27" w:type="dxa"/>
          <w:trHeight w:val="213"/>
        </w:trPr>
        <w:tc>
          <w:tcPr>
            <w:tcW w:w="2222" w:type="dxa"/>
            <w:gridSpan w:val="9"/>
            <w:tcBorders>
              <w:top w:val="nil"/>
              <w:left w:val="single" w:sz="4" w:space="0" w:color="auto"/>
              <w:bottom w:val="single" w:sz="4" w:space="0" w:color="auto"/>
              <w:right w:val="nil"/>
            </w:tcBorders>
            <w:shd w:val="clear" w:color="auto" w:fill="FFFFFF"/>
            <w:tcMar>
              <w:top w:w="50" w:type="dxa"/>
              <w:left w:w="50" w:type="dxa"/>
              <w:bottom w:w="50" w:type="dxa"/>
              <w:right w:w="50" w:type="dxa"/>
            </w:tcMar>
          </w:tcPr>
          <w:p w:rsidR="00FF7EE4" w:rsidRPr="00976BFF" w:rsidRDefault="00B7640E"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Gerente de proyecto</w:t>
            </w:r>
            <w:r w:rsidR="001D2940" w:rsidRPr="00976BFF">
              <w:rPr>
                <w:rFonts w:ascii="Times New Roman" w:hAnsi="Times New Roman" w:cs="Times New Roman"/>
                <w:sz w:val="20"/>
                <w:szCs w:val="20"/>
                <w:lang w:val="es-ES_tradnl"/>
              </w:rPr>
              <w:t>:</w:t>
            </w:r>
          </w:p>
        </w:tc>
        <w:tc>
          <w:tcPr>
            <w:tcW w:w="2728" w:type="dxa"/>
            <w:gridSpan w:val="7"/>
            <w:tcBorders>
              <w:top w:val="nil"/>
              <w:left w:val="nil"/>
              <w:bottom w:val="single" w:sz="4" w:space="0" w:color="auto"/>
              <w:right w:val="single" w:sz="4" w:space="0" w:color="000000"/>
            </w:tcBorders>
            <w:shd w:val="clear" w:color="auto" w:fill="FFFFFF"/>
            <w:tcMar>
              <w:top w:w="50" w:type="dxa"/>
              <w:left w:w="50" w:type="dxa"/>
              <w:bottom w:w="50" w:type="dxa"/>
              <w:right w:w="50" w:type="dxa"/>
            </w:tcMar>
          </w:tcPr>
          <w:p w:rsidR="00FF7EE4" w:rsidRPr="00976BFF" w:rsidRDefault="00644BD6"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Gregoire </w:t>
            </w:r>
            <w:r w:rsidR="008D54B9" w:rsidRPr="00976BFF">
              <w:rPr>
                <w:rFonts w:ascii="Times New Roman" w:hAnsi="Times New Roman" w:cs="Times New Roman"/>
                <w:sz w:val="20"/>
                <w:szCs w:val="20"/>
                <w:lang w:val="es-ES_tradnl"/>
              </w:rPr>
              <w:t xml:space="preserve">F. </w:t>
            </w:r>
            <w:r w:rsidRPr="00976BFF">
              <w:rPr>
                <w:rFonts w:ascii="Times New Roman" w:hAnsi="Times New Roman" w:cs="Times New Roman"/>
                <w:sz w:val="20"/>
                <w:szCs w:val="20"/>
                <w:lang w:val="es-ES_tradnl"/>
              </w:rPr>
              <w:t>Gauthier</w:t>
            </w:r>
          </w:p>
        </w:tc>
        <w:tc>
          <w:tcPr>
            <w:tcW w:w="974" w:type="dxa"/>
            <w:gridSpan w:val="5"/>
            <w:tcBorders>
              <w:top w:val="nil"/>
              <w:left w:val="single" w:sz="4" w:space="0" w:color="000000"/>
              <w:bottom w:val="single" w:sz="4" w:space="0" w:color="auto"/>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20"/>
                <w:szCs w:val="20"/>
                <w:lang w:val="es-ES_tradnl"/>
              </w:rPr>
            </w:pPr>
          </w:p>
        </w:tc>
        <w:tc>
          <w:tcPr>
            <w:tcW w:w="3976" w:type="dxa"/>
            <w:gridSpan w:val="14"/>
            <w:tcBorders>
              <w:top w:val="nil"/>
              <w:left w:val="nil"/>
              <w:bottom w:val="single" w:sz="4" w:space="0" w:color="auto"/>
              <w:right w:val="single" w:sz="4" w:space="0" w:color="auto"/>
            </w:tcBorders>
            <w:shd w:val="clear" w:color="auto" w:fill="FFFFFF"/>
          </w:tcPr>
          <w:p w:rsidR="00FF7EE4" w:rsidRPr="00976BFF" w:rsidRDefault="00FF7EE4" w:rsidP="00241095">
            <w:pPr>
              <w:spacing w:after="0" w:line="240" w:lineRule="auto"/>
              <w:rPr>
                <w:rFonts w:ascii="Times New Roman" w:hAnsi="Times New Roman" w:cs="Times New Roman"/>
                <w:sz w:val="20"/>
                <w:szCs w:val="20"/>
                <w:lang w:val="es-ES_tradnl"/>
              </w:rPr>
            </w:pPr>
          </w:p>
        </w:tc>
      </w:tr>
      <w:tr w:rsidR="00D74AD4" w:rsidRPr="00AC438C">
        <w:trPr>
          <w:gridAfter w:val="1"/>
          <w:wAfter w:w="27" w:type="dxa"/>
          <w:trHeight w:val="145"/>
        </w:trPr>
        <w:tc>
          <w:tcPr>
            <w:tcW w:w="9900" w:type="dxa"/>
            <w:gridSpan w:val="35"/>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tcPr>
          <w:p w:rsidR="00D74AD4" w:rsidRPr="00976BFF" w:rsidRDefault="00D74AD4" w:rsidP="00D74AD4">
            <w:pPr>
              <w:spacing w:after="0" w:line="240" w:lineRule="auto"/>
              <w:ind w:right="-23"/>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w:t>
            </w:r>
            <w:r w:rsidR="00DE366E" w:rsidRPr="00976BFF">
              <w:rPr>
                <w:rFonts w:ascii="Times New Roman" w:hAnsi="Times New Roman" w:cs="Times New Roman"/>
                <w:sz w:val="20"/>
                <w:szCs w:val="20"/>
                <w:lang w:val="es-ES_tradnl"/>
              </w:rPr>
              <w:t xml:space="preserve">eríodo de ejecución del </w:t>
            </w:r>
            <w:r w:rsidR="00650A31">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xml:space="preserve">: </w:t>
            </w:r>
            <w:r w:rsidRPr="00976BFF">
              <w:rPr>
                <w:rFonts w:ascii="Times New Roman" w:hAnsi="Times New Roman" w:cs="Times New Roman"/>
                <w:sz w:val="20"/>
                <w:szCs w:val="20"/>
                <w:lang w:val="es-ES_tradnl"/>
              </w:rPr>
              <w:tab/>
            </w:r>
            <w:r w:rsidR="00DE366E" w:rsidRPr="00976BFF">
              <w:rPr>
                <w:rFonts w:ascii="Times New Roman" w:hAnsi="Times New Roman" w:cs="Times New Roman"/>
                <w:sz w:val="20"/>
                <w:szCs w:val="20"/>
                <w:lang w:val="es-ES_tradnl"/>
              </w:rPr>
              <w:t>Fecha de inicio</w:t>
            </w:r>
            <w:r w:rsidRPr="00976BFF">
              <w:rPr>
                <w:rFonts w:ascii="Times New Roman" w:hAnsi="Times New Roman" w:cs="Times New Roman"/>
                <w:sz w:val="20"/>
                <w:szCs w:val="20"/>
                <w:lang w:val="es-ES_tradnl"/>
              </w:rPr>
              <w:t>:</w:t>
            </w:r>
            <w:r w:rsidR="00DE366E" w:rsidRPr="00976BFF">
              <w:rPr>
                <w:rFonts w:ascii="Times New Roman" w:hAnsi="Times New Roman" w:cs="Times New Roman"/>
                <w:sz w:val="20"/>
                <w:szCs w:val="20"/>
                <w:lang w:val="es-ES_tradnl"/>
              </w:rPr>
              <w:t xml:space="preserve"> </w:t>
            </w:r>
            <w:r w:rsidRPr="00976BFF">
              <w:rPr>
                <w:rFonts w:ascii="Times New Roman" w:hAnsi="Times New Roman" w:cs="Times New Roman"/>
                <w:sz w:val="20"/>
                <w:szCs w:val="20"/>
                <w:lang w:val="es-ES_tradnl"/>
              </w:rPr>
              <w:t xml:space="preserve">01/01/2013 </w:t>
            </w:r>
            <w:r w:rsidRPr="00976BFF">
              <w:rPr>
                <w:rFonts w:ascii="Times New Roman" w:hAnsi="Times New Roman" w:cs="Times New Roman"/>
                <w:sz w:val="20"/>
                <w:szCs w:val="20"/>
                <w:lang w:val="es-ES_tradnl"/>
              </w:rPr>
              <w:tab/>
            </w:r>
            <w:r w:rsidR="00DE366E" w:rsidRPr="00976BFF">
              <w:rPr>
                <w:rFonts w:ascii="Times New Roman" w:hAnsi="Times New Roman" w:cs="Times New Roman"/>
                <w:sz w:val="20"/>
                <w:szCs w:val="20"/>
                <w:lang w:val="es-ES_tradnl"/>
              </w:rPr>
              <w:t>Fecha de finalización</w:t>
            </w:r>
            <w:r w:rsidRPr="00976BFF">
              <w:rPr>
                <w:rFonts w:ascii="Times New Roman" w:hAnsi="Times New Roman" w:cs="Times New Roman"/>
                <w:sz w:val="20"/>
                <w:szCs w:val="20"/>
                <w:lang w:val="es-ES_tradnl"/>
              </w:rPr>
              <w:t>:</w:t>
            </w:r>
            <w:r w:rsidR="00DE366E" w:rsidRPr="00976BFF">
              <w:rPr>
                <w:rFonts w:ascii="Times New Roman" w:hAnsi="Times New Roman" w:cs="Times New Roman"/>
                <w:sz w:val="20"/>
                <w:szCs w:val="20"/>
                <w:lang w:val="es-ES_tradnl"/>
              </w:rPr>
              <w:t xml:space="preserve"> 3</w:t>
            </w:r>
            <w:r w:rsidRPr="00976BFF">
              <w:rPr>
                <w:rFonts w:ascii="Times New Roman" w:hAnsi="Times New Roman" w:cs="Times New Roman"/>
                <w:sz w:val="20"/>
                <w:szCs w:val="20"/>
                <w:lang w:val="es-ES_tradnl"/>
              </w:rPr>
              <w:t>1/1</w:t>
            </w:r>
            <w:r w:rsidR="00DE366E" w:rsidRPr="00976BFF">
              <w:rPr>
                <w:rFonts w:ascii="Times New Roman" w:hAnsi="Times New Roman" w:cs="Times New Roman"/>
                <w:sz w:val="20"/>
                <w:szCs w:val="20"/>
                <w:lang w:val="es-ES_tradnl"/>
              </w:rPr>
              <w:t>2</w:t>
            </w:r>
            <w:r w:rsidRPr="00976BFF">
              <w:rPr>
                <w:rFonts w:ascii="Times New Roman" w:hAnsi="Times New Roman" w:cs="Times New Roman"/>
                <w:sz w:val="20"/>
                <w:szCs w:val="20"/>
                <w:lang w:val="es-ES_tradnl"/>
              </w:rPr>
              <w:t>/2015</w:t>
            </w:r>
          </w:p>
          <w:p w:rsidR="00D74AD4" w:rsidRPr="00976BFF" w:rsidRDefault="00DE366E"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Fecha prevista de entrada en vigor del financiamiento</w:t>
            </w:r>
            <w:r w:rsidR="00D74AD4" w:rsidRPr="00976BFF">
              <w:rPr>
                <w:rFonts w:ascii="Times New Roman" w:hAnsi="Times New Roman" w:cs="Times New Roman"/>
                <w:sz w:val="20"/>
                <w:szCs w:val="20"/>
                <w:lang w:val="es-ES_tradnl"/>
              </w:rPr>
              <w:t xml:space="preserve">: </w:t>
            </w:r>
            <w:r w:rsidR="00D74AD4" w:rsidRPr="00976BFF">
              <w:rPr>
                <w:rFonts w:ascii="Times New Roman" w:hAnsi="Times New Roman" w:cs="Times New Roman"/>
                <w:sz w:val="20"/>
                <w:szCs w:val="20"/>
                <w:lang w:val="es-ES_tradnl"/>
              </w:rPr>
              <w:tab/>
              <w:t>31</w:t>
            </w:r>
            <w:r w:rsidRPr="00976BFF">
              <w:rPr>
                <w:rFonts w:ascii="Times New Roman" w:hAnsi="Times New Roman" w:cs="Times New Roman"/>
                <w:sz w:val="20"/>
                <w:szCs w:val="20"/>
                <w:lang w:val="es-ES_tradnl"/>
              </w:rPr>
              <w:t xml:space="preserve"> de diciembre de</w:t>
            </w:r>
            <w:r w:rsidR="00D74AD4" w:rsidRPr="00976BFF">
              <w:rPr>
                <w:rFonts w:ascii="Times New Roman" w:hAnsi="Times New Roman" w:cs="Times New Roman"/>
                <w:sz w:val="20"/>
                <w:szCs w:val="20"/>
                <w:lang w:val="es-ES_tradnl"/>
              </w:rPr>
              <w:t xml:space="preserve"> 2012</w:t>
            </w:r>
          </w:p>
          <w:p w:rsidR="00D74AD4" w:rsidRPr="00976BFF" w:rsidRDefault="00DE366E" w:rsidP="00DE366E">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Fecha prevista de cierre del financiamiento</w:t>
            </w:r>
            <w:r w:rsidR="00D74AD4" w:rsidRPr="00976BFF">
              <w:rPr>
                <w:rFonts w:ascii="Times New Roman" w:hAnsi="Times New Roman" w:cs="Times New Roman"/>
                <w:sz w:val="20"/>
                <w:szCs w:val="20"/>
                <w:lang w:val="es-ES_tradnl"/>
              </w:rPr>
              <w:t xml:space="preserve">: </w:t>
            </w:r>
            <w:r w:rsidR="00D74AD4" w:rsidRPr="00976BFF">
              <w:rPr>
                <w:rFonts w:ascii="Times New Roman" w:hAnsi="Times New Roman" w:cs="Times New Roman"/>
                <w:sz w:val="20"/>
                <w:szCs w:val="20"/>
                <w:lang w:val="es-ES_tradnl"/>
              </w:rPr>
              <w:tab/>
            </w:r>
            <w:r w:rsidR="00D74AD4" w:rsidRPr="00976BFF">
              <w:rPr>
                <w:rFonts w:ascii="Times New Roman" w:hAnsi="Times New Roman" w:cs="Times New Roman"/>
                <w:sz w:val="20"/>
                <w:szCs w:val="20"/>
                <w:lang w:val="es-ES_tradnl"/>
              </w:rPr>
              <w:tab/>
              <w:t>30</w:t>
            </w:r>
            <w:r w:rsidRPr="00976BFF">
              <w:rPr>
                <w:rFonts w:ascii="Times New Roman" w:hAnsi="Times New Roman" w:cs="Times New Roman"/>
                <w:sz w:val="20"/>
                <w:szCs w:val="20"/>
                <w:lang w:val="es-ES_tradnl"/>
              </w:rPr>
              <w:t xml:space="preserve"> de junio de</w:t>
            </w:r>
            <w:r w:rsidR="00D74AD4" w:rsidRPr="00976BFF">
              <w:rPr>
                <w:rFonts w:ascii="Times New Roman" w:hAnsi="Times New Roman" w:cs="Times New Roman"/>
                <w:sz w:val="20"/>
                <w:szCs w:val="20"/>
                <w:lang w:val="es-ES_tradnl"/>
              </w:rPr>
              <w:t xml:space="preserve"> 2016</w:t>
            </w:r>
          </w:p>
        </w:tc>
      </w:tr>
      <w:tr w:rsidR="00FF7EE4" w:rsidRPr="00976BFF">
        <w:trPr>
          <w:gridAfter w:val="1"/>
          <w:wAfter w:w="27" w:type="dxa"/>
          <w:trHeight w:val="145"/>
        </w:trPr>
        <w:tc>
          <w:tcPr>
            <w:tcW w:w="9900" w:type="dxa"/>
            <w:gridSpan w:val="35"/>
            <w:tcBorders>
              <w:top w:val="single" w:sz="4" w:space="0" w:color="auto"/>
              <w:left w:val="single" w:sz="4" w:space="0" w:color="auto"/>
              <w:bottom w:val="single" w:sz="4" w:space="0" w:color="000000"/>
              <w:right w:val="single" w:sz="4" w:space="0" w:color="auto"/>
            </w:tcBorders>
            <w:shd w:val="clear" w:color="auto" w:fill="000000"/>
            <w:tcMar>
              <w:top w:w="50" w:type="dxa"/>
              <w:left w:w="50" w:type="dxa"/>
              <w:bottom w:w="50" w:type="dxa"/>
              <w:right w:w="50" w:type="dxa"/>
            </w:tcMar>
            <w:vAlign w:val="center"/>
          </w:tcPr>
          <w:p w:rsidR="00FF7EE4"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FF7EE4" w:rsidRPr="00AC438C">
        <w:trPr>
          <w:gridAfter w:val="1"/>
          <w:wAfter w:w="27" w:type="dxa"/>
          <w:trHeight w:val="145"/>
        </w:trPr>
        <w:tc>
          <w:tcPr>
            <w:tcW w:w="9900" w:type="dxa"/>
            <w:gridSpan w:val="35"/>
            <w:tcBorders>
              <w:top w:val="single" w:sz="4" w:space="0" w:color="000000"/>
              <w:left w:val="single" w:sz="4" w:space="0" w:color="auto"/>
              <w:bottom w:val="single" w:sz="4" w:space="0" w:color="000000"/>
              <w:right w:val="single" w:sz="4" w:space="0" w:color="auto"/>
            </w:tcBorders>
            <w:shd w:val="clear" w:color="auto" w:fill="DCDCDC"/>
            <w:tcMar>
              <w:top w:w="50" w:type="dxa"/>
              <w:left w:w="50" w:type="dxa"/>
              <w:bottom w:w="50" w:type="dxa"/>
              <w:right w:w="50" w:type="dxa"/>
            </w:tcMar>
          </w:tcPr>
          <w:p w:rsidR="00FF7EE4" w:rsidRPr="00976BFF" w:rsidRDefault="003C207A" w:rsidP="003C207A">
            <w:pPr>
              <w:spacing w:after="0" w:line="240" w:lineRule="auto"/>
              <w:jc w:val="center"/>
              <w:rPr>
                <w:rFonts w:ascii="Times New Roman" w:hAnsi="Times New Roman" w:cs="Times New Roman"/>
                <w:lang w:val="es-ES_tradnl"/>
              </w:rPr>
            </w:pPr>
            <w:r w:rsidRPr="00976BFF">
              <w:rPr>
                <w:rFonts w:ascii="Times New Roman" w:hAnsi="Times New Roman" w:cs="Times New Roman"/>
                <w:b/>
                <w:bCs/>
                <w:lang w:val="es-ES_tradnl"/>
              </w:rPr>
              <w:t xml:space="preserve">Datos de financiamiento del </w:t>
            </w:r>
            <w:r w:rsidR="00650A31">
              <w:rPr>
                <w:rFonts w:ascii="Times New Roman" w:hAnsi="Times New Roman" w:cs="Times New Roman"/>
                <w:b/>
                <w:bCs/>
                <w:lang w:val="es-ES_tradnl"/>
              </w:rPr>
              <w:t>programa</w:t>
            </w:r>
          </w:p>
        </w:tc>
      </w:tr>
      <w:tr w:rsidR="00FF7EE4" w:rsidRPr="00AC438C">
        <w:trPr>
          <w:gridAfter w:val="1"/>
          <w:wAfter w:w="27" w:type="dxa"/>
          <w:trHeight w:val="145"/>
        </w:trPr>
        <w:tc>
          <w:tcPr>
            <w:tcW w:w="692" w:type="dxa"/>
            <w:gridSpan w:val="2"/>
            <w:tcBorders>
              <w:top w:val="single" w:sz="4" w:space="0" w:color="000000"/>
              <w:left w:val="single" w:sz="4" w:space="0" w:color="auto"/>
              <w:bottom w:val="nil"/>
              <w:right w:val="nil"/>
            </w:tcBorders>
            <w:shd w:val="clear" w:color="auto" w:fill="FFFFFF"/>
            <w:tcMar>
              <w:top w:w="50" w:type="dxa"/>
              <w:left w:w="50" w:type="dxa"/>
              <w:bottom w:w="50" w:type="dxa"/>
              <w:right w:w="50" w:type="dxa"/>
            </w:tcMar>
          </w:tcPr>
          <w:p w:rsidR="00FF7EE4"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w:t>
            </w:r>
            <w:r w:rsidR="00644BD6" w:rsidRPr="00976BFF">
              <w:rPr>
                <w:rFonts w:ascii="Times New Roman" w:hAnsi="Times New Roman" w:cs="Times New Roman"/>
                <w:sz w:val="16"/>
                <w:szCs w:val="16"/>
                <w:lang w:val="es-ES_tradnl"/>
              </w:rPr>
              <w:t>X</w:t>
            </w:r>
            <w:r w:rsidRPr="00976BFF">
              <w:rPr>
                <w:rFonts w:ascii="Times New Roman" w:hAnsi="Times New Roman" w:cs="Times New Roman"/>
                <w:sz w:val="16"/>
                <w:szCs w:val="16"/>
                <w:lang w:val="es-ES_tradnl"/>
              </w:rPr>
              <w:t xml:space="preserve"> ]</w:t>
            </w:r>
          </w:p>
        </w:tc>
        <w:tc>
          <w:tcPr>
            <w:tcW w:w="816" w:type="dxa"/>
            <w:gridSpan w:val="2"/>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FF7EE4" w:rsidRPr="00976BFF" w:rsidRDefault="003C207A"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Préstamo</w:t>
            </w:r>
          </w:p>
        </w:tc>
        <w:tc>
          <w:tcPr>
            <w:tcW w:w="510" w:type="dxa"/>
            <w:gridSpan w:val="3"/>
            <w:tcBorders>
              <w:top w:val="single" w:sz="4" w:space="0" w:color="000000"/>
              <w:left w:val="single" w:sz="4" w:space="0" w:color="000000"/>
              <w:bottom w:val="nil"/>
              <w:right w:val="nil"/>
            </w:tcBorders>
            <w:shd w:val="clear" w:color="auto" w:fill="FFFFFF"/>
            <w:tcMar>
              <w:top w:w="50" w:type="dxa"/>
              <w:left w:w="50" w:type="dxa"/>
              <w:bottom w:w="50" w:type="dxa"/>
              <w:right w:w="50" w:type="dxa"/>
            </w:tcMar>
          </w:tcPr>
          <w:p w:rsidR="00FF7EE4"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c>
          <w:tcPr>
            <w:tcW w:w="1562" w:type="dxa"/>
            <w:gridSpan w:val="6"/>
            <w:tcBorders>
              <w:top w:val="single" w:sz="4" w:space="0" w:color="000000"/>
              <w:left w:val="nil"/>
              <w:bottom w:val="nil"/>
              <w:right w:val="single" w:sz="4" w:space="0" w:color="000000"/>
            </w:tcBorders>
            <w:shd w:val="clear" w:color="auto" w:fill="FFFFFF"/>
            <w:tcMar>
              <w:top w:w="50" w:type="dxa"/>
              <w:left w:w="50" w:type="dxa"/>
              <w:bottom w:w="50" w:type="dxa"/>
              <w:right w:w="50" w:type="dxa"/>
            </w:tcMar>
          </w:tcPr>
          <w:p w:rsidR="00FF7EE4" w:rsidRPr="00976BFF" w:rsidRDefault="003C207A"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Donación</w:t>
            </w:r>
          </w:p>
        </w:tc>
        <w:tc>
          <w:tcPr>
            <w:tcW w:w="510" w:type="dxa"/>
            <w:vMerge w:val="restart"/>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c>
          <w:tcPr>
            <w:tcW w:w="5810" w:type="dxa"/>
            <w:gridSpan w:val="21"/>
            <w:vMerge w:val="restart"/>
            <w:tcBorders>
              <w:top w:val="single" w:sz="4" w:space="0" w:color="000000"/>
              <w:left w:val="nil"/>
              <w:bottom w:val="single" w:sz="4" w:space="0" w:color="000000"/>
              <w:right w:val="single" w:sz="4" w:space="0" w:color="auto"/>
            </w:tcBorders>
            <w:shd w:val="clear" w:color="auto" w:fill="FFFFFF"/>
            <w:tcMar>
              <w:top w:w="50" w:type="dxa"/>
              <w:left w:w="50" w:type="dxa"/>
              <w:bottom w:w="50" w:type="dxa"/>
              <w:right w:w="50" w:type="dxa"/>
            </w:tcMar>
          </w:tcPr>
          <w:p w:rsidR="00FF7EE4" w:rsidRPr="00976BFF" w:rsidRDefault="003C207A"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Condiciones</w:t>
            </w:r>
            <w:r w:rsidR="00586689" w:rsidRPr="00976BFF">
              <w:rPr>
                <w:rFonts w:ascii="Times New Roman" w:hAnsi="Times New Roman" w:cs="Times New Roman"/>
                <w:sz w:val="16"/>
                <w:szCs w:val="16"/>
                <w:lang w:val="es-ES_tradnl"/>
              </w:rPr>
              <w:t>:</w:t>
            </w:r>
          </w:p>
          <w:p w:rsidR="00586689" w:rsidRPr="00976BFF" w:rsidRDefault="000F7ECF"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Los préstamos flexibles del B</w:t>
            </w:r>
            <w:r w:rsidR="008877A5">
              <w:rPr>
                <w:rFonts w:ascii="Times New Roman" w:hAnsi="Times New Roman" w:cs="Times New Roman"/>
                <w:sz w:val="16"/>
                <w:szCs w:val="16"/>
                <w:lang w:val="es-ES_tradnl"/>
              </w:rPr>
              <w:t xml:space="preserve">anco </w:t>
            </w:r>
            <w:r w:rsidRPr="00976BFF">
              <w:rPr>
                <w:rFonts w:ascii="Times New Roman" w:hAnsi="Times New Roman" w:cs="Times New Roman"/>
                <w:sz w:val="16"/>
                <w:szCs w:val="16"/>
                <w:lang w:val="es-ES_tradnl"/>
              </w:rPr>
              <w:t>I</w:t>
            </w:r>
            <w:r w:rsidR="008877A5">
              <w:rPr>
                <w:rFonts w:ascii="Times New Roman" w:hAnsi="Times New Roman" w:cs="Times New Roman"/>
                <w:sz w:val="16"/>
                <w:szCs w:val="16"/>
                <w:lang w:val="es-ES_tradnl"/>
              </w:rPr>
              <w:t xml:space="preserve">nternacional de </w:t>
            </w:r>
            <w:r w:rsidRPr="00976BFF">
              <w:rPr>
                <w:rFonts w:ascii="Times New Roman" w:hAnsi="Times New Roman" w:cs="Times New Roman"/>
                <w:sz w:val="16"/>
                <w:szCs w:val="16"/>
                <w:lang w:val="es-ES_tradnl"/>
              </w:rPr>
              <w:t>R</w:t>
            </w:r>
            <w:r w:rsidR="008877A5">
              <w:rPr>
                <w:rFonts w:ascii="Times New Roman" w:hAnsi="Times New Roman" w:cs="Times New Roman"/>
                <w:sz w:val="16"/>
                <w:szCs w:val="16"/>
                <w:lang w:val="es-ES_tradnl"/>
              </w:rPr>
              <w:t xml:space="preserve">econstrucción y </w:t>
            </w:r>
            <w:r w:rsidRPr="00976BFF">
              <w:rPr>
                <w:rFonts w:ascii="Times New Roman" w:hAnsi="Times New Roman" w:cs="Times New Roman"/>
                <w:sz w:val="16"/>
                <w:szCs w:val="16"/>
                <w:lang w:val="es-ES_tradnl"/>
              </w:rPr>
              <w:t>F</w:t>
            </w:r>
            <w:r w:rsidR="008877A5">
              <w:rPr>
                <w:rFonts w:ascii="Times New Roman" w:hAnsi="Times New Roman" w:cs="Times New Roman"/>
                <w:sz w:val="16"/>
                <w:szCs w:val="16"/>
                <w:lang w:val="es-ES_tradnl"/>
              </w:rPr>
              <w:t>omento</w:t>
            </w:r>
            <w:r w:rsidRPr="00976BFF">
              <w:rPr>
                <w:rFonts w:ascii="Times New Roman" w:hAnsi="Times New Roman" w:cs="Times New Roman"/>
                <w:sz w:val="16"/>
                <w:szCs w:val="16"/>
                <w:lang w:val="es-ES_tradnl"/>
              </w:rPr>
              <w:t xml:space="preserve"> devengan intereses a la tasa de referencia más un margen variable, y tienen un período de reembolso de </w:t>
            </w:r>
            <w:r w:rsidR="00586689" w:rsidRPr="00976BFF">
              <w:rPr>
                <w:rFonts w:ascii="Times New Roman" w:hAnsi="Times New Roman" w:cs="Times New Roman"/>
                <w:sz w:val="16"/>
                <w:szCs w:val="16"/>
                <w:lang w:val="es-ES_tradnl"/>
              </w:rPr>
              <w:t>20</w:t>
            </w:r>
            <w:r w:rsidRPr="00976BFF">
              <w:rPr>
                <w:rFonts w:ascii="Times New Roman" w:hAnsi="Times New Roman" w:cs="Times New Roman"/>
                <w:sz w:val="16"/>
                <w:szCs w:val="16"/>
                <w:lang w:val="es-ES_tradnl"/>
              </w:rPr>
              <w:t>,</w:t>
            </w:r>
            <w:r w:rsidR="00586689" w:rsidRPr="00976BFF">
              <w:rPr>
                <w:rFonts w:ascii="Times New Roman" w:hAnsi="Times New Roman" w:cs="Times New Roman"/>
                <w:sz w:val="16"/>
                <w:szCs w:val="16"/>
                <w:lang w:val="es-ES_tradnl"/>
              </w:rPr>
              <w:t xml:space="preserve">5 </w:t>
            </w:r>
            <w:r w:rsidRPr="00976BFF">
              <w:rPr>
                <w:rFonts w:ascii="Times New Roman" w:hAnsi="Times New Roman" w:cs="Times New Roman"/>
                <w:sz w:val="16"/>
                <w:szCs w:val="16"/>
                <w:lang w:val="es-ES_tradnl"/>
              </w:rPr>
              <w:t xml:space="preserve">años, que incluye un período de gracia de </w:t>
            </w:r>
            <w:r w:rsidR="00586689" w:rsidRPr="00976BFF">
              <w:rPr>
                <w:rFonts w:ascii="Times New Roman" w:hAnsi="Times New Roman" w:cs="Times New Roman"/>
                <w:sz w:val="16"/>
                <w:szCs w:val="16"/>
                <w:lang w:val="es-ES_tradnl"/>
              </w:rPr>
              <w:t xml:space="preserve">15 </w:t>
            </w:r>
            <w:r w:rsidRPr="00976BFF">
              <w:rPr>
                <w:rFonts w:ascii="Times New Roman" w:hAnsi="Times New Roman" w:cs="Times New Roman"/>
                <w:sz w:val="16"/>
                <w:szCs w:val="16"/>
                <w:lang w:val="es-ES_tradnl"/>
              </w:rPr>
              <w:t>años</w:t>
            </w:r>
            <w:r w:rsidR="00586689" w:rsidRPr="00976BFF">
              <w:rPr>
                <w:rFonts w:ascii="Times New Roman" w:hAnsi="Times New Roman" w:cs="Times New Roman"/>
                <w:sz w:val="16"/>
                <w:szCs w:val="16"/>
                <w:lang w:val="es-ES_tradnl"/>
              </w:rPr>
              <w:t>.</w:t>
            </w:r>
          </w:p>
        </w:tc>
      </w:tr>
      <w:tr w:rsidR="00FF7EE4" w:rsidRPr="00976BFF">
        <w:trPr>
          <w:gridAfter w:val="1"/>
          <w:wAfter w:w="27" w:type="dxa"/>
          <w:trHeight w:val="145"/>
        </w:trPr>
        <w:tc>
          <w:tcPr>
            <w:tcW w:w="692" w:type="dxa"/>
            <w:gridSpan w:val="2"/>
            <w:tcBorders>
              <w:top w:val="nil"/>
              <w:left w:val="single" w:sz="4" w:space="0" w:color="auto"/>
              <w:bottom w:val="single" w:sz="4" w:space="0" w:color="000000"/>
              <w:right w:val="nil"/>
            </w:tcBorders>
            <w:shd w:val="clear" w:color="auto" w:fill="FFFFFF"/>
            <w:tcMar>
              <w:top w:w="50" w:type="dxa"/>
              <w:left w:w="50" w:type="dxa"/>
              <w:bottom w:w="50" w:type="dxa"/>
              <w:right w:w="50" w:type="dxa"/>
            </w:tcMar>
          </w:tcPr>
          <w:p w:rsidR="00FF7EE4"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c>
          <w:tcPr>
            <w:tcW w:w="816" w:type="dxa"/>
            <w:gridSpan w:val="2"/>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FF7EE4" w:rsidRPr="00976BFF" w:rsidRDefault="001D2940" w:rsidP="003C207A">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Cr</w:t>
            </w:r>
            <w:r w:rsidR="003C207A" w:rsidRPr="00976BFF">
              <w:rPr>
                <w:rFonts w:ascii="Times New Roman" w:hAnsi="Times New Roman" w:cs="Times New Roman"/>
                <w:sz w:val="16"/>
                <w:szCs w:val="16"/>
                <w:lang w:val="es-ES_tradnl"/>
              </w:rPr>
              <w:t>é</w:t>
            </w:r>
            <w:r w:rsidRPr="00976BFF">
              <w:rPr>
                <w:rFonts w:ascii="Times New Roman" w:hAnsi="Times New Roman" w:cs="Times New Roman"/>
                <w:sz w:val="16"/>
                <w:szCs w:val="16"/>
                <w:lang w:val="es-ES_tradnl"/>
              </w:rPr>
              <w:t>dit</w:t>
            </w:r>
            <w:r w:rsidR="003C207A" w:rsidRPr="00976BFF">
              <w:rPr>
                <w:rFonts w:ascii="Times New Roman" w:hAnsi="Times New Roman" w:cs="Times New Roman"/>
                <w:sz w:val="16"/>
                <w:szCs w:val="16"/>
                <w:lang w:val="es-ES_tradnl"/>
              </w:rPr>
              <w:t>o</w:t>
            </w:r>
          </w:p>
        </w:tc>
        <w:tc>
          <w:tcPr>
            <w:tcW w:w="510" w:type="dxa"/>
            <w:gridSpan w:val="3"/>
            <w:tcBorders>
              <w:top w:val="nil"/>
              <w:left w:val="single" w:sz="4" w:space="0" w:color="000000"/>
              <w:bottom w:val="single" w:sz="4" w:space="0" w:color="000000"/>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c>
          <w:tcPr>
            <w:tcW w:w="1562" w:type="dxa"/>
            <w:gridSpan w:val="6"/>
            <w:tcBorders>
              <w:top w:val="nil"/>
              <w:left w:val="nil"/>
              <w:bottom w:val="single" w:sz="4" w:space="0" w:color="000000"/>
              <w:right w:val="single" w:sz="4" w:space="0" w:color="000000"/>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c>
          <w:tcPr>
            <w:tcW w:w="510" w:type="dxa"/>
            <w:vMerge/>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c>
          <w:tcPr>
            <w:tcW w:w="5810" w:type="dxa"/>
            <w:gridSpan w:val="21"/>
            <w:vMerge/>
            <w:tcBorders>
              <w:top w:val="single" w:sz="4" w:space="0" w:color="000000"/>
              <w:left w:val="nil"/>
              <w:bottom w:val="single" w:sz="4" w:space="0" w:color="000000"/>
              <w:right w:val="single" w:sz="4" w:space="0" w:color="auto"/>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r>
      <w:tr w:rsidR="00FF7EE4" w:rsidRPr="00AC438C">
        <w:trPr>
          <w:gridAfter w:val="1"/>
          <w:wAfter w:w="27" w:type="dxa"/>
          <w:trHeight w:val="145"/>
        </w:trPr>
        <w:tc>
          <w:tcPr>
            <w:tcW w:w="9900" w:type="dxa"/>
            <w:gridSpan w:val="35"/>
            <w:tcBorders>
              <w:top w:val="nil"/>
              <w:left w:val="single" w:sz="4" w:space="0" w:color="auto"/>
              <w:bottom w:val="nil"/>
              <w:right w:val="single" w:sz="4" w:space="0" w:color="auto"/>
            </w:tcBorders>
            <w:shd w:val="clear" w:color="auto" w:fill="FFFFFF"/>
            <w:tcMar>
              <w:top w:w="50" w:type="dxa"/>
              <w:left w:w="50" w:type="dxa"/>
              <w:bottom w:w="50" w:type="dxa"/>
              <w:right w:w="50" w:type="dxa"/>
            </w:tcMar>
          </w:tcPr>
          <w:p w:rsidR="00FF7EE4" w:rsidRPr="00976BFF" w:rsidRDefault="000F7ECF" w:rsidP="000F7ECF">
            <w:pPr>
              <w:spacing w:after="0" w:line="240" w:lineRule="auto"/>
              <w:rPr>
                <w:rFonts w:ascii="Times New Roman" w:hAnsi="Times New Roman" w:cs="Times New Roman"/>
                <w:sz w:val="18"/>
                <w:szCs w:val="18"/>
                <w:lang w:val="es-ES_tradnl"/>
              </w:rPr>
            </w:pPr>
            <w:r w:rsidRPr="00976BFF">
              <w:rPr>
                <w:rFonts w:ascii="Times New Roman" w:hAnsi="Times New Roman" w:cs="Times New Roman"/>
                <w:b/>
                <w:bCs/>
                <w:sz w:val="18"/>
                <w:szCs w:val="18"/>
                <w:lang w:val="es-ES_tradnl"/>
              </w:rPr>
              <w:t>Para préstamos/créditos/otros</w:t>
            </w:r>
            <w:r w:rsidR="001D2940" w:rsidRPr="00976BFF">
              <w:rPr>
                <w:rFonts w:ascii="Times New Roman" w:hAnsi="Times New Roman" w:cs="Times New Roman"/>
                <w:b/>
                <w:bCs/>
                <w:sz w:val="18"/>
                <w:szCs w:val="18"/>
                <w:lang w:val="es-ES_tradnl"/>
              </w:rPr>
              <w:t xml:space="preserve"> (</w:t>
            </w:r>
            <w:r w:rsidRPr="00976BFF">
              <w:rPr>
                <w:rFonts w:ascii="Times New Roman" w:hAnsi="Times New Roman" w:cs="Times New Roman"/>
                <w:b/>
                <w:bCs/>
                <w:sz w:val="18"/>
                <w:szCs w:val="18"/>
                <w:lang w:val="es-ES_tradnl"/>
              </w:rPr>
              <w:t xml:space="preserve">millones de </w:t>
            </w:r>
            <w:r w:rsidR="001D2940" w:rsidRPr="00976BFF">
              <w:rPr>
                <w:rFonts w:ascii="Times New Roman" w:hAnsi="Times New Roman" w:cs="Times New Roman"/>
                <w:b/>
                <w:bCs/>
                <w:sz w:val="18"/>
                <w:szCs w:val="18"/>
                <w:lang w:val="es-ES_tradnl"/>
              </w:rPr>
              <w:t>US$):</w:t>
            </w:r>
          </w:p>
        </w:tc>
      </w:tr>
      <w:tr w:rsidR="004632FD" w:rsidRPr="00976BFF">
        <w:trPr>
          <w:gridAfter w:val="1"/>
          <w:wAfter w:w="27" w:type="dxa"/>
          <w:trHeight w:val="145"/>
        </w:trPr>
        <w:tc>
          <w:tcPr>
            <w:tcW w:w="1594" w:type="dxa"/>
            <w:gridSpan w:val="5"/>
            <w:tcBorders>
              <w:top w:val="nil"/>
              <w:left w:val="single" w:sz="4" w:space="0" w:color="auto"/>
              <w:bottom w:val="nil"/>
              <w:right w:val="nil"/>
            </w:tcBorders>
            <w:shd w:val="clear" w:color="auto" w:fill="FFFFFF"/>
            <w:tcMar>
              <w:top w:w="50" w:type="dxa"/>
              <w:left w:w="50" w:type="dxa"/>
              <w:bottom w:w="50" w:type="dxa"/>
              <w:right w:w="50" w:type="dxa"/>
            </w:tcMar>
          </w:tcPr>
          <w:p w:rsidR="004632FD" w:rsidRPr="00976BFF" w:rsidRDefault="000F7ECF"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Costo t</w:t>
            </w:r>
            <w:r w:rsidR="004632FD" w:rsidRPr="00976BFF">
              <w:rPr>
                <w:rFonts w:ascii="Times New Roman" w:hAnsi="Times New Roman" w:cs="Times New Roman"/>
                <w:sz w:val="16"/>
                <w:szCs w:val="16"/>
                <w:lang w:val="es-ES_tradnl"/>
              </w:rPr>
              <w:t xml:space="preserve">otal </w:t>
            </w:r>
            <w:r w:rsidRPr="00976BFF">
              <w:rPr>
                <w:rFonts w:ascii="Times New Roman" w:hAnsi="Times New Roman" w:cs="Times New Roman"/>
                <w:sz w:val="16"/>
                <w:szCs w:val="16"/>
                <w:lang w:val="es-ES_tradnl"/>
              </w:rPr>
              <w:t xml:space="preserve">del </w:t>
            </w:r>
            <w:r w:rsidR="00650A31">
              <w:rPr>
                <w:rFonts w:ascii="Times New Roman" w:hAnsi="Times New Roman" w:cs="Times New Roman"/>
                <w:sz w:val="16"/>
                <w:szCs w:val="16"/>
                <w:lang w:val="es-ES_tradnl"/>
              </w:rPr>
              <w:t>programa</w:t>
            </w:r>
            <w:r w:rsidR="004632FD" w:rsidRPr="00976BFF">
              <w:rPr>
                <w:rFonts w:ascii="Times New Roman" w:hAnsi="Times New Roman" w:cs="Times New Roman"/>
                <w:sz w:val="16"/>
                <w:szCs w:val="16"/>
                <w:lang w:val="es-ES_tradnl"/>
              </w:rPr>
              <w:t>:</w:t>
            </w:r>
          </w:p>
        </w:tc>
        <w:tc>
          <w:tcPr>
            <w:tcW w:w="914" w:type="dxa"/>
            <w:gridSpan w:val="5"/>
            <w:tcBorders>
              <w:top w:val="nil"/>
              <w:left w:val="nil"/>
              <w:bottom w:val="nil"/>
              <w:right w:val="nil"/>
            </w:tcBorders>
            <w:shd w:val="clear" w:color="auto" w:fill="FFFFFF"/>
            <w:tcMar>
              <w:top w:w="50" w:type="dxa"/>
              <w:left w:w="50" w:type="dxa"/>
              <w:bottom w:w="50" w:type="dxa"/>
              <w:right w:w="50" w:type="dxa"/>
            </w:tcMar>
          </w:tcPr>
          <w:p w:rsidR="004632FD" w:rsidRPr="00976BFF" w:rsidRDefault="00AD3C40" w:rsidP="000F7ECF">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5</w:t>
            </w:r>
            <w:r w:rsidR="00BF0E5F" w:rsidRPr="00976BFF">
              <w:rPr>
                <w:rFonts w:ascii="Times New Roman" w:hAnsi="Times New Roman" w:cs="Times New Roman"/>
                <w:sz w:val="16"/>
                <w:szCs w:val="16"/>
                <w:lang w:val="es-ES_tradnl"/>
              </w:rPr>
              <w:t>1</w:t>
            </w:r>
            <w:r w:rsidRPr="00976BFF">
              <w:rPr>
                <w:rFonts w:ascii="Times New Roman" w:hAnsi="Times New Roman" w:cs="Times New Roman"/>
                <w:sz w:val="16"/>
                <w:szCs w:val="16"/>
                <w:lang w:val="es-ES_tradnl"/>
              </w:rPr>
              <w:t>0</w:t>
            </w:r>
            <w:r w:rsidR="000F7ECF" w:rsidRPr="00976BFF">
              <w:rPr>
                <w:rFonts w:ascii="Times New Roman" w:hAnsi="Times New Roman" w:cs="Times New Roman"/>
                <w:sz w:val="16"/>
                <w:szCs w:val="16"/>
                <w:lang w:val="es-ES_tradnl"/>
              </w:rPr>
              <w:t>,</w:t>
            </w:r>
            <w:r w:rsidR="004632FD" w:rsidRPr="00976BFF">
              <w:rPr>
                <w:rFonts w:ascii="Times New Roman" w:hAnsi="Times New Roman" w:cs="Times New Roman"/>
                <w:sz w:val="16"/>
                <w:szCs w:val="16"/>
                <w:lang w:val="es-ES_tradnl"/>
              </w:rPr>
              <w:t>0</w:t>
            </w:r>
          </w:p>
        </w:tc>
        <w:tc>
          <w:tcPr>
            <w:tcW w:w="2600" w:type="dxa"/>
            <w:gridSpan w:val="7"/>
            <w:tcBorders>
              <w:top w:val="nil"/>
              <w:left w:val="nil"/>
              <w:bottom w:val="nil"/>
              <w:right w:val="nil"/>
            </w:tcBorders>
            <w:shd w:val="clear" w:color="auto" w:fill="FFFFFF"/>
            <w:tcMar>
              <w:top w:w="50" w:type="dxa"/>
              <w:left w:w="50" w:type="dxa"/>
              <w:bottom w:w="50" w:type="dxa"/>
              <w:right w:w="50" w:type="dxa"/>
            </w:tcMar>
            <w:vAlign w:val="center"/>
          </w:tcPr>
          <w:p w:rsidR="004632FD" w:rsidRPr="00976BFF" w:rsidRDefault="004632FD" w:rsidP="00241095">
            <w:pPr>
              <w:spacing w:after="0" w:line="240" w:lineRule="auto"/>
              <w:rPr>
                <w:rFonts w:ascii="Times New Roman" w:hAnsi="Times New Roman" w:cs="Times New Roman"/>
                <w:lang w:val="es-ES_tradnl"/>
              </w:rPr>
            </w:pPr>
          </w:p>
        </w:tc>
        <w:tc>
          <w:tcPr>
            <w:tcW w:w="1631" w:type="dxa"/>
            <w:gridSpan w:val="7"/>
            <w:tcBorders>
              <w:top w:val="nil"/>
              <w:left w:val="nil"/>
              <w:bottom w:val="nil"/>
              <w:right w:val="nil"/>
            </w:tcBorders>
            <w:shd w:val="clear" w:color="auto" w:fill="FFFFFF"/>
            <w:tcMar>
              <w:top w:w="50" w:type="dxa"/>
              <w:left w:w="50" w:type="dxa"/>
              <w:bottom w:w="50" w:type="dxa"/>
              <w:right w:w="50" w:type="dxa"/>
            </w:tcMar>
          </w:tcPr>
          <w:p w:rsidR="004632FD" w:rsidRPr="00976BFF" w:rsidRDefault="000F7ECF"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Financiamiento total del Banco</w:t>
            </w:r>
            <w:r w:rsidR="004632FD" w:rsidRPr="00976BFF">
              <w:rPr>
                <w:rFonts w:ascii="Times New Roman" w:hAnsi="Times New Roman" w:cs="Times New Roman"/>
                <w:sz w:val="16"/>
                <w:szCs w:val="16"/>
                <w:lang w:val="es-ES_tradnl"/>
              </w:rPr>
              <w:t>:</w:t>
            </w:r>
          </w:p>
        </w:tc>
        <w:tc>
          <w:tcPr>
            <w:tcW w:w="1020" w:type="dxa"/>
            <w:gridSpan w:val="4"/>
            <w:tcBorders>
              <w:top w:val="nil"/>
              <w:left w:val="nil"/>
              <w:bottom w:val="nil"/>
              <w:right w:val="nil"/>
            </w:tcBorders>
            <w:shd w:val="clear" w:color="auto" w:fill="FFFFFF"/>
            <w:tcMar>
              <w:top w:w="50" w:type="dxa"/>
              <w:left w:w="50" w:type="dxa"/>
              <w:bottom w:w="50" w:type="dxa"/>
              <w:right w:w="50" w:type="dxa"/>
            </w:tcMar>
          </w:tcPr>
          <w:p w:rsidR="004632FD" w:rsidRPr="00976BFF" w:rsidRDefault="004632FD" w:rsidP="000F7ECF">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66</w:t>
            </w:r>
            <w:r w:rsidR="000F7ECF"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0</w:t>
            </w:r>
          </w:p>
        </w:tc>
        <w:tc>
          <w:tcPr>
            <w:tcW w:w="2141" w:type="dxa"/>
            <w:gridSpan w:val="7"/>
            <w:tcBorders>
              <w:top w:val="nil"/>
              <w:left w:val="nil"/>
              <w:bottom w:val="nil"/>
              <w:right w:val="single" w:sz="4" w:space="0" w:color="auto"/>
            </w:tcBorders>
            <w:shd w:val="clear" w:color="auto" w:fill="FFFFFF"/>
            <w:tcMar>
              <w:top w:w="50" w:type="dxa"/>
              <w:left w:w="50" w:type="dxa"/>
              <w:bottom w:w="50" w:type="dxa"/>
              <w:right w:w="50" w:type="dxa"/>
            </w:tcMar>
            <w:vAlign w:val="center"/>
          </w:tcPr>
          <w:p w:rsidR="004632FD" w:rsidRPr="00976BFF" w:rsidRDefault="004632FD" w:rsidP="00241095">
            <w:pPr>
              <w:spacing w:after="0" w:line="240" w:lineRule="auto"/>
              <w:rPr>
                <w:rFonts w:ascii="Times New Roman" w:hAnsi="Times New Roman" w:cs="Times New Roman"/>
                <w:lang w:val="es-ES_tradnl"/>
              </w:rPr>
            </w:pPr>
          </w:p>
        </w:tc>
      </w:tr>
      <w:tr w:rsidR="004632FD" w:rsidRPr="00976BFF">
        <w:trPr>
          <w:gridAfter w:val="1"/>
          <w:wAfter w:w="27" w:type="dxa"/>
          <w:trHeight w:val="157"/>
        </w:trPr>
        <w:tc>
          <w:tcPr>
            <w:tcW w:w="1594" w:type="dxa"/>
            <w:gridSpan w:val="5"/>
            <w:tcBorders>
              <w:top w:val="single" w:sz="4" w:space="0" w:color="000000"/>
              <w:left w:val="single" w:sz="4" w:space="0" w:color="auto"/>
              <w:bottom w:val="nil"/>
              <w:right w:val="nil"/>
            </w:tcBorders>
            <w:shd w:val="clear" w:color="auto" w:fill="FFFFFF"/>
            <w:tcMar>
              <w:top w:w="50" w:type="dxa"/>
              <w:left w:w="50" w:type="dxa"/>
              <w:bottom w:w="50" w:type="dxa"/>
              <w:right w:w="50" w:type="dxa"/>
            </w:tcMar>
          </w:tcPr>
          <w:p w:rsidR="004632FD" w:rsidRPr="00976BFF" w:rsidRDefault="004632FD"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Total </w:t>
            </w:r>
            <w:r w:rsidR="000F7ECF" w:rsidRPr="00976BFF">
              <w:rPr>
                <w:rFonts w:ascii="Times New Roman" w:hAnsi="Times New Roman" w:cs="Times New Roman"/>
                <w:sz w:val="16"/>
                <w:szCs w:val="16"/>
                <w:lang w:val="es-ES_tradnl"/>
              </w:rPr>
              <w:t>de cofinanciamiento</w:t>
            </w:r>
            <w:r w:rsidRPr="00976BFF">
              <w:rPr>
                <w:rFonts w:ascii="Times New Roman" w:hAnsi="Times New Roman" w:cs="Times New Roman"/>
                <w:sz w:val="16"/>
                <w:szCs w:val="16"/>
                <w:lang w:val="es-ES_tradnl"/>
              </w:rPr>
              <w:t xml:space="preserve">: </w:t>
            </w:r>
          </w:p>
        </w:tc>
        <w:tc>
          <w:tcPr>
            <w:tcW w:w="914" w:type="dxa"/>
            <w:gridSpan w:val="5"/>
            <w:tcBorders>
              <w:top w:val="single" w:sz="4" w:space="0" w:color="000000"/>
              <w:left w:val="nil"/>
              <w:bottom w:val="nil"/>
              <w:right w:val="nil"/>
            </w:tcBorders>
            <w:shd w:val="clear" w:color="auto" w:fill="FFFFFF"/>
            <w:tcMar>
              <w:top w:w="50" w:type="dxa"/>
              <w:left w:w="50" w:type="dxa"/>
              <w:bottom w:w="50" w:type="dxa"/>
              <w:right w:w="50" w:type="dxa"/>
            </w:tcMar>
          </w:tcPr>
          <w:p w:rsidR="004632FD" w:rsidRPr="00976BFF" w:rsidRDefault="00AD3C40" w:rsidP="000F7ECF">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4</w:t>
            </w:r>
            <w:r w:rsidR="00BF0E5F" w:rsidRPr="00976BFF">
              <w:rPr>
                <w:rFonts w:ascii="Times New Roman" w:hAnsi="Times New Roman" w:cs="Times New Roman"/>
                <w:sz w:val="16"/>
                <w:szCs w:val="16"/>
                <w:lang w:val="es-ES_tradnl"/>
              </w:rPr>
              <w:t>44</w:t>
            </w:r>
            <w:r w:rsidR="000F7ECF" w:rsidRPr="00976BFF">
              <w:rPr>
                <w:rFonts w:ascii="Times New Roman" w:hAnsi="Times New Roman" w:cs="Times New Roman"/>
                <w:sz w:val="16"/>
                <w:szCs w:val="16"/>
                <w:lang w:val="es-ES_tradnl"/>
              </w:rPr>
              <w:t>,</w:t>
            </w:r>
            <w:r w:rsidR="004632FD" w:rsidRPr="00976BFF">
              <w:rPr>
                <w:rFonts w:ascii="Times New Roman" w:hAnsi="Times New Roman" w:cs="Times New Roman"/>
                <w:sz w:val="16"/>
                <w:szCs w:val="16"/>
                <w:lang w:val="es-ES_tradnl"/>
              </w:rPr>
              <w:t>0</w:t>
            </w:r>
          </w:p>
        </w:tc>
        <w:tc>
          <w:tcPr>
            <w:tcW w:w="2600" w:type="dxa"/>
            <w:gridSpan w:val="7"/>
            <w:tcBorders>
              <w:top w:val="single" w:sz="4" w:space="0" w:color="000000"/>
              <w:left w:val="nil"/>
              <w:bottom w:val="nil"/>
              <w:right w:val="nil"/>
            </w:tcBorders>
            <w:shd w:val="clear" w:color="auto" w:fill="FFFFFF"/>
            <w:tcMar>
              <w:top w:w="50" w:type="dxa"/>
              <w:left w:w="50" w:type="dxa"/>
              <w:bottom w:w="50" w:type="dxa"/>
              <w:right w:w="50" w:type="dxa"/>
            </w:tcMar>
            <w:vAlign w:val="center"/>
          </w:tcPr>
          <w:p w:rsidR="004632FD" w:rsidRPr="00976BFF" w:rsidRDefault="004632FD" w:rsidP="00241095">
            <w:pPr>
              <w:spacing w:after="0" w:line="240" w:lineRule="auto"/>
              <w:rPr>
                <w:rFonts w:ascii="Times New Roman" w:hAnsi="Times New Roman" w:cs="Times New Roman"/>
                <w:lang w:val="es-ES_tradnl"/>
              </w:rPr>
            </w:pPr>
          </w:p>
        </w:tc>
        <w:tc>
          <w:tcPr>
            <w:tcW w:w="1631" w:type="dxa"/>
            <w:gridSpan w:val="7"/>
            <w:tcBorders>
              <w:top w:val="single" w:sz="4" w:space="0" w:color="000000"/>
              <w:left w:val="nil"/>
              <w:bottom w:val="nil"/>
              <w:right w:val="nil"/>
            </w:tcBorders>
            <w:shd w:val="clear" w:color="auto" w:fill="FFFFFF"/>
            <w:tcMar>
              <w:top w:w="50" w:type="dxa"/>
              <w:left w:w="50" w:type="dxa"/>
              <w:bottom w:w="50" w:type="dxa"/>
              <w:right w:w="50" w:type="dxa"/>
            </w:tcMar>
          </w:tcPr>
          <w:p w:rsidR="004632FD" w:rsidRPr="00976BFF" w:rsidRDefault="000F7ECF"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Déficit de financiamiento</w:t>
            </w:r>
            <w:r w:rsidR="004632FD" w:rsidRPr="00976BFF">
              <w:rPr>
                <w:rFonts w:ascii="Times New Roman" w:hAnsi="Times New Roman" w:cs="Times New Roman"/>
                <w:sz w:val="16"/>
                <w:szCs w:val="16"/>
                <w:lang w:val="es-ES_tradnl"/>
              </w:rPr>
              <w:t>:</w:t>
            </w:r>
          </w:p>
        </w:tc>
        <w:tc>
          <w:tcPr>
            <w:tcW w:w="1020" w:type="dxa"/>
            <w:gridSpan w:val="4"/>
            <w:tcBorders>
              <w:top w:val="single" w:sz="4" w:space="0" w:color="000000"/>
              <w:left w:val="nil"/>
              <w:bottom w:val="nil"/>
              <w:right w:val="nil"/>
            </w:tcBorders>
            <w:shd w:val="clear" w:color="auto" w:fill="FFFFFF"/>
            <w:tcMar>
              <w:top w:w="50" w:type="dxa"/>
              <w:left w:w="50" w:type="dxa"/>
              <w:bottom w:w="50" w:type="dxa"/>
              <w:right w:w="50" w:type="dxa"/>
            </w:tcMar>
          </w:tcPr>
          <w:p w:rsidR="004632FD" w:rsidRPr="00976BFF" w:rsidRDefault="004632FD" w:rsidP="000F7ECF">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0</w:t>
            </w:r>
            <w:r w:rsidR="000F7ECF"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0</w:t>
            </w:r>
          </w:p>
        </w:tc>
        <w:tc>
          <w:tcPr>
            <w:tcW w:w="2141" w:type="dxa"/>
            <w:gridSpan w:val="7"/>
            <w:tcBorders>
              <w:top w:val="single" w:sz="4" w:space="0" w:color="000000"/>
              <w:left w:val="nil"/>
              <w:bottom w:val="nil"/>
              <w:right w:val="single" w:sz="4" w:space="0" w:color="auto"/>
            </w:tcBorders>
            <w:shd w:val="clear" w:color="auto" w:fill="FFFFFF"/>
            <w:tcMar>
              <w:top w:w="50" w:type="dxa"/>
              <w:left w:w="50" w:type="dxa"/>
              <w:bottom w:w="50" w:type="dxa"/>
              <w:right w:w="50" w:type="dxa"/>
            </w:tcMar>
            <w:vAlign w:val="center"/>
          </w:tcPr>
          <w:p w:rsidR="004632FD" w:rsidRPr="00976BFF" w:rsidRDefault="004632FD" w:rsidP="00241095">
            <w:pPr>
              <w:spacing w:after="0" w:line="240" w:lineRule="auto"/>
              <w:rPr>
                <w:rFonts w:ascii="Times New Roman" w:hAnsi="Times New Roman" w:cs="Times New Roman"/>
                <w:lang w:val="es-ES_tradnl"/>
              </w:rPr>
            </w:pPr>
          </w:p>
        </w:tc>
      </w:tr>
      <w:tr w:rsidR="00FF7EE4" w:rsidRPr="00976BFF">
        <w:trPr>
          <w:gridAfter w:val="1"/>
          <w:wAfter w:w="27" w:type="dxa"/>
          <w:trHeight w:val="145"/>
        </w:trPr>
        <w:tc>
          <w:tcPr>
            <w:tcW w:w="9900" w:type="dxa"/>
            <w:gridSpan w:val="35"/>
            <w:tcBorders>
              <w:top w:val="single" w:sz="4" w:space="0" w:color="000000"/>
              <w:left w:val="single" w:sz="4" w:space="0" w:color="auto"/>
              <w:bottom w:val="single" w:sz="4" w:space="0" w:color="000000"/>
              <w:right w:val="single" w:sz="4" w:space="0" w:color="auto"/>
            </w:tcBorders>
            <w:shd w:val="clear" w:color="auto" w:fill="000000"/>
            <w:tcMar>
              <w:top w:w="50" w:type="dxa"/>
              <w:left w:w="50" w:type="dxa"/>
              <w:bottom w:w="50" w:type="dxa"/>
              <w:right w:w="50" w:type="dxa"/>
            </w:tcMar>
            <w:vAlign w:val="center"/>
          </w:tcPr>
          <w:p w:rsidR="00FF7EE4"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FF7EE4" w:rsidRPr="00976BFF">
        <w:trPr>
          <w:gridAfter w:val="1"/>
          <w:wAfter w:w="27" w:type="dxa"/>
          <w:trHeight w:val="145"/>
        </w:trPr>
        <w:tc>
          <w:tcPr>
            <w:tcW w:w="5108" w:type="dxa"/>
            <w:gridSpan w:val="17"/>
            <w:tcBorders>
              <w:top w:val="single" w:sz="4" w:space="0" w:color="000000"/>
              <w:left w:val="single" w:sz="4" w:space="0" w:color="auto"/>
              <w:bottom w:val="single" w:sz="4" w:space="0" w:color="000000"/>
              <w:right w:val="single" w:sz="4" w:space="0" w:color="000000"/>
            </w:tcBorders>
            <w:shd w:val="clear" w:color="auto" w:fill="FFFFFF"/>
            <w:tcMar>
              <w:top w:w="50" w:type="dxa"/>
              <w:left w:w="50" w:type="dxa"/>
              <w:bottom w:w="50" w:type="dxa"/>
              <w:right w:w="50" w:type="dxa"/>
            </w:tcMar>
          </w:tcPr>
          <w:p w:rsidR="00FF7EE4" w:rsidRPr="00976BFF" w:rsidRDefault="000F7ECF"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b/>
                <w:bCs/>
                <w:sz w:val="20"/>
                <w:szCs w:val="20"/>
                <w:lang w:val="es-ES_tradnl"/>
              </w:rPr>
              <w:t>Fuente de financiamiento</w:t>
            </w:r>
          </w:p>
        </w:tc>
        <w:tc>
          <w:tcPr>
            <w:tcW w:w="3065" w:type="dxa"/>
            <w:gridSpan w:val="12"/>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FF7EE4" w:rsidRPr="00976BFF" w:rsidRDefault="000F7ECF" w:rsidP="00241095">
            <w:pPr>
              <w:spacing w:after="0" w:line="240" w:lineRule="auto"/>
              <w:jc w:val="right"/>
              <w:rPr>
                <w:rFonts w:ascii="Times New Roman" w:hAnsi="Times New Roman" w:cs="Times New Roman"/>
                <w:sz w:val="20"/>
                <w:szCs w:val="20"/>
                <w:lang w:val="es-ES_tradnl"/>
              </w:rPr>
            </w:pPr>
            <w:r w:rsidRPr="00976BFF">
              <w:rPr>
                <w:rFonts w:ascii="Times New Roman" w:hAnsi="Times New Roman" w:cs="Times New Roman"/>
                <w:b/>
                <w:bCs/>
                <w:sz w:val="20"/>
                <w:szCs w:val="20"/>
                <w:lang w:val="es-ES_tradnl"/>
              </w:rPr>
              <w:t>Monto</w:t>
            </w:r>
          </w:p>
        </w:tc>
        <w:tc>
          <w:tcPr>
            <w:tcW w:w="1727" w:type="dxa"/>
            <w:gridSpan w:val="6"/>
            <w:tcBorders>
              <w:top w:val="single" w:sz="4" w:space="0" w:color="000000"/>
              <w:left w:val="nil"/>
              <w:bottom w:val="single" w:sz="4" w:space="0" w:color="000000"/>
              <w:right w:val="single" w:sz="4" w:space="0" w:color="auto"/>
            </w:tcBorders>
            <w:shd w:val="clear" w:color="auto" w:fill="FFFFFF"/>
            <w:tcMar>
              <w:top w:w="50" w:type="dxa"/>
              <w:left w:w="50" w:type="dxa"/>
              <w:bottom w:w="50" w:type="dxa"/>
              <w:right w:w="50" w:type="dxa"/>
            </w:tcMar>
            <w:vAlign w:val="center"/>
          </w:tcPr>
          <w:p w:rsidR="00FF7EE4" w:rsidRPr="00976BFF" w:rsidRDefault="00FF7EE4" w:rsidP="00241095">
            <w:pPr>
              <w:spacing w:after="0" w:line="240" w:lineRule="auto"/>
              <w:rPr>
                <w:rFonts w:ascii="Times New Roman" w:hAnsi="Times New Roman" w:cs="Times New Roman"/>
                <w:lang w:val="es-ES_tradnl"/>
              </w:rPr>
            </w:pPr>
          </w:p>
        </w:tc>
      </w:tr>
      <w:tr w:rsidR="004632FD" w:rsidRPr="00976BFF">
        <w:trPr>
          <w:gridAfter w:val="1"/>
          <w:wAfter w:w="27" w:type="dxa"/>
          <w:trHeight w:val="145"/>
        </w:trPr>
        <w:tc>
          <w:tcPr>
            <w:tcW w:w="5108" w:type="dxa"/>
            <w:gridSpan w:val="17"/>
            <w:tcBorders>
              <w:top w:val="nil"/>
              <w:left w:val="single" w:sz="4" w:space="0" w:color="auto"/>
              <w:bottom w:val="nil"/>
              <w:right w:val="single" w:sz="4" w:space="0" w:color="000000"/>
            </w:tcBorders>
            <w:shd w:val="clear" w:color="auto" w:fill="FFFFFF"/>
            <w:tcMar>
              <w:top w:w="50" w:type="dxa"/>
              <w:left w:w="50" w:type="dxa"/>
              <w:bottom w:w="50" w:type="dxa"/>
              <w:right w:w="50" w:type="dxa"/>
            </w:tcMar>
          </w:tcPr>
          <w:p w:rsidR="004632FD" w:rsidRPr="00976BFF" w:rsidRDefault="000F7ECF"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PRESTATARIO/RECEPTOR</w:t>
            </w:r>
          </w:p>
        </w:tc>
        <w:tc>
          <w:tcPr>
            <w:tcW w:w="4792" w:type="dxa"/>
            <w:gridSpan w:val="18"/>
            <w:tcBorders>
              <w:top w:val="nil"/>
              <w:left w:val="single" w:sz="4" w:space="0" w:color="000000"/>
              <w:bottom w:val="nil"/>
              <w:right w:val="single" w:sz="4" w:space="0" w:color="auto"/>
            </w:tcBorders>
            <w:shd w:val="clear" w:color="auto" w:fill="FFFFFF"/>
            <w:tcMar>
              <w:top w:w="50" w:type="dxa"/>
              <w:left w:w="50" w:type="dxa"/>
              <w:bottom w:w="50" w:type="dxa"/>
              <w:right w:w="50" w:type="dxa"/>
            </w:tcMar>
          </w:tcPr>
          <w:p w:rsidR="004632FD" w:rsidRPr="00976BFF" w:rsidRDefault="00AD3C40"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283</w:t>
            </w:r>
            <w:r w:rsidR="000F7ECF" w:rsidRPr="00976BFF">
              <w:rPr>
                <w:rFonts w:ascii="Times New Roman" w:hAnsi="Times New Roman" w:cs="Times New Roman"/>
                <w:sz w:val="20"/>
                <w:szCs w:val="20"/>
                <w:lang w:val="es-ES_tradnl"/>
              </w:rPr>
              <w:t>,</w:t>
            </w:r>
            <w:r w:rsidRPr="00976BFF">
              <w:rPr>
                <w:rFonts w:ascii="Times New Roman" w:hAnsi="Times New Roman" w:cs="Times New Roman"/>
                <w:sz w:val="20"/>
                <w:szCs w:val="20"/>
                <w:lang w:val="es-ES_tradnl"/>
              </w:rPr>
              <w:t>5</w:t>
            </w:r>
          </w:p>
        </w:tc>
      </w:tr>
      <w:tr w:rsidR="004632FD" w:rsidRPr="00976BFF">
        <w:trPr>
          <w:gridAfter w:val="1"/>
          <w:wAfter w:w="27" w:type="dxa"/>
          <w:trHeight w:val="221"/>
        </w:trPr>
        <w:tc>
          <w:tcPr>
            <w:tcW w:w="5108" w:type="dxa"/>
            <w:gridSpan w:val="17"/>
            <w:tcBorders>
              <w:top w:val="nil"/>
              <w:left w:val="single" w:sz="4" w:space="0" w:color="auto"/>
              <w:bottom w:val="nil"/>
              <w:right w:val="single" w:sz="4" w:space="0" w:color="000000"/>
            </w:tcBorders>
            <w:shd w:val="clear" w:color="auto" w:fill="FFFFFF"/>
            <w:tcMar>
              <w:top w:w="50" w:type="dxa"/>
              <w:left w:w="50" w:type="dxa"/>
              <w:bottom w:w="50" w:type="dxa"/>
              <w:right w:w="50" w:type="dxa"/>
            </w:tcMar>
          </w:tcPr>
          <w:p w:rsidR="004632FD" w:rsidRPr="00976BFF" w:rsidRDefault="008877A5" w:rsidP="00241095">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Banco Internacional de Reconstrucción y Fomento (</w:t>
            </w:r>
            <w:r w:rsidR="000F7ECF" w:rsidRPr="00976BFF">
              <w:rPr>
                <w:rFonts w:ascii="Times New Roman" w:hAnsi="Times New Roman" w:cs="Times New Roman"/>
                <w:sz w:val="20"/>
                <w:szCs w:val="20"/>
                <w:lang w:val="es-ES_tradnl"/>
              </w:rPr>
              <w:t>BIRF</w:t>
            </w:r>
            <w:r>
              <w:rPr>
                <w:rFonts w:ascii="Times New Roman" w:hAnsi="Times New Roman" w:cs="Times New Roman"/>
                <w:sz w:val="20"/>
                <w:szCs w:val="20"/>
                <w:lang w:val="es-ES_tradnl"/>
              </w:rPr>
              <w:t>)</w:t>
            </w:r>
          </w:p>
        </w:tc>
        <w:tc>
          <w:tcPr>
            <w:tcW w:w="3065" w:type="dxa"/>
            <w:gridSpan w:val="12"/>
            <w:tcBorders>
              <w:top w:val="nil"/>
              <w:left w:val="single" w:sz="4" w:space="0" w:color="000000"/>
              <w:bottom w:val="nil"/>
              <w:right w:val="nil"/>
            </w:tcBorders>
            <w:shd w:val="clear" w:color="auto" w:fill="FFFFFF"/>
            <w:tcMar>
              <w:top w:w="50" w:type="dxa"/>
              <w:left w:w="50" w:type="dxa"/>
              <w:bottom w:w="50" w:type="dxa"/>
              <w:right w:w="50" w:type="dxa"/>
            </w:tcMar>
          </w:tcPr>
          <w:p w:rsidR="004632FD" w:rsidRPr="00976BFF" w:rsidRDefault="004632FD"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66</w:t>
            </w:r>
            <w:r w:rsidR="000F7ECF" w:rsidRPr="00976BFF">
              <w:rPr>
                <w:rFonts w:ascii="Times New Roman" w:hAnsi="Times New Roman" w:cs="Times New Roman"/>
                <w:sz w:val="20"/>
                <w:szCs w:val="20"/>
                <w:lang w:val="es-ES_tradnl"/>
              </w:rPr>
              <w:t>,</w:t>
            </w:r>
            <w:r w:rsidRPr="00976BFF">
              <w:rPr>
                <w:rFonts w:ascii="Times New Roman" w:hAnsi="Times New Roman" w:cs="Times New Roman"/>
                <w:sz w:val="20"/>
                <w:szCs w:val="20"/>
                <w:lang w:val="es-ES_tradnl"/>
              </w:rPr>
              <w:t>0</w:t>
            </w:r>
          </w:p>
        </w:tc>
        <w:tc>
          <w:tcPr>
            <w:tcW w:w="1727" w:type="dxa"/>
            <w:gridSpan w:val="6"/>
            <w:tcBorders>
              <w:top w:val="nil"/>
              <w:left w:val="nil"/>
              <w:bottom w:val="nil"/>
              <w:right w:val="single" w:sz="4" w:space="0" w:color="auto"/>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20"/>
                <w:szCs w:val="20"/>
                <w:lang w:val="es-ES_tradnl"/>
              </w:rPr>
            </w:pPr>
          </w:p>
        </w:tc>
      </w:tr>
      <w:tr w:rsidR="004632FD" w:rsidRPr="00976BFF">
        <w:trPr>
          <w:gridAfter w:val="1"/>
          <w:wAfter w:w="27" w:type="dxa"/>
          <w:trHeight w:val="145"/>
        </w:trPr>
        <w:tc>
          <w:tcPr>
            <w:tcW w:w="5108" w:type="dxa"/>
            <w:gridSpan w:val="17"/>
            <w:tcBorders>
              <w:top w:val="nil"/>
              <w:left w:val="single" w:sz="4" w:space="0" w:color="auto"/>
              <w:bottom w:val="nil"/>
              <w:right w:val="single" w:sz="4" w:space="0" w:color="000000"/>
            </w:tcBorders>
            <w:shd w:val="clear" w:color="auto" w:fill="FFFFFF"/>
            <w:tcMar>
              <w:top w:w="50" w:type="dxa"/>
              <w:left w:w="50" w:type="dxa"/>
              <w:bottom w:w="50" w:type="dxa"/>
              <w:right w:w="50" w:type="dxa"/>
            </w:tcMar>
          </w:tcPr>
          <w:p w:rsidR="004632FD" w:rsidRPr="00976BFF" w:rsidRDefault="008877A5" w:rsidP="00241095">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Banco Interamericano de Desarrollo (</w:t>
            </w:r>
            <w:r w:rsidR="000F7ECF" w:rsidRPr="00976BFF">
              <w:rPr>
                <w:rFonts w:ascii="Times New Roman" w:hAnsi="Times New Roman" w:cs="Times New Roman"/>
                <w:sz w:val="20"/>
                <w:szCs w:val="20"/>
                <w:lang w:val="es-ES_tradnl"/>
              </w:rPr>
              <w:t>BID</w:t>
            </w:r>
            <w:r>
              <w:rPr>
                <w:rFonts w:ascii="Times New Roman" w:hAnsi="Times New Roman" w:cs="Times New Roman"/>
                <w:sz w:val="20"/>
                <w:szCs w:val="20"/>
                <w:lang w:val="es-ES_tradnl"/>
              </w:rPr>
              <w:t>)</w:t>
            </w:r>
          </w:p>
        </w:tc>
        <w:tc>
          <w:tcPr>
            <w:tcW w:w="4792" w:type="dxa"/>
            <w:gridSpan w:val="18"/>
            <w:tcBorders>
              <w:top w:val="nil"/>
              <w:left w:val="single" w:sz="4" w:space="0" w:color="000000"/>
              <w:bottom w:val="nil"/>
              <w:right w:val="single" w:sz="4" w:space="0" w:color="auto"/>
            </w:tcBorders>
            <w:shd w:val="clear" w:color="auto" w:fill="FFFFFF"/>
            <w:tcMar>
              <w:top w:w="50" w:type="dxa"/>
              <w:left w:w="50" w:type="dxa"/>
              <w:bottom w:w="50" w:type="dxa"/>
              <w:right w:w="50" w:type="dxa"/>
            </w:tcMar>
          </w:tcPr>
          <w:p w:rsidR="004632FD" w:rsidRPr="00976BFF" w:rsidRDefault="00BF0E5F"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6</w:t>
            </w:r>
            <w:r w:rsidR="00034121" w:rsidRPr="00976BFF">
              <w:rPr>
                <w:rFonts w:ascii="Times New Roman" w:hAnsi="Times New Roman" w:cs="Times New Roman"/>
                <w:sz w:val="20"/>
                <w:szCs w:val="20"/>
                <w:lang w:val="es-ES_tradnl"/>
              </w:rPr>
              <w:t>7</w:t>
            </w:r>
            <w:r w:rsidR="000F7ECF" w:rsidRPr="00976BFF">
              <w:rPr>
                <w:rFonts w:ascii="Times New Roman" w:hAnsi="Times New Roman" w:cs="Times New Roman"/>
                <w:sz w:val="20"/>
                <w:szCs w:val="20"/>
                <w:lang w:val="es-ES_tradnl"/>
              </w:rPr>
              <w:t>,</w:t>
            </w:r>
            <w:r w:rsidR="00AD3C40" w:rsidRPr="00976BFF">
              <w:rPr>
                <w:rFonts w:ascii="Times New Roman" w:hAnsi="Times New Roman" w:cs="Times New Roman"/>
                <w:sz w:val="20"/>
                <w:szCs w:val="20"/>
                <w:lang w:val="es-ES_tradnl"/>
              </w:rPr>
              <w:t>7</w:t>
            </w:r>
          </w:p>
        </w:tc>
      </w:tr>
      <w:tr w:rsidR="00AD3C40" w:rsidRPr="00976BFF">
        <w:trPr>
          <w:gridAfter w:val="1"/>
          <w:wAfter w:w="27" w:type="dxa"/>
          <w:trHeight w:val="145"/>
        </w:trPr>
        <w:tc>
          <w:tcPr>
            <w:tcW w:w="5108" w:type="dxa"/>
            <w:gridSpan w:val="17"/>
            <w:tcBorders>
              <w:top w:val="nil"/>
              <w:left w:val="single" w:sz="4" w:space="0" w:color="auto"/>
              <w:bottom w:val="nil"/>
              <w:right w:val="single" w:sz="4" w:space="0" w:color="000000"/>
            </w:tcBorders>
            <w:shd w:val="clear" w:color="auto" w:fill="FFFFFF"/>
            <w:tcMar>
              <w:top w:w="50" w:type="dxa"/>
              <w:left w:w="50" w:type="dxa"/>
              <w:bottom w:w="50" w:type="dxa"/>
              <w:right w:w="50" w:type="dxa"/>
            </w:tcMar>
          </w:tcPr>
          <w:p w:rsidR="00AD3C40" w:rsidRPr="00976BFF" w:rsidRDefault="008877A5" w:rsidP="00241095">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Fondo Financiero para el Desarrollo de la Cuenca del Plata (</w:t>
            </w:r>
            <w:r w:rsidR="001255A3" w:rsidRPr="00976BFF">
              <w:rPr>
                <w:rFonts w:ascii="Times New Roman" w:hAnsi="Times New Roman" w:cs="Times New Roman"/>
                <w:sz w:val="20"/>
                <w:szCs w:val="20"/>
                <w:lang w:val="es-ES_tradnl"/>
              </w:rPr>
              <w:t>FONPLATA</w:t>
            </w:r>
            <w:r>
              <w:rPr>
                <w:rFonts w:ascii="Times New Roman" w:hAnsi="Times New Roman" w:cs="Times New Roman"/>
                <w:sz w:val="20"/>
                <w:szCs w:val="20"/>
                <w:lang w:val="es-ES_tradnl"/>
              </w:rPr>
              <w:t>)</w:t>
            </w:r>
          </w:p>
        </w:tc>
        <w:tc>
          <w:tcPr>
            <w:tcW w:w="4792" w:type="dxa"/>
            <w:gridSpan w:val="18"/>
            <w:tcBorders>
              <w:top w:val="nil"/>
              <w:left w:val="single" w:sz="4" w:space="0" w:color="000000"/>
              <w:bottom w:val="nil"/>
              <w:right w:val="single" w:sz="4" w:space="0" w:color="auto"/>
            </w:tcBorders>
            <w:shd w:val="clear" w:color="auto" w:fill="FFFFFF"/>
            <w:tcMar>
              <w:top w:w="50" w:type="dxa"/>
              <w:left w:w="50" w:type="dxa"/>
              <w:bottom w:w="50" w:type="dxa"/>
              <w:right w:w="50" w:type="dxa"/>
            </w:tcMar>
          </w:tcPr>
          <w:p w:rsidR="00AD3C40" w:rsidRPr="00976BFF" w:rsidRDefault="00AD3C40"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92</w:t>
            </w:r>
            <w:r w:rsidR="000F7ECF" w:rsidRPr="00976BFF">
              <w:rPr>
                <w:rFonts w:ascii="Times New Roman" w:hAnsi="Times New Roman" w:cs="Times New Roman"/>
                <w:sz w:val="20"/>
                <w:szCs w:val="20"/>
                <w:lang w:val="es-ES_tradnl"/>
              </w:rPr>
              <w:t>,</w:t>
            </w:r>
            <w:r w:rsidRPr="00976BFF">
              <w:rPr>
                <w:rFonts w:ascii="Times New Roman" w:hAnsi="Times New Roman" w:cs="Times New Roman"/>
                <w:sz w:val="20"/>
                <w:szCs w:val="20"/>
                <w:lang w:val="es-ES_tradnl"/>
              </w:rPr>
              <w:t>8</w:t>
            </w:r>
          </w:p>
        </w:tc>
      </w:tr>
      <w:tr w:rsidR="004632FD" w:rsidRPr="00976BFF">
        <w:trPr>
          <w:gridAfter w:val="1"/>
          <w:wAfter w:w="27" w:type="dxa"/>
          <w:trHeight w:val="145"/>
        </w:trPr>
        <w:tc>
          <w:tcPr>
            <w:tcW w:w="5108" w:type="dxa"/>
            <w:gridSpan w:val="17"/>
            <w:tcBorders>
              <w:top w:val="nil"/>
              <w:left w:val="single" w:sz="4" w:space="0" w:color="auto"/>
              <w:bottom w:val="nil"/>
              <w:right w:val="single" w:sz="4" w:space="0" w:color="000000"/>
            </w:tcBorders>
            <w:shd w:val="clear" w:color="auto" w:fill="FFFFFF"/>
            <w:tcMar>
              <w:top w:w="50" w:type="dxa"/>
              <w:left w:w="50" w:type="dxa"/>
              <w:bottom w:w="50" w:type="dxa"/>
              <w:right w:w="50" w:type="dxa"/>
            </w:tcMar>
          </w:tcPr>
          <w:p w:rsidR="00241095" w:rsidRPr="00976BFF" w:rsidRDefault="004632FD"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Total</w:t>
            </w:r>
          </w:p>
        </w:tc>
        <w:tc>
          <w:tcPr>
            <w:tcW w:w="4792" w:type="dxa"/>
            <w:gridSpan w:val="18"/>
            <w:tcBorders>
              <w:top w:val="nil"/>
              <w:left w:val="single" w:sz="4" w:space="0" w:color="000000"/>
              <w:bottom w:val="nil"/>
              <w:right w:val="single" w:sz="4" w:space="0" w:color="auto"/>
            </w:tcBorders>
            <w:shd w:val="clear" w:color="auto" w:fill="FFFFFF"/>
            <w:tcMar>
              <w:top w:w="50" w:type="dxa"/>
              <w:left w:w="50" w:type="dxa"/>
              <w:bottom w:w="50" w:type="dxa"/>
              <w:right w:w="50" w:type="dxa"/>
            </w:tcMar>
          </w:tcPr>
          <w:p w:rsidR="004632FD" w:rsidRPr="00976BFF" w:rsidRDefault="00AD3C40"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5</w:t>
            </w:r>
            <w:r w:rsidR="00BF0E5F" w:rsidRPr="00976BFF">
              <w:rPr>
                <w:rFonts w:ascii="Times New Roman" w:hAnsi="Times New Roman" w:cs="Times New Roman"/>
                <w:sz w:val="20"/>
                <w:szCs w:val="20"/>
                <w:lang w:val="es-ES_tradnl"/>
              </w:rPr>
              <w:t>1</w:t>
            </w:r>
            <w:r w:rsidRPr="00976BFF">
              <w:rPr>
                <w:rFonts w:ascii="Times New Roman" w:hAnsi="Times New Roman" w:cs="Times New Roman"/>
                <w:sz w:val="20"/>
                <w:szCs w:val="20"/>
                <w:lang w:val="es-ES_tradnl"/>
              </w:rPr>
              <w:t>0</w:t>
            </w:r>
            <w:r w:rsidR="000F7ECF" w:rsidRPr="00976BFF">
              <w:rPr>
                <w:rFonts w:ascii="Times New Roman" w:hAnsi="Times New Roman" w:cs="Times New Roman"/>
                <w:sz w:val="20"/>
                <w:szCs w:val="20"/>
                <w:lang w:val="es-ES_tradnl"/>
              </w:rPr>
              <w:t>,</w:t>
            </w:r>
            <w:r w:rsidR="004632FD" w:rsidRPr="00976BFF">
              <w:rPr>
                <w:rFonts w:ascii="Times New Roman" w:hAnsi="Times New Roman" w:cs="Times New Roman"/>
                <w:sz w:val="20"/>
                <w:szCs w:val="20"/>
                <w:lang w:val="es-ES_tradnl"/>
              </w:rPr>
              <w:t>0</w:t>
            </w:r>
          </w:p>
        </w:tc>
      </w:tr>
      <w:tr w:rsidR="00FF7EE4" w:rsidRPr="00976BFF">
        <w:trPr>
          <w:gridAfter w:val="1"/>
          <w:wAfter w:w="27" w:type="dxa"/>
          <w:trHeight w:val="145"/>
        </w:trPr>
        <w:tc>
          <w:tcPr>
            <w:tcW w:w="9900" w:type="dxa"/>
            <w:gridSpan w:val="35"/>
            <w:tcBorders>
              <w:top w:val="single" w:sz="4" w:space="0" w:color="000000"/>
              <w:left w:val="single" w:sz="4" w:space="0" w:color="auto"/>
              <w:bottom w:val="single" w:sz="4" w:space="0" w:color="000000"/>
              <w:right w:val="single" w:sz="4" w:space="0" w:color="auto"/>
            </w:tcBorders>
            <w:shd w:val="clear" w:color="auto" w:fill="000000"/>
            <w:tcMar>
              <w:top w:w="50" w:type="dxa"/>
              <w:left w:w="50" w:type="dxa"/>
              <w:bottom w:w="50" w:type="dxa"/>
              <w:right w:w="50" w:type="dxa"/>
            </w:tcMar>
            <w:vAlign w:val="center"/>
          </w:tcPr>
          <w:p w:rsidR="00FF7EE4"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FF7EE4" w:rsidRPr="00AC438C">
        <w:trPr>
          <w:gridAfter w:val="1"/>
          <w:wAfter w:w="27" w:type="dxa"/>
          <w:trHeight w:val="145"/>
        </w:trPr>
        <w:tc>
          <w:tcPr>
            <w:tcW w:w="9900" w:type="dxa"/>
            <w:gridSpan w:val="35"/>
            <w:tcBorders>
              <w:top w:val="single" w:sz="4" w:space="0" w:color="000000"/>
              <w:left w:val="single" w:sz="4" w:space="0" w:color="auto"/>
              <w:bottom w:val="nil"/>
              <w:right w:val="single" w:sz="4" w:space="0" w:color="auto"/>
            </w:tcBorders>
            <w:shd w:val="clear" w:color="auto" w:fill="FFFFFF"/>
            <w:tcMar>
              <w:top w:w="50" w:type="dxa"/>
              <w:left w:w="50" w:type="dxa"/>
              <w:bottom w:w="50" w:type="dxa"/>
              <w:right w:w="50" w:type="dxa"/>
            </w:tcMar>
            <w:vAlign w:val="center"/>
          </w:tcPr>
          <w:p w:rsidR="00FF7EE4" w:rsidRPr="00976BFF" w:rsidRDefault="000F7ECF"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lastRenderedPageBreak/>
              <w:t>Prestatario</w:t>
            </w:r>
            <w:r w:rsidR="001D2940" w:rsidRPr="00976BFF">
              <w:rPr>
                <w:rFonts w:ascii="Times New Roman" w:hAnsi="Times New Roman" w:cs="Times New Roman"/>
                <w:sz w:val="20"/>
                <w:szCs w:val="20"/>
                <w:lang w:val="es-ES_tradnl"/>
              </w:rPr>
              <w:t xml:space="preserve">: </w:t>
            </w:r>
            <w:r w:rsidRPr="00976BFF">
              <w:rPr>
                <w:rFonts w:ascii="Times New Roman" w:hAnsi="Times New Roman" w:cs="Times New Roman"/>
                <w:sz w:val="20"/>
                <w:szCs w:val="20"/>
                <w:lang w:val="es-ES_tradnl"/>
              </w:rPr>
              <w:t>República Oriental del</w:t>
            </w:r>
            <w:r w:rsidR="00644BD6" w:rsidRPr="00976BFF">
              <w:rPr>
                <w:rFonts w:ascii="Times New Roman" w:hAnsi="Times New Roman" w:cs="Times New Roman"/>
                <w:sz w:val="20"/>
                <w:szCs w:val="20"/>
                <w:lang w:val="es-ES_tradnl"/>
              </w:rPr>
              <w:t xml:space="preserve"> Uruguay</w:t>
            </w:r>
          </w:p>
        </w:tc>
      </w:tr>
      <w:tr w:rsidR="00FF7EE4" w:rsidRPr="00AC438C">
        <w:trPr>
          <w:gridAfter w:val="1"/>
          <w:wAfter w:w="27" w:type="dxa"/>
          <w:trHeight w:val="145"/>
        </w:trPr>
        <w:tc>
          <w:tcPr>
            <w:tcW w:w="9900" w:type="dxa"/>
            <w:gridSpan w:val="35"/>
            <w:tcBorders>
              <w:top w:val="single" w:sz="4" w:space="0" w:color="000000"/>
              <w:left w:val="single" w:sz="4" w:space="0" w:color="auto"/>
              <w:bottom w:val="single" w:sz="4" w:space="0" w:color="000000"/>
              <w:right w:val="single" w:sz="4" w:space="0" w:color="auto"/>
            </w:tcBorders>
            <w:shd w:val="clear" w:color="auto" w:fill="FFFFFF"/>
            <w:tcMar>
              <w:top w:w="50" w:type="dxa"/>
              <w:left w:w="50" w:type="dxa"/>
              <w:bottom w:w="50" w:type="dxa"/>
              <w:right w:w="50" w:type="dxa"/>
            </w:tcMar>
            <w:vAlign w:val="center"/>
          </w:tcPr>
          <w:p w:rsidR="00FF7EE4" w:rsidRPr="00976BFF" w:rsidRDefault="000F7ECF" w:rsidP="000F7ECF">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Organismo responsable</w:t>
            </w:r>
            <w:r w:rsidR="001D2940" w:rsidRPr="00976BFF">
              <w:rPr>
                <w:rFonts w:ascii="Times New Roman" w:hAnsi="Times New Roman" w:cs="Times New Roman"/>
                <w:sz w:val="20"/>
                <w:szCs w:val="20"/>
                <w:lang w:val="es-ES_tradnl"/>
              </w:rPr>
              <w:t xml:space="preserve">: </w:t>
            </w:r>
            <w:r w:rsidR="00644BD6" w:rsidRPr="00976BFF">
              <w:rPr>
                <w:rFonts w:ascii="Times New Roman" w:hAnsi="Times New Roman" w:cs="Times New Roman"/>
                <w:sz w:val="20"/>
                <w:szCs w:val="20"/>
                <w:lang w:val="es-ES_tradnl"/>
              </w:rPr>
              <w:t>Minist</w:t>
            </w:r>
            <w:r w:rsidRPr="00976BFF">
              <w:rPr>
                <w:rFonts w:ascii="Times New Roman" w:hAnsi="Times New Roman" w:cs="Times New Roman"/>
                <w:sz w:val="20"/>
                <w:szCs w:val="20"/>
                <w:lang w:val="es-ES_tradnl"/>
              </w:rPr>
              <w:t>erio de Transporte y Obras Públicas</w:t>
            </w:r>
          </w:p>
        </w:tc>
      </w:tr>
      <w:tr w:rsidR="00FF7EE4" w:rsidRPr="00976BFF">
        <w:trPr>
          <w:gridAfter w:val="1"/>
          <w:wAfter w:w="27" w:type="dxa"/>
          <w:trHeight w:val="145"/>
        </w:trPr>
        <w:tc>
          <w:tcPr>
            <w:tcW w:w="1609" w:type="dxa"/>
            <w:gridSpan w:val="6"/>
            <w:tcBorders>
              <w:top w:val="single" w:sz="4" w:space="0" w:color="000000"/>
              <w:left w:val="single" w:sz="4" w:space="0" w:color="auto"/>
              <w:bottom w:val="nil"/>
              <w:right w:val="nil"/>
            </w:tcBorders>
            <w:shd w:val="clear" w:color="auto" w:fill="FFFFFF"/>
            <w:tcMar>
              <w:top w:w="50" w:type="dxa"/>
              <w:left w:w="50" w:type="dxa"/>
              <w:bottom w:w="50" w:type="dxa"/>
              <w:right w:w="50" w:type="dxa"/>
            </w:tcMar>
          </w:tcPr>
          <w:p w:rsidR="00FF7EE4"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Contact</w:t>
            </w:r>
            <w:r w:rsidR="000F7ECF" w:rsidRPr="00976BFF">
              <w:rPr>
                <w:rFonts w:ascii="Times New Roman" w:hAnsi="Times New Roman" w:cs="Times New Roman"/>
                <w:sz w:val="16"/>
                <w:szCs w:val="16"/>
                <w:lang w:val="es-ES_tradnl"/>
              </w:rPr>
              <w:t>o</w:t>
            </w:r>
            <w:r w:rsidRPr="00976BFF">
              <w:rPr>
                <w:rFonts w:ascii="Times New Roman" w:hAnsi="Times New Roman" w:cs="Times New Roman"/>
                <w:sz w:val="16"/>
                <w:szCs w:val="16"/>
                <w:lang w:val="es-ES_tradnl"/>
              </w:rPr>
              <w:t>:</w:t>
            </w:r>
          </w:p>
        </w:tc>
        <w:tc>
          <w:tcPr>
            <w:tcW w:w="4009" w:type="dxa"/>
            <w:gridSpan w:val="14"/>
            <w:tcBorders>
              <w:top w:val="single" w:sz="4" w:space="0" w:color="000000"/>
              <w:left w:val="nil"/>
              <w:bottom w:val="nil"/>
              <w:right w:val="nil"/>
            </w:tcBorders>
            <w:shd w:val="clear" w:color="auto" w:fill="FFFFFF"/>
            <w:tcMar>
              <w:top w:w="50" w:type="dxa"/>
              <w:left w:w="50" w:type="dxa"/>
              <w:bottom w:w="50" w:type="dxa"/>
              <w:right w:w="50" w:type="dxa"/>
            </w:tcMar>
          </w:tcPr>
          <w:p w:rsidR="00FF7EE4" w:rsidRPr="00976BFF" w:rsidRDefault="000F7ECF"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S</w:t>
            </w:r>
            <w:r w:rsidR="00644BD6" w:rsidRPr="00976BFF">
              <w:rPr>
                <w:rFonts w:ascii="Times New Roman" w:hAnsi="Times New Roman" w:cs="Times New Roman"/>
                <w:sz w:val="16"/>
                <w:szCs w:val="16"/>
                <w:lang w:val="es-ES_tradnl"/>
              </w:rPr>
              <w:t>r. Rafael Ferrando</w:t>
            </w:r>
          </w:p>
        </w:tc>
        <w:tc>
          <w:tcPr>
            <w:tcW w:w="1031" w:type="dxa"/>
            <w:gridSpan w:val="3"/>
            <w:tcBorders>
              <w:top w:val="single" w:sz="4" w:space="0" w:color="000000"/>
              <w:left w:val="nil"/>
              <w:bottom w:val="nil"/>
              <w:right w:val="nil"/>
            </w:tcBorders>
            <w:shd w:val="clear" w:color="auto" w:fill="FFFFFF"/>
            <w:tcMar>
              <w:top w:w="50" w:type="dxa"/>
              <w:left w:w="50" w:type="dxa"/>
              <w:bottom w:w="50" w:type="dxa"/>
              <w:right w:w="50" w:type="dxa"/>
            </w:tcMar>
          </w:tcPr>
          <w:p w:rsidR="00FF7EE4" w:rsidRPr="00976BFF" w:rsidRDefault="001D2940"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w:t>
            </w:r>
            <w:r w:rsidR="000F7ECF" w:rsidRPr="00976BFF">
              <w:rPr>
                <w:rFonts w:ascii="Times New Roman" w:hAnsi="Times New Roman" w:cs="Times New Roman"/>
                <w:sz w:val="16"/>
                <w:szCs w:val="16"/>
                <w:lang w:val="es-ES_tradnl"/>
              </w:rPr>
              <w:t>Cargo</w:t>
            </w:r>
            <w:r w:rsidRPr="00976BFF">
              <w:rPr>
                <w:rFonts w:ascii="Times New Roman" w:hAnsi="Times New Roman" w:cs="Times New Roman"/>
                <w:sz w:val="16"/>
                <w:szCs w:val="16"/>
                <w:lang w:val="es-ES_tradnl"/>
              </w:rPr>
              <w:t>:</w:t>
            </w:r>
          </w:p>
        </w:tc>
        <w:tc>
          <w:tcPr>
            <w:tcW w:w="3251" w:type="dxa"/>
            <w:gridSpan w:val="12"/>
            <w:tcBorders>
              <w:top w:val="single" w:sz="4" w:space="0" w:color="000000"/>
              <w:left w:val="nil"/>
              <w:bottom w:val="nil"/>
              <w:right w:val="single" w:sz="4" w:space="0" w:color="auto"/>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r>
      <w:tr w:rsidR="00FF7EE4" w:rsidRPr="00976BFF">
        <w:trPr>
          <w:gridAfter w:val="1"/>
          <w:wAfter w:w="27" w:type="dxa"/>
          <w:trHeight w:val="145"/>
        </w:trPr>
        <w:tc>
          <w:tcPr>
            <w:tcW w:w="1609" w:type="dxa"/>
            <w:gridSpan w:val="6"/>
            <w:tcBorders>
              <w:top w:val="nil"/>
              <w:left w:val="single" w:sz="4" w:space="0" w:color="auto"/>
              <w:bottom w:val="single" w:sz="4" w:space="0" w:color="000000"/>
              <w:right w:val="nil"/>
            </w:tcBorders>
            <w:shd w:val="clear" w:color="auto" w:fill="FFFFFF"/>
            <w:tcMar>
              <w:top w:w="50" w:type="dxa"/>
              <w:left w:w="50" w:type="dxa"/>
              <w:bottom w:w="50" w:type="dxa"/>
              <w:right w:w="50" w:type="dxa"/>
            </w:tcMar>
          </w:tcPr>
          <w:p w:rsidR="00FF7EE4" w:rsidRPr="00976BFF" w:rsidRDefault="001D2940"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Tel</w:t>
            </w:r>
            <w:r w:rsidR="000F7ECF" w:rsidRPr="00976BFF">
              <w:rPr>
                <w:rFonts w:ascii="Times New Roman" w:hAnsi="Times New Roman" w:cs="Times New Roman"/>
                <w:sz w:val="16"/>
                <w:szCs w:val="16"/>
                <w:lang w:val="es-ES_tradnl"/>
              </w:rPr>
              <w:t>éfono</w:t>
            </w:r>
            <w:r w:rsidRPr="00976BFF">
              <w:rPr>
                <w:rFonts w:ascii="Times New Roman" w:hAnsi="Times New Roman" w:cs="Times New Roman"/>
                <w:sz w:val="16"/>
                <w:szCs w:val="16"/>
                <w:lang w:val="es-ES_tradnl"/>
              </w:rPr>
              <w:t>:</w:t>
            </w:r>
          </w:p>
        </w:tc>
        <w:tc>
          <w:tcPr>
            <w:tcW w:w="4009" w:type="dxa"/>
            <w:gridSpan w:val="14"/>
            <w:tcBorders>
              <w:top w:val="nil"/>
              <w:left w:val="nil"/>
              <w:bottom w:val="single" w:sz="4" w:space="0" w:color="000000"/>
              <w:right w:val="nil"/>
            </w:tcBorders>
            <w:shd w:val="clear" w:color="auto" w:fill="FFFFFF"/>
            <w:tcMar>
              <w:top w:w="50" w:type="dxa"/>
              <w:left w:w="50" w:type="dxa"/>
              <w:bottom w:w="50" w:type="dxa"/>
              <w:right w:w="50" w:type="dxa"/>
            </w:tcMar>
          </w:tcPr>
          <w:p w:rsidR="00FF7EE4" w:rsidRPr="00976BFF" w:rsidRDefault="00644BD6"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+598 2915-8333</w:t>
            </w:r>
          </w:p>
        </w:tc>
        <w:tc>
          <w:tcPr>
            <w:tcW w:w="1031" w:type="dxa"/>
            <w:gridSpan w:val="3"/>
            <w:tcBorders>
              <w:top w:val="nil"/>
              <w:left w:val="nil"/>
              <w:bottom w:val="single" w:sz="4" w:space="0" w:color="000000"/>
              <w:right w:val="nil"/>
            </w:tcBorders>
            <w:shd w:val="clear" w:color="auto" w:fill="FFFFFF"/>
            <w:tcMar>
              <w:top w:w="50" w:type="dxa"/>
              <w:left w:w="50" w:type="dxa"/>
              <w:bottom w:w="50" w:type="dxa"/>
              <w:right w:w="50" w:type="dxa"/>
            </w:tcMar>
          </w:tcPr>
          <w:p w:rsidR="00FF7EE4" w:rsidRPr="00976BFF" w:rsidRDefault="001D2940"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w:t>
            </w:r>
            <w:r w:rsidR="000F7ECF" w:rsidRPr="00976BFF">
              <w:rPr>
                <w:rFonts w:ascii="Times New Roman" w:hAnsi="Times New Roman" w:cs="Times New Roman"/>
                <w:sz w:val="16"/>
                <w:szCs w:val="16"/>
                <w:lang w:val="es-ES_tradnl"/>
              </w:rPr>
              <w:t>Correo electrónico</w:t>
            </w:r>
            <w:r w:rsidRPr="00976BFF">
              <w:rPr>
                <w:rFonts w:ascii="Times New Roman" w:hAnsi="Times New Roman" w:cs="Times New Roman"/>
                <w:sz w:val="16"/>
                <w:szCs w:val="16"/>
                <w:lang w:val="es-ES_tradnl"/>
              </w:rPr>
              <w:t>:</w:t>
            </w:r>
          </w:p>
        </w:tc>
        <w:tc>
          <w:tcPr>
            <w:tcW w:w="3251" w:type="dxa"/>
            <w:gridSpan w:val="12"/>
            <w:tcBorders>
              <w:top w:val="nil"/>
              <w:left w:val="nil"/>
              <w:bottom w:val="single" w:sz="4" w:space="0" w:color="000000"/>
              <w:right w:val="single" w:sz="4" w:space="0" w:color="auto"/>
            </w:tcBorders>
            <w:shd w:val="clear" w:color="auto" w:fill="FFFFFF"/>
            <w:tcMar>
              <w:top w:w="50" w:type="dxa"/>
              <w:left w:w="50" w:type="dxa"/>
              <w:bottom w:w="50" w:type="dxa"/>
              <w:right w:w="50" w:type="dxa"/>
            </w:tcMar>
          </w:tcPr>
          <w:p w:rsidR="00FF7EE4" w:rsidRPr="00976BFF" w:rsidRDefault="00644BD6"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rferran@mtop.gob.uy</w:t>
            </w:r>
          </w:p>
        </w:tc>
      </w:tr>
      <w:tr w:rsidR="00FF7EE4" w:rsidRPr="00976BFF">
        <w:trPr>
          <w:gridAfter w:val="1"/>
          <w:wAfter w:w="27" w:type="dxa"/>
          <w:trHeight w:val="145"/>
        </w:trPr>
        <w:tc>
          <w:tcPr>
            <w:tcW w:w="9900" w:type="dxa"/>
            <w:gridSpan w:val="35"/>
            <w:tcBorders>
              <w:top w:val="single" w:sz="4" w:space="0" w:color="000000"/>
              <w:left w:val="single" w:sz="4" w:space="0" w:color="auto"/>
              <w:bottom w:val="single" w:sz="4" w:space="0" w:color="000000"/>
              <w:right w:val="single" w:sz="4" w:space="0" w:color="auto"/>
            </w:tcBorders>
            <w:shd w:val="clear" w:color="auto" w:fill="FFFFFF"/>
            <w:tcMar>
              <w:top w:w="50" w:type="dxa"/>
              <w:left w:w="50" w:type="dxa"/>
              <w:bottom w:w="50" w:type="dxa"/>
              <w:right w:w="50" w:type="dxa"/>
            </w:tcMar>
            <w:vAlign w:val="center"/>
          </w:tcPr>
          <w:p w:rsidR="00FF7EE4" w:rsidRPr="00976BFF" w:rsidRDefault="000F7ECF"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Organismo responsable</w:t>
            </w:r>
            <w:r w:rsidR="001D2940" w:rsidRPr="00976BFF">
              <w:rPr>
                <w:rFonts w:ascii="Times New Roman" w:hAnsi="Times New Roman" w:cs="Times New Roman"/>
                <w:sz w:val="20"/>
                <w:szCs w:val="20"/>
                <w:lang w:val="es-ES_tradnl"/>
              </w:rPr>
              <w:t xml:space="preserve">: </w:t>
            </w:r>
          </w:p>
        </w:tc>
      </w:tr>
      <w:tr w:rsidR="00FF7EE4" w:rsidRPr="00976BFF">
        <w:trPr>
          <w:gridAfter w:val="1"/>
          <w:wAfter w:w="27" w:type="dxa"/>
          <w:trHeight w:val="145"/>
        </w:trPr>
        <w:tc>
          <w:tcPr>
            <w:tcW w:w="5618" w:type="dxa"/>
            <w:gridSpan w:val="20"/>
            <w:tcBorders>
              <w:top w:val="single" w:sz="4" w:space="0" w:color="000000"/>
              <w:left w:val="single" w:sz="4" w:space="0" w:color="auto"/>
              <w:bottom w:val="nil"/>
              <w:right w:val="nil"/>
            </w:tcBorders>
            <w:shd w:val="clear" w:color="auto" w:fill="FFFFFF"/>
            <w:tcMar>
              <w:top w:w="50" w:type="dxa"/>
              <w:left w:w="50" w:type="dxa"/>
              <w:bottom w:w="50" w:type="dxa"/>
              <w:right w:w="50" w:type="dxa"/>
            </w:tcMar>
          </w:tcPr>
          <w:p w:rsidR="00FF7EE4" w:rsidRPr="00976BFF" w:rsidRDefault="001D2940" w:rsidP="00241095">
            <w:pPr>
              <w:spacing w:after="0" w:line="240" w:lineRule="auto"/>
              <w:rPr>
                <w:rFonts w:ascii="Times New Roman" w:hAnsi="Times New Roman" w:cs="Times New Roman"/>
                <w:lang w:val="es-ES_tradnl"/>
              </w:rPr>
            </w:pPr>
            <w:r w:rsidRPr="00976BFF">
              <w:rPr>
                <w:rFonts w:ascii="Times New Roman" w:hAnsi="Times New Roman" w:cs="Times New Roman"/>
                <w:sz w:val="16"/>
                <w:szCs w:val="16"/>
                <w:lang w:val="es-ES_tradnl"/>
              </w:rPr>
              <w:t xml:space="preserve">    Contact</w:t>
            </w:r>
            <w:r w:rsidR="000F7ECF" w:rsidRPr="00976BFF">
              <w:rPr>
                <w:rFonts w:ascii="Times New Roman" w:hAnsi="Times New Roman" w:cs="Times New Roman"/>
                <w:sz w:val="16"/>
                <w:szCs w:val="16"/>
                <w:lang w:val="es-ES_tradnl"/>
              </w:rPr>
              <w:t>o</w:t>
            </w:r>
            <w:r w:rsidRPr="00976BFF">
              <w:rPr>
                <w:rFonts w:ascii="Times New Roman" w:hAnsi="Times New Roman" w:cs="Times New Roman"/>
                <w:sz w:val="16"/>
                <w:szCs w:val="16"/>
                <w:lang w:val="es-ES_tradnl"/>
              </w:rPr>
              <w:t>:</w:t>
            </w:r>
          </w:p>
        </w:tc>
        <w:tc>
          <w:tcPr>
            <w:tcW w:w="4282" w:type="dxa"/>
            <w:gridSpan w:val="15"/>
            <w:tcBorders>
              <w:top w:val="single" w:sz="4" w:space="0" w:color="000000"/>
              <w:left w:val="nil"/>
              <w:bottom w:val="nil"/>
              <w:right w:val="single" w:sz="4" w:space="0" w:color="auto"/>
            </w:tcBorders>
            <w:shd w:val="clear" w:color="auto" w:fill="FFFFFF"/>
            <w:tcMar>
              <w:top w:w="50" w:type="dxa"/>
              <w:left w:w="50" w:type="dxa"/>
              <w:bottom w:w="50" w:type="dxa"/>
              <w:right w:w="50" w:type="dxa"/>
            </w:tcMar>
          </w:tcPr>
          <w:p w:rsidR="00FF7EE4" w:rsidRPr="00976BFF" w:rsidRDefault="001D2940" w:rsidP="000F7ECF">
            <w:pPr>
              <w:spacing w:after="0" w:line="240" w:lineRule="auto"/>
              <w:rPr>
                <w:rFonts w:ascii="Times New Roman" w:hAnsi="Times New Roman" w:cs="Times New Roman"/>
                <w:lang w:val="es-ES_tradnl"/>
              </w:rPr>
            </w:pPr>
            <w:r w:rsidRPr="00976BFF">
              <w:rPr>
                <w:rFonts w:ascii="Times New Roman" w:hAnsi="Times New Roman" w:cs="Times New Roman"/>
                <w:sz w:val="16"/>
                <w:szCs w:val="16"/>
                <w:lang w:val="es-ES_tradnl"/>
              </w:rPr>
              <w:t xml:space="preserve">    </w:t>
            </w:r>
            <w:r w:rsidR="000F7ECF" w:rsidRPr="00976BFF">
              <w:rPr>
                <w:rFonts w:ascii="Times New Roman" w:hAnsi="Times New Roman" w:cs="Times New Roman"/>
                <w:sz w:val="16"/>
                <w:szCs w:val="16"/>
                <w:lang w:val="es-ES_tradnl"/>
              </w:rPr>
              <w:t>Cargo</w:t>
            </w:r>
            <w:r w:rsidRPr="00976BFF">
              <w:rPr>
                <w:rFonts w:ascii="Times New Roman" w:hAnsi="Times New Roman" w:cs="Times New Roman"/>
                <w:sz w:val="16"/>
                <w:szCs w:val="16"/>
                <w:lang w:val="es-ES_tradnl"/>
              </w:rPr>
              <w:t>:</w:t>
            </w:r>
          </w:p>
        </w:tc>
      </w:tr>
      <w:tr w:rsidR="00FF7EE4" w:rsidRPr="00976BFF">
        <w:trPr>
          <w:gridAfter w:val="1"/>
          <w:wAfter w:w="27" w:type="dxa"/>
          <w:trHeight w:val="145"/>
        </w:trPr>
        <w:tc>
          <w:tcPr>
            <w:tcW w:w="1609" w:type="dxa"/>
            <w:gridSpan w:val="6"/>
            <w:tcBorders>
              <w:top w:val="nil"/>
              <w:left w:val="single" w:sz="4" w:space="0" w:color="auto"/>
              <w:bottom w:val="single" w:sz="4" w:space="0" w:color="000000"/>
              <w:right w:val="nil"/>
            </w:tcBorders>
            <w:shd w:val="clear" w:color="auto" w:fill="FFFFFF"/>
            <w:tcMar>
              <w:top w:w="50" w:type="dxa"/>
              <w:left w:w="50" w:type="dxa"/>
              <w:bottom w:w="50" w:type="dxa"/>
              <w:right w:w="50" w:type="dxa"/>
            </w:tcMar>
          </w:tcPr>
          <w:p w:rsidR="00FF7EE4" w:rsidRPr="00976BFF" w:rsidRDefault="001D2940"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Tel</w:t>
            </w:r>
            <w:r w:rsidR="000F7ECF" w:rsidRPr="00976BFF">
              <w:rPr>
                <w:rFonts w:ascii="Times New Roman" w:hAnsi="Times New Roman" w:cs="Times New Roman"/>
                <w:sz w:val="16"/>
                <w:szCs w:val="16"/>
                <w:lang w:val="es-ES_tradnl"/>
              </w:rPr>
              <w:t>éfono</w:t>
            </w:r>
            <w:r w:rsidRPr="00976BFF">
              <w:rPr>
                <w:rFonts w:ascii="Times New Roman" w:hAnsi="Times New Roman" w:cs="Times New Roman"/>
                <w:sz w:val="16"/>
                <w:szCs w:val="16"/>
                <w:lang w:val="es-ES_tradnl"/>
              </w:rPr>
              <w:t>:</w:t>
            </w:r>
          </w:p>
        </w:tc>
        <w:tc>
          <w:tcPr>
            <w:tcW w:w="4009" w:type="dxa"/>
            <w:gridSpan w:val="14"/>
            <w:tcBorders>
              <w:top w:val="nil"/>
              <w:left w:val="nil"/>
              <w:bottom w:val="single" w:sz="4" w:space="0" w:color="000000"/>
              <w:right w:val="nil"/>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c>
          <w:tcPr>
            <w:tcW w:w="1173" w:type="dxa"/>
            <w:gridSpan w:val="5"/>
            <w:tcBorders>
              <w:top w:val="nil"/>
              <w:left w:val="nil"/>
              <w:bottom w:val="single" w:sz="4" w:space="0" w:color="000000"/>
              <w:right w:val="nil"/>
            </w:tcBorders>
            <w:shd w:val="clear" w:color="auto" w:fill="FFFFFF"/>
            <w:tcMar>
              <w:top w:w="50" w:type="dxa"/>
              <w:left w:w="50" w:type="dxa"/>
              <w:bottom w:w="50" w:type="dxa"/>
              <w:right w:w="50" w:type="dxa"/>
            </w:tcMar>
          </w:tcPr>
          <w:p w:rsidR="00FF7EE4" w:rsidRPr="00976BFF" w:rsidRDefault="001D2940" w:rsidP="000F7ECF">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w:t>
            </w:r>
            <w:r w:rsidR="000F7ECF" w:rsidRPr="00976BFF">
              <w:rPr>
                <w:rFonts w:ascii="Times New Roman" w:hAnsi="Times New Roman" w:cs="Times New Roman"/>
                <w:sz w:val="16"/>
                <w:szCs w:val="16"/>
                <w:lang w:val="es-ES_tradnl"/>
              </w:rPr>
              <w:t>Correo electrónico</w:t>
            </w:r>
            <w:r w:rsidRPr="00976BFF">
              <w:rPr>
                <w:rFonts w:ascii="Times New Roman" w:hAnsi="Times New Roman" w:cs="Times New Roman"/>
                <w:sz w:val="16"/>
                <w:szCs w:val="16"/>
                <w:lang w:val="es-ES_tradnl"/>
              </w:rPr>
              <w:t>:</w:t>
            </w:r>
          </w:p>
        </w:tc>
        <w:tc>
          <w:tcPr>
            <w:tcW w:w="3109" w:type="dxa"/>
            <w:gridSpan w:val="10"/>
            <w:tcBorders>
              <w:top w:val="nil"/>
              <w:left w:val="nil"/>
              <w:bottom w:val="single" w:sz="4" w:space="0" w:color="000000"/>
              <w:right w:val="single" w:sz="4" w:space="0" w:color="auto"/>
            </w:tcBorders>
            <w:shd w:val="clear" w:color="auto" w:fill="FFFFFF"/>
            <w:tcMar>
              <w:top w:w="50" w:type="dxa"/>
              <w:left w:w="50" w:type="dxa"/>
              <w:bottom w:w="50" w:type="dxa"/>
              <w:right w:w="50" w:type="dxa"/>
            </w:tcMar>
          </w:tcPr>
          <w:p w:rsidR="00FF7EE4" w:rsidRPr="00976BFF" w:rsidRDefault="00FF7EE4" w:rsidP="00241095">
            <w:pPr>
              <w:spacing w:after="0" w:line="240" w:lineRule="auto"/>
              <w:rPr>
                <w:rFonts w:ascii="Times New Roman" w:hAnsi="Times New Roman" w:cs="Times New Roman"/>
                <w:sz w:val="16"/>
                <w:szCs w:val="16"/>
                <w:lang w:val="es-ES_tradnl"/>
              </w:rPr>
            </w:pPr>
          </w:p>
        </w:tc>
      </w:tr>
      <w:tr w:rsidR="00FF7EE4" w:rsidRPr="00976BFF">
        <w:trPr>
          <w:gridAfter w:val="1"/>
          <w:wAfter w:w="27" w:type="dxa"/>
          <w:trHeight w:val="145"/>
        </w:trPr>
        <w:tc>
          <w:tcPr>
            <w:tcW w:w="9900" w:type="dxa"/>
            <w:gridSpan w:val="35"/>
            <w:tcBorders>
              <w:top w:val="single" w:sz="4" w:space="0" w:color="000000"/>
              <w:left w:val="single" w:sz="4" w:space="0" w:color="auto"/>
              <w:bottom w:val="single" w:sz="4" w:space="0" w:color="auto"/>
              <w:right w:val="single" w:sz="4" w:space="0" w:color="auto"/>
            </w:tcBorders>
            <w:shd w:val="clear" w:color="auto" w:fill="000000"/>
            <w:tcMar>
              <w:top w:w="50" w:type="dxa"/>
              <w:left w:w="50" w:type="dxa"/>
              <w:bottom w:w="50" w:type="dxa"/>
              <w:right w:w="50" w:type="dxa"/>
            </w:tcMar>
            <w:vAlign w:val="center"/>
          </w:tcPr>
          <w:p w:rsidR="00FF7EE4"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1B0CCF" w:rsidRPr="00AC438C">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977B56" w:rsidP="00977B56">
            <w:pPr>
              <w:spacing w:after="0" w:line="240" w:lineRule="auto"/>
              <w:rPr>
                <w:rFonts w:ascii="Times New Roman" w:hAnsi="Times New Roman" w:cs="Times New Roman"/>
                <w:sz w:val="20"/>
                <w:szCs w:val="20"/>
                <w:lang w:val="es-ES_tradnl"/>
              </w:rPr>
            </w:pPr>
            <w:r w:rsidRPr="00976BFF">
              <w:rPr>
                <w:rFonts w:ascii="Times New Roman" w:hAnsi="Times New Roman" w:cs="Times New Roman"/>
                <w:b/>
                <w:bCs/>
                <w:sz w:val="20"/>
                <w:szCs w:val="20"/>
                <w:lang w:val="es-ES_tradnl"/>
              </w:rPr>
              <w:t>Desembolsos previstos (millones de US$)</w:t>
            </w:r>
          </w:p>
        </w:tc>
      </w:tr>
      <w:tr w:rsidR="001B0CCF" w:rsidRPr="00976BFF">
        <w:tblPrEx>
          <w:jc w:val="center"/>
        </w:tblPrEx>
        <w:trPr>
          <w:gridBefore w:val="1"/>
          <w:wBefore w:w="27" w:type="dxa"/>
          <w:trHeight w:val="145"/>
          <w:jc w:val="center"/>
        </w:trPr>
        <w:tc>
          <w:tcPr>
            <w:tcW w:w="118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977B56" w:rsidP="00977B56">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Año fiscal del Banco</w:t>
            </w:r>
          </w:p>
        </w:tc>
        <w:tc>
          <w:tcPr>
            <w:tcW w:w="94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644BD6"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201</w:t>
            </w:r>
            <w:r w:rsidR="00D97DBE" w:rsidRPr="00976BFF">
              <w:rPr>
                <w:rFonts w:ascii="Times New Roman" w:hAnsi="Times New Roman" w:cs="Times New Roman"/>
                <w:sz w:val="16"/>
                <w:szCs w:val="16"/>
                <w:lang w:val="es-ES_tradnl"/>
              </w:rPr>
              <w:t>3</w:t>
            </w:r>
          </w:p>
        </w:tc>
        <w:tc>
          <w:tcPr>
            <w:tcW w:w="1284"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D97DBE" w:rsidP="00D97DBE">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2014</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D97DBE" w:rsidP="00D97DBE">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2015</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C4375B"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2016</w:t>
            </w:r>
          </w:p>
        </w:tc>
        <w:tc>
          <w:tcPr>
            <w:tcW w:w="94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B0CCF" w:rsidP="00241095">
            <w:pPr>
              <w:spacing w:after="0" w:line="240" w:lineRule="auto"/>
              <w:rPr>
                <w:rFonts w:ascii="Times New Roman" w:hAnsi="Times New Roman" w:cs="Times New Roman"/>
                <w:sz w:val="16"/>
                <w:szCs w:val="16"/>
                <w:lang w:val="es-ES_tradnl"/>
              </w:rPr>
            </w:pPr>
          </w:p>
        </w:tc>
        <w:tc>
          <w:tcPr>
            <w:tcW w:w="138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B0CCF" w:rsidP="00241095">
            <w:pPr>
              <w:spacing w:after="0" w:line="240" w:lineRule="auto"/>
              <w:rPr>
                <w:rFonts w:ascii="Times New Roman" w:hAnsi="Times New Roman" w:cs="Times New Roman"/>
                <w:sz w:val="16"/>
                <w:szCs w:val="16"/>
                <w:lang w:val="es-ES_tradnl"/>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B0CCF" w:rsidP="00241095">
            <w:pPr>
              <w:spacing w:after="0" w:line="240" w:lineRule="auto"/>
              <w:rPr>
                <w:rFonts w:ascii="Times New Roman" w:hAnsi="Times New Roman" w:cs="Times New Roman"/>
                <w:sz w:val="16"/>
                <w:szCs w:val="16"/>
                <w:lang w:val="es-ES_tradnl"/>
              </w:rPr>
            </w:pPr>
          </w:p>
        </w:tc>
        <w:tc>
          <w:tcPr>
            <w:tcW w:w="94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B0CCF" w:rsidP="00241095">
            <w:pPr>
              <w:spacing w:after="0" w:line="240" w:lineRule="auto"/>
              <w:rPr>
                <w:rFonts w:ascii="Times New Roman" w:hAnsi="Times New Roman" w:cs="Times New Roman"/>
                <w:sz w:val="16"/>
                <w:szCs w:val="16"/>
                <w:lang w:val="es-ES_tradnl"/>
              </w:rPr>
            </w:pPr>
          </w:p>
        </w:tc>
        <w:tc>
          <w:tcPr>
            <w:tcW w:w="808"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B0CCF" w:rsidP="00241095">
            <w:pPr>
              <w:spacing w:after="0" w:line="240" w:lineRule="auto"/>
              <w:rPr>
                <w:rFonts w:ascii="Times New Roman" w:hAnsi="Times New Roman" w:cs="Times New Roman"/>
                <w:sz w:val="16"/>
                <w:szCs w:val="16"/>
                <w:lang w:val="es-ES_tradnl"/>
              </w:rPr>
            </w:pPr>
          </w:p>
        </w:tc>
      </w:tr>
      <w:tr w:rsidR="004632FD" w:rsidRPr="00976BFF">
        <w:tblPrEx>
          <w:jc w:val="center"/>
        </w:tblPrEx>
        <w:trPr>
          <w:gridBefore w:val="1"/>
          <w:wBefore w:w="27" w:type="dxa"/>
          <w:trHeight w:val="145"/>
          <w:jc w:val="center"/>
        </w:trPr>
        <w:tc>
          <w:tcPr>
            <w:tcW w:w="118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977B56">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Anual</w:t>
            </w:r>
          </w:p>
        </w:tc>
        <w:tc>
          <w:tcPr>
            <w:tcW w:w="94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977B56" w:rsidP="00D97DBE">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5,</w:t>
            </w:r>
            <w:r w:rsidR="00721579" w:rsidRPr="00976BFF">
              <w:rPr>
                <w:rFonts w:ascii="Times New Roman" w:hAnsi="Times New Roman" w:cs="Times New Roman"/>
                <w:sz w:val="16"/>
                <w:szCs w:val="16"/>
                <w:lang w:val="es-ES_tradnl"/>
              </w:rPr>
              <w:t>4</w:t>
            </w:r>
          </w:p>
        </w:tc>
        <w:tc>
          <w:tcPr>
            <w:tcW w:w="1284"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721579" w:rsidP="00D97DBE">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17</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9</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764A2" w:rsidRPr="00976BFF" w:rsidRDefault="00721579" w:rsidP="00D97DBE">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26</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1</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A764A2" w:rsidRPr="00976BFF" w:rsidRDefault="00721579">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16</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6</w:t>
            </w:r>
          </w:p>
        </w:tc>
        <w:tc>
          <w:tcPr>
            <w:tcW w:w="94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138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94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808"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r>
      <w:tr w:rsidR="004632FD" w:rsidRPr="00976BFF">
        <w:tblPrEx>
          <w:jc w:val="center"/>
        </w:tblPrEx>
        <w:trPr>
          <w:gridBefore w:val="1"/>
          <w:wBefore w:w="27" w:type="dxa"/>
          <w:trHeight w:val="145"/>
          <w:jc w:val="center"/>
        </w:trPr>
        <w:tc>
          <w:tcPr>
            <w:tcW w:w="1186" w:type="dxa"/>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977B56" w:rsidP="00977B56">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Ac</w:t>
            </w:r>
            <w:r w:rsidR="004632FD" w:rsidRPr="00976BFF">
              <w:rPr>
                <w:rFonts w:ascii="Times New Roman" w:hAnsi="Times New Roman" w:cs="Times New Roman"/>
                <w:sz w:val="16"/>
                <w:szCs w:val="16"/>
                <w:lang w:val="es-ES_tradnl"/>
              </w:rPr>
              <w:t>umulativ</w:t>
            </w:r>
            <w:r w:rsidRPr="00976BFF">
              <w:rPr>
                <w:rFonts w:ascii="Times New Roman" w:hAnsi="Times New Roman" w:cs="Times New Roman"/>
                <w:sz w:val="16"/>
                <w:szCs w:val="16"/>
                <w:lang w:val="es-ES_tradnl"/>
              </w:rPr>
              <w:t>o</w:t>
            </w:r>
          </w:p>
        </w:tc>
        <w:tc>
          <w:tcPr>
            <w:tcW w:w="946"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721579" w:rsidP="00977B56">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5</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4</w:t>
            </w:r>
          </w:p>
        </w:tc>
        <w:tc>
          <w:tcPr>
            <w:tcW w:w="1284"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721579"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23</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3</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721579"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49</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4</w:t>
            </w:r>
          </w:p>
        </w:tc>
        <w:tc>
          <w:tcPr>
            <w:tcW w:w="946"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721579"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66</w:t>
            </w:r>
            <w:r w:rsidR="00977B56" w:rsidRPr="00976BFF">
              <w:rPr>
                <w:rFonts w:ascii="Times New Roman" w:hAnsi="Times New Roman" w:cs="Times New Roman"/>
                <w:sz w:val="16"/>
                <w:szCs w:val="16"/>
                <w:lang w:val="es-ES_tradnl"/>
              </w:rPr>
              <w:t>,</w:t>
            </w:r>
            <w:r w:rsidRPr="00976BFF">
              <w:rPr>
                <w:rFonts w:ascii="Times New Roman" w:hAnsi="Times New Roman" w:cs="Times New Roman"/>
                <w:sz w:val="16"/>
                <w:szCs w:val="16"/>
                <w:lang w:val="es-ES_tradnl"/>
              </w:rPr>
              <w:t>0</w:t>
            </w:r>
          </w:p>
        </w:tc>
        <w:tc>
          <w:tcPr>
            <w:tcW w:w="94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1382"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946"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c>
          <w:tcPr>
            <w:tcW w:w="808" w:type="dxa"/>
            <w:gridSpan w:val="3"/>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4632FD" w:rsidRPr="00976BFF" w:rsidRDefault="004632FD" w:rsidP="00241095">
            <w:pPr>
              <w:spacing w:after="0" w:line="240" w:lineRule="auto"/>
              <w:rPr>
                <w:rFonts w:ascii="Times New Roman" w:hAnsi="Times New Roman" w:cs="Times New Roman"/>
                <w:sz w:val="16"/>
                <w:szCs w:val="16"/>
                <w:lang w:val="es-ES_tradnl"/>
              </w:rPr>
            </w:pPr>
          </w:p>
        </w:tc>
      </w:tr>
      <w:tr w:rsidR="001B0CCF" w:rsidRPr="00976BFF">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1B0CCF"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1B0CCF" w:rsidRPr="00AC438C">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977B56" w:rsidP="00241095">
            <w:pPr>
              <w:spacing w:after="0" w:line="240" w:lineRule="auto"/>
              <w:rPr>
                <w:rFonts w:ascii="Times New Roman" w:hAnsi="Times New Roman" w:cs="Times New Roman"/>
                <w:sz w:val="20"/>
                <w:szCs w:val="20"/>
                <w:lang w:val="es-ES_tradnl"/>
              </w:rPr>
            </w:pPr>
            <w:r w:rsidRPr="00976BFF">
              <w:rPr>
                <w:rFonts w:ascii="Times New Roman" w:hAnsi="Times New Roman" w:cs="Times New Roman"/>
                <w:b/>
                <w:bCs/>
                <w:sz w:val="20"/>
                <w:szCs w:val="20"/>
                <w:lang w:val="es-ES_tradnl"/>
              </w:rPr>
              <w:t xml:space="preserve">Objetivo de desarrollo del </w:t>
            </w:r>
            <w:r w:rsidR="00650A31">
              <w:rPr>
                <w:rFonts w:ascii="Times New Roman" w:hAnsi="Times New Roman" w:cs="Times New Roman"/>
                <w:b/>
                <w:bCs/>
                <w:sz w:val="20"/>
                <w:szCs w:val="20"/>
                <w:lang w:val="es-ES_tradnl"/>
              </w:rPr>
              <w:t>programa</w:t>
            </w:r>
          </w:p>
        </w:tc>
      </w:tr>
      <w:tr w:rsidR="001B0CCF" w:rsidRPr="00AC438C">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CA3110" w:rsidP="00834929">
            <w:pPr>
              <w:spacing w:after="0" w:line="240" w:lineRule="auto"/>
              <w:rPr>
                <w:rFonts w:ascii="Times New Roman" w:hAnsi="Times New Roman" w:cs="Times New Roman"/>
                <w:lang w:val="es-ES_tradnl"/>
              </w:rPr>
            </w:pPr>
            <w:r w:rsidRPr="00976BFF">
              <w:rPr>
                <w:rFonts w:ascii="Times New Roman" w:hAnsi="Times New Roman" w:cs="Times New Roman"/>
                <w:lang w:val="es-ES_tradnl"/>
              </w:rPr>
              <w:t xml:space="preserve">Mantener en buenas o muy buenas condiciones el 35%, como mínimo, de la </w:t>
            </w:r>
            <w:r w:rsidR="00834929" w:rsidRPr="00976BFF">
              <w:rPr>
                <w:rFonts w:ascii="Times New Roman" w:hAnsi="Times New Roman" w:cs="Times New Roman"/>
                <w:lang w:val="es-ES_tradnl"/>
              </w:rPr>
              <w:t>r</w:t>
            </w:r>
            <w:r w:rsidRPr="00976BFF">
              <w:rPr>
                <w:rFonts w:ascii="Times New Roman" w:hAnsi="Times New Roman" w:cs="Times New Roman"/>
                <w:lang w:val="es-ES_tradnl"/>
              </w:rPr>
              <w:t xml:space="preserve">ed </w:t>
            </w:r>
            <w:r w:rsidR="00834929" w:rsidRPr="00976BFF">
              <w:rPr>
                <w:rFonts w:ascii="Times New Roman" w:hAnsi="Times New Roman" w:cs="Times New Roman"/>
                <w:lang w:val="es-ES_tradnl"/>
              </w:rPr>
              <w:t>vial n</w:t>
            </w:r>
            <w:r w:rsidRPr="00976BFF">
              <w:rPr>
                <w:rFonts w:ascii="Times New Roman" w:hAnsi="Times New Roman" w:cs="Times New Roman"/>
                <w:lang w:val="es-ES_tradnl"/>
              </w:rPr>
              <w:t>acional</w:t>
            </w:r>
            <w:r w:rsidR="0056588A" w:rsidRPr="00976BFF">
              <w:rPr>
                <w:rFonts w:ascii="Times New Roman" w:hAnsi="Times New Roman" w:cs="Times New Roman"/>
                <w:lang w:val="es-ES_tradnl"/>
              </w:rPr>
              <w:t xml:space="preserve"> de </w:t>
            </w:r>
            <w:r w:rsidRPr="00976BFF">
              <w:rPr>
                <w:rFonts w:ascii="Times New Roman" w:hAnsi="Times New Roman" w:cs="Times New Roman"/>
                <w:lang w:val="es-ES_tradnl"/>
              </w:rPr>
              <w:t>Uruguay y mejorar la gestión del sector vial</w:t>
            </w:r>
            <w:r w:rsidR="004632FD" w:rsidRPr="00976BFF">
              <w:rPr>
                <w:rFonts w:ascii="Times New Roman" w:hAnsi="Times New Roman" w:cs="Times New Roman"/>
                <w:lang w:val="es-ES_tradnl"/>
              </w:rPr>
              <w:t>.</w:t>
            </w:r>
          </w:p>
        </w:tc>
      </w:tr>
      <w:tr w:rsidR="001B0CCF" w:rsidRPr="00976BFF">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1B0CCF" w:rsidRPr="00976BFF" w:rsidRDefault="001D2940" w:rsidP="00CA3110">
            <w:pPr>
              <w:spacing w:after="0" w:line="240" w:lineRule="auto"/>
              <w:jc w:val="center"/>
              <w:rPr>
                <w:rFonts w:ascii="Times New Roman" w:hAnsi="Times New Roman" w:cs="Times New Roman"/>
                <w:lang w:val="es-ES_tradnl"/>
              </w:rPr>
            </w:pPr>
            <w:r w:rsidRPr="00976BFF">
              <w:rPr>
                <w:rFonts w:ascii="Times New Roman" w:hAnsi="Times New Roman" w:cs="Times New Roman"/>
                <w:b/>
                <w:bCs/>
                <w:lang w:val="es-ES_tradnl"/>
              </w:rPr>
              <w:t>C</w:t>
            </w:r>
            <w:r w:rsidR="00CA3110" w:rsidRPr="00976BFF">
              <w:rPr>
                <w:rFonts w:ascii="Times New Roman" w:hAnsi="Times New Roman" w:cs="Times New Roman"/>
                <w:b/>
                <w:bCs/>
                <w:lang w:val="es-ES_tradnl"/>
              </w:rPr>
              <w:t>umplimiento</w:t>
            </w:r>
          </w:p>
        </w:tc>
      </w:tr>
      <w:tr w:rsidR="001B0CCF" w:rsidRPr="00976BFF">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D2940" w:rsidP="00CA3110">
            <w:pPr>
              <w:spacing w:after="0" w:line="240" w:lineRule="auto"/>
              <w:rPr>
                <w:rFonts w:ascii="Times New Roman" w:hAnsi="Times New Roman" w:cs="Times New Roman"/>
                <w:sz w:val="20"/>
                <w:szCs w:val="20"/>
                <w:lang w:val="es-ES_tradnl"/>
              </w:rPr>
            </w:pPr>
            <w:r w:rsidRPr="00976BFF">
              <w:rPr>
                <w:rFonts w:ascii="Times New Roman" w:hAnsi="Times New Roman" w:cs="Times New Roman"/>
                <w:b/>
                <w:bCs/>
                <w:sz w:val="20"/>
                <w:szCs w:val="20"/>
                <w:lang w:val="es-ES_tradnl"/>
              </w:rPr>
              <w:t>Pol</w:t>
            </w:r>
            <w:r w:rsidR="00CA3110" w:rsidRPr="00976BFF">
              <w:rPr>
                <w:rFonts w:ascii="Times New Roman" w:hAnsi="Times New Roman" w:cs="Times New Roman"/>
                <w:b/>
                <w:bCs/>
                <w:sz w:val="20"/>
                <w:szCs w:val="20"/>
                <w:lang w:val="es-ES_tradnl"/>
              </w:rPr>
              <w:t>ítica</w:t>
            </w:r>
          </w:p>
        </w:tc>
      </w:tr>
      <w:tr w:rsidR="001B0CCF" w:rsidRPr="00976BFF">
        <w:tblPrEx>
          <w:jc w:val="center"/>
        </w:tblPrEx>
        <w:trPr>
          <w:gridBefore w:val="1"/>
          <w:wBefore w:w="27" w:type="dxa"/>
          <w:trHeight w:val="145"/>
          <w:jc w:val="center"/>
        </w:trPr>
        <w:tc>
          <w:tcPr>
            <w:tcW w:w="7636"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6E609A" w:rsidP="008877A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¿El </w:t>
            </w:r>
            <w:r w:rsidR="00650A31">
              <w:rPr>
                <w:rFonts w:ascii="Times New Roman" w:hAnsi="Times New Roman" w:cs="Times New Roman"/>
                <w:sz w:val="16"/>
                <w:szCs w:val="16"/>
                <w:lang w:val="es-ES_tradnl"/>
              </w:rPr>
              <w:t>programa</w:t>
            </w:r>
            <w:r w:rsidRPr="00976BFF">
              <w:rPr>
                <w:rFonts w:ascii="Times New Roman" w:hAnsi="Times New Roman" w:cs="Times New Roman"/>
                <w:sz w:val="16"/>
                <w:szCs w:val="16"/>
                <w:lang w:val="es-ES_tradnl"/>
              </w:rPr>
              <w:t xml:space="preserve"> se desvía de la </w:t>
            </w:r>
            <w:r w:rsidR="008877A5">
              <w:rPr>
                <w:rFonts w:ascii="Times New Roman" w:hAnsi="Times New Roman" w:cs="Times New Roman"/>
                <w:sz w:val="16"/>
                <w:szCs w:val="16"/>
                <w:lang w:val="es-ES_tradnl"/>
              </w:rPr>
              <w:t>estrategia de alianza con el país</w:t>
            </w:r>
            <w:r w:rsidR="008877A5" w:rsidRPr="00976BFF">
              <w:rPr>
                <w:rFonts w:ascii="Times New Roman" w:hAnsi="Times New Roman" w:cs="Times New Roman"/>
                <w:sz w:val="16"/>
                <w:szCs w:val="16"/>
                <w:lang w:val="es-ES_tradnl"/>
              </w:rPr>
              <w:t xml:space="preserve"> </w:t>
            </w:r>
            <w:r w:rsidRPr="00976BFF">
              <w:rPr>
                <w:rFonts w:ascii="Times New Roman" w:hAnsi="Times New Roman" w:cs="Times New Roman"/>
                <w:sz w:val="16"/>
                <w:szCs w:val="16"/>
                <w:lang w:val="es-ES_tradnl"/>
              </w:rPr>
              <w:t>en</w:t>
            </w:r>
            <w:r w:rsidR="001C47AE">
              <w:rPr>
                <w:rFonts w:ascii="Times New Roman" w:hAnsi="Times New Roman" w:cs="Times New Roman"/>
                <w:sz w:val="16"/>
                <w:szCs w:val="16"/>
                <w:lang w:val="es-ES_tradnl"/>
              </w:rPr>
              <w:t xml:space="preserve"> contenido o en otros aspectos </w:t>
            </w:r>
            <w:r w:rsidRPr="00976BFF">
              <w:rPr>
                <w:rFonts w:ascii="Times New Roman" w:hAnsi="Times New Roman" w:cs="Times New Roman"/>
                <w:sz w:val="16"/>
                <w:szCs w:val="16"/>
                <w:lang w:val="es-ES_tradnl"/>
              </w:rPr>
              <w:t>importantes</w:t>
            </w:r>
            <w:r w:rsidR="001D2940" w:rsidRPr="00976BFF">
              <w:rPr>
                <w:rFonts w:ascii="Times New Roman" w:hAnsi="Times New Roman" w:cs="Times New Roman"/>
                <w:sz w:val="16"/>
                <w:szCs w:val="16"/>
                <w:lang w:val="es-ES_tradnl"/>
              </w:rPr>
              <w:t>?</w:t>
            </w:r>
          </w:p>
        </w:tc>
        <w:tc>
          <w:tcPr>
            <w:tcW w:w="699"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6E609A"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Sí</w:t>
            </w:r>
          </w:p>
        </w:tc>
        <w:tc>
          <w:tcPr>
            <w:tcW w:w="567"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c>
          <w:tcPr>
            <w:tcW w:w="568"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No</w:t>
            </w:r>
          </w:p>
        </w:tc>
        <w:tc>
          <w:tcPr>
            <w:tcW w:w="430"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 </w:t>
            </w:r>
            <w:r w:rsidR="001535B3" w:rsidRPr="00976BFF">
              <w:rPr>
                <w:rFonts w:ascii="Times New Roman" w:hAnsi="Times New Roman" w:cs="Times New Roman"/>
                <w:sz w:val="16"/>
                <w:szCs w:val="16"/>
                <w:lang w:val="es-ES_tradnl"/>
              </w:rPr>
              <w:t>X</w:t>
            </w:r>
            <w:r w:rsidRPr="00976BFF">
              <w:rPr>
                <w:rFonts w:ascii="Times New Roman" w:hAnsi="Times New Roman" w:cs="Times New Roman"/>
                <w:sz w:val="16"/>
                <w:szCs w:val="16"/>
                <w:lang w:val="es-ES_tradnl"/>
              </w:rPr>
              <w:t xml:space="preserve"> ]</w:t>
            </w:r>
          </w:p>
        </w:tc>
      </w:tr>
      <w:tr w:rsidR="001B0CCF" w:rsidRPr="00976BFF">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1B0CCF"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1B0CCF" w:rsidRPr="00976BFF">
        <w:tblPrEx>
          <w:jc w:val="center"/>
        </w:tblPrEx>
        <w:trPr>
          <w:gridBefore w:val="1"/>
          <w:wBefore w:w="27" w:type="dxa"/>
          <w:trHeight w:val="145"/>
          <w:jc w:val="center"/>
        </w:trPr>
        <w:tc>
          <w:tcPr>
            <w:tcW w:w="7636"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6E609A" w:rsidP="008877A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¿El </w:t>
            </w:r>
            <w:r w:rsidR="00650A31">
              <w:rPr>
                <w:rFonts w:ascii="Times New Roman" w:hAnsi="Times New Roman" w:cs="Times New Roman"/>
                <w:sz w:val="16"/>
                <w:szCs w:val="16"/>
                <w:lang w:val="es-ES_tradnl"/>
              </w:rPr>
              <w:t>programa</w:t>
            </w:r>
            <w:r w:rsidRPr="00976BFF">
              <w:rPr>
                <w:rFonts w:ascii="Times New Roman" w:hAnsi="Times New Roman" w:cs="Times New Roman"/>
                <w:sz w:val="16"/>
                <w:szCs w:val="16"/>
                <w:lang w:val="es-ES_tradnl"/>
              </w:rPr>
              <w:t xml:space="preserve"> exige alguna excepción </w:t>
            </w:r>
            <w:r w:rsidR="008877A5">
              <w:rPr>
                <w:rFonts w:ascii="Times New Roman" w:hAnsi="Times New Roman" w:cs="Times New Roman"/>
                <w:sz w:val="16"/>
                <w:szCs w:val="16"/>
                <w:lang w:val="es-ES_tradnl"/>
              </w:rPr>
              <w:t>a</w:t>
            </w:r>
            <w:r w:rsidR="008877A5" w:rsidRPr="00976BFF">
              <w:rPr>
                <w:rFonts w:ascii="Times New Roman" w:hAnsi="Times New Roman" w:cs="Times New Roman"/>
                <w:sz w:val="16"/>
                <w:szCs w:val="16"/>
                <w:lang w:val="es-ES_tradnl"/>
              </w:rPr>
              <w:t xml:space="preserve"> </w:t>
            </w:r>
            <w:r w:rsidRPr="00976BFF">
              <w:rPr>
                <w:rFonts w:ascii="Times New Roman" w:hAnsi="Times New Roman" w:cs="Times New Roman"/>
                <w:sz w:val="16"/>
                <w:szCs w:val="16"/>
                <w:lang w:val="es-ES_tradnl"/>
              </w:rPr>
              <w:t xml:space="preserve">las políticas del Banco aplicables a las operaciones de </w:t>
            </w:r>
            <w:r w:rsidR="006D44FB">
              <w:rPr>
                <w:rFonts w:ascii="Times New Roman" w:hAnsi="Times New Roman" w:cs="Times New Roman"/>
                <w:sz w:val="16"/>
                <w:szCs w:val="16"/>
                <w:lang w:val="es-ES_tradnl"/>
              </w:rPr>
              <w:t>p</w:t>
            </w:r>
            <w:r w:rsidR="009B073D" w:rsidRPr="00976BFF">
              <w:rPr>
                <w:rFonts w:ascii="Times New Roman" w:hAnsi="Times New Roman" w:cs="Times New Roman"/>
                <w:sz w:val="16"/>
                <w:szCs w:val="16"/>
                <w:lang w:val="es-ES_tradnl"/>
              </w:rPr>
              <w:t>rograma</w:t>
            </w:r>
            <w:r w:rsidRPr="00976BFF">
              <w:rPr>
                <w:rFonts w:ascii="Times New Roman" w:hAnsi="Times New Roman" w:cs="Times New Roman"/>
                <w:sz w:val="16"/>
                <w:szCs w:val="16"/>
                <w:lang w:val="es-ES_tradnl"/>
              </w:rPr>
              <w:t>s por resultados</w:t>
            </w:r>
            <w:r w:rsidR="001D2940" w:rsidRPr="00976BFF">
              <w:rPr>
                <w:rFonts w:ascii="Times New Roman" w:hAnsi="Times New Roman" w:cs="Times New Roman"/>
                <w:sz w:val="16"/>
                <w:szCs w:val="16"/>
                <w:lang w:val="es-ES_tradnl"/>
              </w:rPr>
              <w:t>?</w:t>
            </w:r>
          </w:p>
        </w:tc>
        <w:tc>
          <w:tcPr>
            <w:tcW w:w="699"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6E609A"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Sí</w:t>
            </w:r>
          </w:p>
        </w:tc>
        <w:tc>
          <w:tcPr>
            <w:tcW w:w="567"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c>
          <w:tcPr>
            <w:tcW w:w="568"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No</w:t>
            </w:r>
          </w:p>
        </w:tc>
        <w:tc>
          <w:tcPr>
            <w:tcW w:w="430"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w:t>
            </w:r>
            <w:r w:rsidR="00FA1497" w:rsidRPr="00976BFF">
              <w:rPr>
                <w:rFonts w:ascii="Times New Roman" w:hAnsi="Times New Roman" w:cs="Times New Roman"/>
                <w:sz w:val="16"/>
                <w:szCs w:val="16"/>
                <w:lang w:val="es-ES_tradnl"/>
              </w:rPr>
              <w:t>X</w:t>
            </w:r>
            <w:r w:rsidRPr="00976BFF">
              <w:rPr>
                <w:rFonts w:ascii="Times New Roman" w:hAnsi="Times New Roman" w:cs="Times New Roman"/>
                <w:sz w:val="16"/>
                <w:szCs w:val="16"/>
                <w:lang w:val="es-ES_tradnl"/>
              </w:rPr>
              <w:t xml:space="preserve">  ]</w:t>
            </w:r>
          </w:p>
        </w:tc>
      </w:tr>
      <w:tr w:rsidR="001B0CCF" w:rsidRPr="00976BFF">
        <w:tblPrEx>
          <w:jc w:val="center"/>
        </w:tblPrEx>
        <w:trPr>
          <w:gridBefore w:val="1"/>
          <w:wBefore w:w="27" w:type="dxa"/>
          <w:trHeight w:val="145"/>
          <w:jc w:val="center"/>
        </w:trPr>
        <w:tc>
          <w:tcPr>
            <w:tcW w:w="7636"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6E609A" w:rsidP="006E609A">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¿Esa excepción fue aprobada por la administración del Banco</w:t>
            </w:r>
            <w:r w:rsidR="001D2940" w:rsidRPr="00976BFF">
              <w:rPr>
                <w:rFonts w:ascii="Times New Roman" w:hAnsi="Times New Roman" w:cs="Times New Roman"/>
                <w:sz w:val="16"/>
                <w:szCs w:val="16"/>
                <w:lang w:val="es-ES_tradnl"/>
              </w:rPr>
              <w:t>?</w:t>
            </w:r>
          </w:p>
        </w:tc>
        <w:tc>
          <w:tcPr>
            <w:tcW w:w="699"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6E609A"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Sí</w:t>
            </w:r>
          </w:p>
        </w:tc>
        <w:tc>
          <w:tcPr>
            <w:tcW w:w="567"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c>
          <w:tcPr>
            <w:tcW w:w="568"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No</w:t>
            </w:r>
          </w:p>
        </w:tc>
        <w:tc>
          <w:tcPr>
            <w:tcW w:w="430"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r>
      <w:tr w:rsidR="001B0CCF" w:rsidRPr="00976BFF">
        <w:tblPrEx>
          <w:jc w:val="center"/>
        </w:tblPrEx>
        <w:trPr>
          <w:gridBefore w:val="1"/>
          <w:wBefore w:w="27" w:type="dxa"/>
          <w:trHeight w:val="145"/>
          <w:jc w:val="center"/>
        </w:trPr>
        <w:tc>
          <w:tcPr>
            <w:tcW w:w="7636"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6E609A" w:rsidP="00850F4B">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¿Se </w:t>
            </w:r>
            <w:r w:rsidR="00850F4B">
              <w:rPr>
                <w:rFonts w:ascii="Times New Roman" w:hAnsi="Times New Roman" w:cs="Times New Roman"/>
                <w:sz w:val="16"/>
                <w:szCs w:val="16"/>
                <w:lang w:val="es-ES_tradnl"/>
              </w:rPr>
              <w:t>pretende</w:t>
            </w:r>
            <w:r w:rsidRPr="00976BFF">
              <w:rPr>
                <w:rFonts w:ascii="Times New Roman" w:hAnsi="Times New Roman" w:cs="Times New Roman"/>
                <w:sz w:val="16"/>
                <w:szCs w:val="16"/>
                <w:lang w:val="es-ES_tradnl"/>
              </w:rPr>
              <w:t xml:space="preserve"> que el Directorio apruebe alguna excepción a las políticas</w:t>
            </w:r>
            <w:r w:rsidR="001D2940" w:rsidRPr="00976BFF">
              <w:rPr>
                <w:rFonts w:ascii="Times New Roman" w:hAnsi="Times New Roman" w:cs="Times New Roman"/>
                <w:sz w:val="16"/>
                <w:szCs w:val="16"/>
                <w:lang w:val="es-ES_tradnl"/>
              </w:rPr>
              <w:t>?</w:t>
            </w:r>
          </w:p>
        </w:tc>
        <w:tc>
          <w:tcPr>
            <w:tcW w:w="699"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6E609A"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Sí</w:t>
            </w:r>
          </w:p>
        </w:tc>
        <w:tc>
          <w:tcPr>
            <w:tcW w:w="567"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c>
          <w:tcPr>
            <w:tcW w:w="568"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No</w:t>
            </w:r>
          </w:p>
        </w:tc>
        <w:tc>
          <w:tcPr>
            <w:tcW w:w="430"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8D54B9"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w:t>
            </w:r>
            <w:r w:rsidR="001D2940" w:rsidRPr="00976BFF">
              <w:rPr>
                <w:rFonts w:ascii="Times New Roman" w:hAnsi="Times New Roman" w:cs="Times New Roman"/>
                <w:sz w:val="16"/>
                <w:szCs w:val="16"/>
                <w:lang w:val="es-ES_tradnl"/>
              </w:rPr>
              <w:t xml:space="preserve"> ]</w:t>
            </w:r>
          </w:p>
        </w:tc>
      </w:tr>
      <w:tr w:rsidR="001B0CCF" w:rsidRPr="00976BFF">
        <w:tblPrEx>
          <w:jc w:val="center"/>
        </w:tblPrEx>
        <w:trPr>
          <w:gridBefore w:val="1"/>
          <w:wBefore w:w="27" w:type="dxa"/>
          <w:trHeight w:val="145"/>
          <w:jc w:val="center"/>
        </w:trPr>
        <w:tc>
          <w:tcPr>
            <w:tcW w:w="7636" w:type="dxa"/>
            <w:gridSpan w:val="2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D60384" w:rsidRPr="00976BFF" w:rsidRDefault="006E609A" w:rsidP="006E609A">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xml:space="preserve">¿El </w:t>
            </w:r>
            <w:r w:rsidR="00650A31">
              <w:rPr>
                <w:rFonts w:ascii="Times New Roman" w:hAnsi="Times New Roman" w:cs="Times New Roman"/>
                <w:sz w:val="16"/>
                <w:szCs w:val="16"/>
                <w:lang w:val="es-ES_tradnl"/>
              </w:rPr>
              <w:t>programa</w:t>
            </w:r>
            <w:r w:rsidRPr="00976BFF">
              <w:rPr>
                <w:rFonts w:ascii="Times New Roman" w:hAnsi="Times New Roman" w:cs="Times New Roman"/>
                <w:sz w:val="16"/>
                <w:szCs w:val="16"/>
                <w:lang w:val="es-ES_tradnl"/>
              </w:rPr>
              <w:t xml:space="preserve"> cumple con los criterios regionales de preparación para la ejecución</w:t>
            </w:r>
            <w:r w:rsidR="001D2940" w:rsidRPr="00976BFF">
              <w:rPr>
                <w:rFonts w:ascii="Times New Roman" w:hAnsi="Times New Roman" w:cs="Times New Roman"/>
                <w:sz w:val="16"/>
                <w:szCs w:val="16"/>
                <w:lang w:val="es-ES_tradnl"/>
              </w:rPr>
              <w:t>?</w:t>
            </w:r>
          </w:p>
        </w:tc>
        <w:tc>
          <w:tcPr>
            <w:tcW w:w="699" w:type="dxa"/>
            <w:gridSpan w:val="4"/>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6E609A"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Sí</w:t>
            </w:r>
          </w:p>
        </w:tc>
        <w:tc>
          <w:tcPr>
            <w:tcW w:w="567" w:type="dxa"/>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DD1B56">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w:t>
            </w:r>
            <w:r w:rsidR="00DD1B56" w:rsidRPr="00976BFF">
              <w:rPr>
                <w:rFonts w:ascii="Times New Roman" w:hAnsi="Times New Roman" w:cs="Times New Roman"/>
                <w:sz w:val="16"/>
                <w:szCs w:val="16"/>
                <w:lang w:val="es-ES_tradnl"/>
              </w:rPr>
              <w:t>X</w:t>
            </w:r>
            <w:r w:rsidRPr="00976BFF">
              <w:rPr>
                <w:rFonts w:ascii="Times New Roman" w:hAnsi="Times New Roman" w:cs="Times New Roman"/>
                <w:sz w:val="16"/>
                <w:szCs w:val="16"/>
                <w:lang w:val="es-ES_tradnl"/>
              </w:rPr>
              <w:t xml:space="preserve"> ]</w:t>
            </w:r>
          </w:p>
        </w:tc>
        <w:tc>
          <w:tcPr>
            <w:tcW w:w="568" w:type="dxa"/>
            <w:gridSpan w:val="3"/>
            <w:tcBorders>
              <w:top w:val="single" w:sz="4" w:space="0" w:color="000000"/>
              <w:left w:val="nil"/>
              <w:bottom w:val="single" w:sz="4" w:space="0" w:color="000000"/>
              <w:right w:val="nil"/>
            </w:tcBorders>
            <w:shd w:val="clear" w:color="auto" w:fill="FFFFFF"/>
            <w:tcMar>
              <w:top w:w="50" w:type="dxa"/>
              <w:left w:w="50" w:type="dxa"/>
              <w:bottom w:w="50" w:type="dxa"/>
              <w:right w:w="50" w:type="dxa"/>
            </w:tcMar>
          </w:tcPr>
          <w:p w:rsidR="001B0CCF" w:rsidRPr="00976BFF" w:rsidRDefault="001D2940" w:rsidP="00241095">
            <w:pPr>
              <w:spacing w:after="0" w:line="240" w:lineRule="auto"/>
              <w:jc w:val="right"/>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No</w:t>
            </w:r>
          </w:p>
        </w:tc>
        <w:tc>
          <w:tcPr>
            <w:tcW w:w="430" w:type="dxa"/>
            <w:gridSpan w:val="2"/>
            <w:tcBorders>
              <w:top w:val="single" w:sz="4" w:space="0" w:color="000000"/>
              <w:left w:val="nil"/>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1D2940" w:rsidP="00241095">
            <w:pPr>
              <w:spacing w:after="0" w:line="240" w:lineRule="auto"/>
              <w:rPr>
                <w:rFonts w:ascii="Times New Roman" w:hAnsi="Times New Roman" w:cs="Times New Roman"/>
                <w:sz w:val="16"/>
                <w:szCs w:val="16"/>
                <w:lang w:val="es-ES_tradnl"/>
              </w:rPr>
            </w:pPr>
            <w:r w:rsidRPr="00976BFF">
              <w:rPr>
                <w:rFonts w:ascii="Times New Roman" w:hAnsi="Times New Roman" w:cs="Times New Roman"/>
                <w:sz w:val="16"/>
                <w:szCs w:val="16"/>
                <w:lang w:val="es-ES_tradnl"/>
              </w:rPr>
              <w:t>[   ]</w:t>
            </w:r>
          </w:p>
        </w:tc>
      </w:tr>
      <w:tr w:rsidR="00D44A57" w:rsidRPr="00AC438C">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D44A57" w:rsidRPr="00976BFF" w:rsidRDefault="001D2940" w:rsidP="006E609A">
            <w:pPr>
              <w:spacing w:after="0" w:line="240" w:lineRule="auto"/>
              <w:rPr>
                <w:rFonts w:ascii="Times New Roman" w:hAnsi="Times New Roman" w:cs="Times New Roman"/>
                <w:b/>
                <w:bCs/>
                <w:sz w:val="20"/>
                <w:szCs w:val="20"/>
                <w:lang w:val="es-ES_tradnl"/>
              </w:rPr>
            </w:pPr>
            <w:r w:rsidRPr="00976BFF">
              <w:rPr>
                <w:rFonts w:ascii="Times New Roman" w:hAnsi="Times New Roman" w:cs="Times New Roman"/>
                <w:b/>
                <w:bCs/>
                <w:sz w:val="20"/>
                <w:szCs w:val="20"/>
                <w:lang w:val="es-ES_tradnl"/>
              </w:rPr>
              <w:t xml:space="preserve"> </w:t>
            </w:r>
            <w:r w:rsidR="006E609A" w:rsidRPr="00976BFF">
              <w:rPr>
                <w:rFonts w:ascii="Times New Roman" w:hAnsi="Times New Roman" w:cs="Times New Roman"/>
                <w:b/>
                <w:bCs/>
                <w:sz w:val="20"/>
                <w:szCs w:val="20"/>
                <w:lang w:val="es-ES_tradnl"/>
              </w:rPr>
              <w:t>Calificación general del riesgo</w:t>
            </w:r>
            <w:r w:rsidR="00EC65C2" w:rsidRPr="00976BFF">
              <w:rPr>
                <w:rFonts w:ascii="Times New Roman" w:hAnsi="Times New Roman" w:cs="Times New Roman"/>
                <w:b/>
                <w:bCs/>
                <w:sz w:val="20"/>
                <w:szCs w:val="20"/>
                <w:lang w:val="es-ES_tradnl"/>
              </w:rPr>
              <w:t>:</w:t>
            </w:r>
            <w:r w:rsidR="00AA75E7" w:rsidRPr="00976BFF">
              <w:rPr>
                <w:rFonts w:ascii="Times New Roman" w:hAnsi="Times New Roman" w:cs="Times New Roman"/>
                <w:b/>
                <w:bCs/>
                <w:sz w:val="20"/>
                <w:szCs w:val="20"/>
                <w:lang w:val="es-ES_tradnl"/>
              </w:rPr>
              <w:t xml:space="preserve"> Modera</w:t>
            </w:r>
            <w:r w:rsidR="006E609A" w:rsidRPr="00976BFF">
              <w:rPr>
                <w:rFonts w:ascii="Times New Roman" w:hAnsi="Times New Roman" w:cs="Times New Roman"/>
                <w:b/>
                <w:bCs/>
                <w:sz w:val="20"/>
                <w:szCs w:val="20"/>
                <w:lang w:val="es-ES_tradnl"/>
              </w:rPr>
              <w:t>do</w:t>
            </w:r>
          </w:p>
        </w:tc>
      </w:tr>
      <w:tr w:rsidR="001B0CCF" w:rsidRPr="00AC438C">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B0CCF" w:rsidRPr="00976BFF" w:rsidRDefault="006E609A" w:rsidP="00241095">
            <w:pPr>
              <w:spacing w:after="0" w:line="240" w:lineRule="auto"/>
              <w:rPr>
                <w:rFonts w:ascii="Times New Roman" w:hAnsi="Times New Roman" w:cs="Times New Roman"/>
                <w:b/>
                <w:bCs/>
                <w:sz w:val="20"/>
                <w:szCs w:val="20"/>
                <w:lang w:val="es-ES_tradnl"/>
              </w:rPr>
            </w:pPr>
            <w:r w:rsidRPr="00976BFF">
              <w:rPr>
                <w:rFonts w:ascii="Times New Roman" w:hAnsi="Times New Roman" w:cs="Times New Roman"/>
                <w:b/>
                <w:bCs/>
                <w:sz w:val="20"/>
                <w:szCs w:val="20"/>
                <w:lang w:val="es-ES_tradnl"/>
              </w:rPr>
              <w:t>Estipulaciones legales</w:t>
            </w:r>
            <w:r w:rsidR="008256BA" w:rsidRPr="00976BFF">
              <w:rPr>
                <w:rFonts w:ascii="Times New Roman" w:hAnsi="Times New Roman" w:cs="Times New Roman"/>
                <w:b/>
                <w:bCs/>
                <w:sz w:val="20"/>
                <w:szCs w:val="20"/>
                <w:lang w:val="es-ES_tradnl"/>
              </w:rPr>
              <w:t>:</w:t>
            </w:r>
          </w:p>
          <w:p w:rsidR="008256BA" w:rsidRPr="00976BFF" w:rsidRDefault="00CA7EA2" w:rsidP="008256BA">
            <w:pPr>
              <w:spacing w:after="0" w:line="240" w:lineRule="auto"/>
              <w:rPr>
                <w:rFonts w:ascii="Times New Roman" w:hAnsi="Times New Roman" w:cs="Times New Roman"/>
                <w:bCs/>
                <w:sz w:val="20"/>
                <w:szCs w:val="20"/>
                <w:lang w:val="es-ES_tradnl"/>
              </w:rPr>
            </w:pPr>
            <w:r w:rsidRPr="00976BFF">
              <w:rPr>
                <w:rFonts w:ascii="Times New Roman" w:hAnsi="Times New Roman" w:cs="Times New Roman"/>
                <w:bCs/>
                <w:sz w:val="20"/>
                <w:szCs w:val="20"/>
                <w:lang w:val="es-ES_tradnl"/>
              </w:rPr>
              <w:t xml:space="preserve">El </w:t>
            </w:r>
            <w:r w:rsidR="008877A5">
              <w:rPr>
                <w:rFonts w:ascii="Times New Roman" w:hAnsi="Times New Roman" w:cs="Times New Roman"/>
                <w:bCs/>
                <w:sz w:val="20"/>
                <w:szCs w:val="20"/>
                <w:lang w:val="es-ES_tradnl"/>
              </w:rPr>
              <w:t>p</w:t>
            </w:r>
            <w:r w:rsidR="008877A5" w:rsidRPr="00976BFF">
              <w:rPr>
                <w:rFonts w:ascii="Times New Roman" w:hAnsi="Times New Roman" w:cs="Times New Roman"/>
                <w:bCs/>
                <w:sz w:val="20"/>
                <w:szCs w:val="20"/>
                <w:lang w:val="es-ES_tradnl"/>
              </w:rPr>
              <w:t>restatario</w:t>
            </w:r>
            <w:r w:rsidRPr="00976BFF">
              <w:rPr>
                <w:rFonts w:ascii="Times New Roman" w:hAnsi="Times New Roman" w:cs="Times New Roman"/>
                <w:bCs/>
                <w:sz w:val="20"/>
                <w:szCs w:val="20"/>
                <w:lang w:val="es-ES_tradnl"/>
              </w:rPr>
              <w:t xml:space="preserve">, a través del </w:t>
            </w:r>
            <w:r w:rsidR="008877A5">
              <w:rPr>
                <w:rFonts w:ascii="Times New Roman" w:hAnsi="Times New Roman" w:cs="Times New Roman"/>
                <w:bCs/>
                <w:sz w:val="20"/>
                <w:szCs w:val="20"/>
                <w:lang w:val="es-ES_tradnl"/>
              </w:rPr>
              <w:t>Ministerio de Transporte y Obras Públicas (</w:t>
            </w:r>
            <w:r w:rsidR="007C6C91" w:rsidRPr="00976BFF">
              <w:rPr>
                <w:rFonts w:ascii="Times New Roman" w:hAnsi="Times New Roman" w:cs="Times New Roman"/>
                <w:bCs/>
                <w:sz w:val="20"/>
                <w:szCs w:val="20"/>
                <w:lang w:val="es-ES_tradnl"/>
              </w:rPr>
              <w:t>MTOP</w:t>
            </w:r>
            <w:r w:rsidR="008877A5">
              <w:rPr>
                <w:rFonts w:ascii="Times New Roman" w:hAnsi="Times New Roman" w:cs="Times New Roman"/>
                <w:bCs/>
                <w:sz w:val="20"/>
                <w:szCs w:val="20"/>
                <w:lang w:val="es-ES_tradnl"/>
              </w:rPr>
              <w:t>)</w:t>
            </w:r>
            <w:r w:rsidR="007C6C91" w:rsidRPr="00976BFF">
              <w:rPr>
                <w:rFonts w:ascii="Times New Roman" w:hAnsi="Times New Roman" w:cs="Times New Roman"/>
                <w:bCs/>
                <w:sz w:val="20"/>
                <w:szCs w:val="20"/>
                <w:lang w:val="es-ES_tradnl"/>
              </w:rPr>
              <w:t xml:space="preserve">: a) </w:t>
            </w:r>
            <w:r w:rsidRPr="00976BFF">
              <w:rPr>
                <w:rFonts w:ascii="Times New Roman" w:hAnsi="Times New Roman" w:cs="Times New Roman"/>
                <w:bCs/>
                <w:sz w:val="20"/>
                <w:szCs w:val="20"/>
                <w:lang w:val="es-ES_tradnl"/>
              </w:rPr>
              <w:t xml:space="preserve">contratará, no más tarde de seis meses después de la </w:t>
            </w:r>
            <w:r w:rsidR="008877A5">
              <w:rPr>
                <w:rFonts w:ascii="Times New Roman" w:hAnsi="Times New Roman" w:cs="Times New Roman"/>
                <w:bCs/>
                <w:sz w:val="20"/>
                <w:szCs w:val="20"/>
                <w:lang w:val="es-ES_tradnl"/>
              </w:rPr>
              <w:t>f</w:t>
            </w:r>
            <w:r w:rsidR="008877A5" w:rsidRPr="00976BFF">
              <w:rPr>
                <w:rFonts w:ascii="Times New Roman" w:hAnsi="Times New Roman" w:cs="Times New Roman"/>
                <w:bCs/>
                <w:sz w:val="20"/>
                <w:szCs w:val="20"/>
                <w:lang w:val="es-ES_tradnl"/>
              </w:rPr>
              <w:t xml:space="preserve">echa </w:t>
            </w:r>
            <w:r w:rsidRPr="00976BFF">
              <w:rPr>
                <w:rFonts w:ascii="Times New Roman" w:hAnsi="Times New Roman" w:cs="Times New Roman"/>
                <w:bCs/>
                <w:sz w:val="20"/>
                <w:szCs w:val="20"/>
                <w:lang w:val="es-ES_tradnl"/>
              </w:rPr>
              <w:t xml:space="preserve">de </w:t>
            </w:r>
            <w:r w:rsidR="008877A5">
              <w:rPr>
                <w:rFonts w:ascii="Times New Roman" w:hAnsi="Times New Roman" w:cs="Times New Roman"/>
                <w:bCs/>
                <w:sz w:val="20"/>
                <w:szCs w:val="20"/>
                <w:lang w:val="es-ES_tradnl"/>
              </w:rPr>
              <w:t>e</w:t>
            </w:r>
            <w:r w:rsidR="008877A5" w:rsidRPr="00976BFF">
              <w:rPr>
                <w:rFonts w:ascii="Times New Roman" w:hAnsi="Times New Roman" w:cs="Times New Roman"/>
                <w:bCs/>
                <w:sz w:val="20"/>
                <w:szCs w:val="20"/>
                <w:lang w:val="es-ES_tradnl"/>
              </w:rPr>
              <w:t xml:space="preserve">ntrada </w:t>
            </w:r>
            <w:r w:rsidRPr="00976BFF">
              <w:rPr>
                <w:rFonts w:ascii="Times New Roman" w:hAnsi="Times New Roman" w:cs="Times New Roman"/>
                <w:bCs/>
                <w:sz w:val="20"/>
                <w:szCs w:val="20"/>
                <w:lang w:val="es-ES_tradnl"/>
              </w:rPr>
              <w:t xml:space="preserve">en </w:t>
            </w:r>
            <w:r w:rsidR="008877A5">
              <w:rPr>
                <w:rFonts w:ascii="Times New Roman" w:hAnsi="Times New Roman" w:cs="Times New Roman"/>
                <w:bCs/>
                <w:sz w:val="20"/>
                <w:szCs w:val="20"/>
                <w:lang w:val="es-ES_tradnl"/>
              </w:rPr>
              <w:t>v</w:t>
            </w:r>
            <w:r w:rsidR="008877A5" w:rsidRPr="00976BFF">
              <w:rPr>
                <w:rFonts w:ascii="Times New Roman" w:hAnsi="Times New Roman" w:cs="Times New Roman"/>
                <w:bCs/>
                <w:sz w:val="20"/>
                <w:szCs w:val="20"/>
                <w:lang w:val="es-ES_tradnl"/>
              </w:rPr>
              <w:t xml:space="preserve">igor </w:t>
            </w:r>
            <w:r w:rsidRPr="00976BFF">
              <w:rPr>
                <w:rFonts w:ascii="Times New Roman" w:hAnsi="Times New Roman" w:cs="Times New Roman"/>
                <w:bCs/>
                <w:sz w:val="20"/>
                <w:szCs w:val="20"/>
                <w:lang w:val="es-ES_tradnl"/>
              </w:rPr>
              <w:t xml:space="preserve">y conforme a términos de referencia satisfactorios para el Banco, auditores independientes para llevar a cabo la verificación del cumplimiento de los indicadores vinculados </w:t>
            </w:r>
            <w:r w:rsidR="00E57E6E">
              <w:rPr>
                <w:rFonts w:ascii="Times New Roman" w:hAnsi="Times New Roman" w:cs="Times New Roman"/>
                <w:bCs/>
                <w:sz w:val="20"/>
                <w:szCs w:val="20"/>
                <w:lang w:val="es-ES_tradnl"/>
              </w:rPr>
              <w:t>con</w:t>
            </w:r>
            <w:r w:rsidR="00E57E6E" w:rsidRPr="00976BFF">
              <w:rPr>
                <w:rFonts w:ascii="Times New Roman" w:hAnsi="Times New Roman" w:cs="Times New Roman"/>
                <w:bCs/>
                <w:sz w:val="20"/>
                <w:szCs w:val="20"/>
                <w:lang w:val="es-ES_tradnl"/>
              </w:rPr>
              <w:t xml:space="preserve"> </w:t>
            </w:r>
            <w:r w:rsidRPr="00976BFF">
              <w:rPr>
                <w:rFonts w:ascii="Times New Roman" w:hAnsi="Times New Roman" w:cs="Times New Roman"/>
                <w:bCs/>
                <w:sz w:val="20"/>
                <w:szCs w:val="20"/>
                <w:lang w:val="es-ES_tradnl"/>
              </w:rPr>
              <w:t>l</w:t>
            </w:r>
            <w:r w:rsidR="00893D96" w:rsidRPr="00976BFF">
              <w:rPr>
                <w:rFonts w:ascii="Times New Roman" w:hAnsi="Times New Roman" w:cs="Times New Roman"/>
                <w:bCs/>
                <w:sz w:val="20"/>
                <w:szCs w:val="20"/>
                <w:lang w:val="es-ES_tradnl"/>
              </w:rPr>
              <w:t>os</w:t>
            </w:r>
            <w:r w:rsidRPr="00976BFF">
              <w:rPr>
                <w:rFonts w:ascii="Times New Roman" w:hAnsi="Times New Roman" w:cs="Times New Roman"/>
                <w:bCs/>
                <w:sz w:val="20"/>
                <w:szCs w:val="20"/>
                <w:lang w:val="es-ES_tradnl"/>
              </w:rPr>
              <w:t xml:space="preserve"> desembolso</w:t>
            </w:r>
            <w:r w:rsidR="00893D96" w:rsidRPr="00976BFF">
              <w:rPr>
                <w:rFonts w:ascii="Times New Roman" w:hAnsi="Times New Roman" w:cs="Times New Roman"/>
                <w:bCs/>
                <w:sz w:val="20"/>
                <w:szCs w:val="20"/>
                <w:lang w:val="es-ES_tradnl"/>
              </w:rPr>
              <w:t>s</w:t>
            </w:r>
            <w:r w:rsidRPr="00976BFF">
              <w:rPr>
                <w:rFonts w:ascii="Times New Roman" w:hAnsi="Times New Roman" w:cs="Times New Roman"/>
                <w:bCs/>
                <w:sz w:val="20"/>
                <w:szCs w:val="20"/>
                <w:lang w:val="es-ES_tradnl"/>
              </w:rPr>
              <w:t xml:space="preserve"> 1 y 2</w:t>
            </w:r>
            <w:r w:rsidR="007C6C91" w:rsidRPr="00976BFF">
              <w:rPr>
                <w:rFonts w:ascii="Times New Roman" w:hAnsi="Times New Roman" w:cs="Times New Roman"/>
                <w:bCs/>
                <w:sz w:val="20"/>
                <w:szCs w:val="20"/>
                <w:lang w:val="es-ES_tradnl"/>
              </w:rPr>
              <w:t xml:space="preserve">. </w:t>
            </w:r>
          </w:p>
          <w:p w:rsidR="008256BA" w:rsidRPr="00976BFF" w:rsidRDefault="008256BA" w:rsidP="008256BA">
            <w:pPr>
              <w:spacing w:after="0" w:line="240" w:lineRule="auto"/>
              <w:rPr>
                <w:rFonts w:ascii="Times New Roman" w:hAnsi="Times New Roman" w:cs="Times New Roman"/>
                <w:b/>
                <w:bCs/>
                <w:sz w:val="20"/>
                <w:szCs w:val="20"/>
                <w:lang w:val="es-ES_tradnl"/>
              </w:rPr>
            </w:pPr>
          </w:p>
          <w:p w:rsidR="008256BA" w:rsidRPr="00976BFF" w:rsidRDefault="00290683" w:rsidP="008256BA">
            <w:pPr>
              <w:spacing w:after="0" w:line="240" w:lineRule="auto"/>
              <w:rPr>
                <w:rFonts w:ascii="Times New Roman" w:hAnsi="Times New Roman" w:cs="Times New Roman"/>
                <w:b/>
                <w:bCs/>
                <w:sz w:val="20"/>
                <w:szCs w:val="20"/>
                <w:lang w:val="es-ES_tradnl"/>
              </w:rPr>
            </w:pPr>
            <w:r w:rsidRPr="00976BFF">
              <w:rPr>
                <w:rFonts w:ascii="Times New Roman" w:hAnsi="Times New Roman" w:cs="Times New Roman"/>
                <w:b/>
                <w:bCs/>
                <w:sz w:val="20"/>
                <w:szCs w:val="20"/>
                <w:lang w:val="es-ES_tradnl"/>
              </w:rPr>
              <w:t>Condición para la entrada en vigor</w:t>
            </w:r>
            <w:r w:rsidR="008256BA" w:rsidRPr="00976BFF">
              <w:rPr>
                <w:rFonts w:ascii="Times New Roman" w:hAnsi="Times New Roman" w:cs="Times New Roman"/>
                <w:b/>
                <w:bCs/>
                <w:sz w:val="20"/>
                <w:szCs w:val="20"/>
                <w:lang w:val="es-ES_tradnl"/>
              </w:rPr>
              <w:t>:</w:t>
            </w:r>
          </w:p>
          <w:p w:rsidR="008256BA" w:rsidRPr="00976BFF" w:rsidRDefault="00290683" w:rsidP="00241095">
            <w:pPr>
              <w:spacing w:after="0" w:line="240" w:lineRule="auto"/>
              <w:rPr>
                <w:rFonts w:ascii="Times New Roman" w:hAnsi="Times New Roman" w:cs="Times New Roman"/>
                <w:bCs/>
                <w:sz w:val="20"/>
                <w:szCs w:val="20"/>
                <w:lang w:val="es-ES_tradnl"/>
              </w:rPr>
            </w:pPr>
            <w:r w:rsidRPr="00976BFF">
              <w:rPr>
                <w:rFonts w:ascii="Times New Roman" w:hAnsi="Times New Roman" w:cs="Times New Roman"/>
                <w:bCs/>
                <w:sz w:val="20"/>
                <w:szCs w:val="20"/>
                <w:lang w:val="es-ES_tradnl"/>
              </w:rPr>
              <w:t xml:space="preserve">Firma del convenio subsidiario entre el </w:t>
            </w:r>
            <w:r w:rsidR="00034121" w:rsidRPr="00976BFF">
              <w:rPr>
                <w:rFonts w:ascii="Times New Roman" w:hAnsi="Times New Roman" w:cs="Times New Roman"/>
                <w:bCs/>
                <w:sz w:val="20"/>
                <w:szCs w:val="20"/>
                <w:lang w:val="es-ES_tradnl"/>
              </w:rPr>
              <w:t>MTOP</w:t>
            </w:r>
            <w:r w:rsidRPr="00976BFF">
              <w:rPr>
                <w:rFonts w:ascii="Times New Roman" w:hAnsi="Times New Roman" w:cs="Times New Roman"/>
                <w:bCs/>
                <w:sz w:val="20"/>
                <w:szCs w:val="20"/>
                <w:lang w:val="es-ES_tradnl"/>
              </w:rPr>
              <w:t xml:space="preserve"> y </w:t>
            </w:r>
            <w:r w:rsidR="008877A5">
              <w:rPr>
                <w:rFonts w:ascii="Times New Roman" w:hAnsi="Times New Roman" w:cs="Times New Roman"/>
                <w:bCs/>
                <w:sz w:val="20"/>
                <w:szCs w:val="20"/>
                <w:lang w:val="es-ES_tradnl"/>
              </w:rPr>
              <w:t>Corporación Vial del Uruguay (</w:t>
            </w:r>
            <w:r w:rsidR="00034121" w:rsidRPr="00976BFF">
              <w:rPr>
                <w:rFonts w:ascii="Times New Roman" w:hAnsi="Times New Roman" w:cs="Times New Roman"/>
                <w:bCs/>
                <w:sz w:val="20"/>
                <w:szCs w:val="20"/>
                <w:lang w:val="es-ES_tradnl"/>
              </w:rPr>
              <w:t>CVU</w:t>
            </w:r>
            <w:r w:rsidR="008877A5">
              <w:rPr>
                <w:rFonts w:ascii="Times New Roman" w:hAnsi="Times New Roman" w:cs="Times New Roman"/>
                <w:bCs/>
                <w:sz w:val="20"/>
                <w:szCs w:val="20"/>
                <w:lang w:val="es-ES_tradnl"/>
              </w:rPr>
              <w:t>)</w:t>
            </w:r>
            <w:r w:rsidR="007C6C91" w:rsidRPr="00976BFF">
              <w:rPr>
                <w:rFonts w:ascii="Times New Roman" w:hAnsi="Times New Roman" w:cs="Times New Roman"/>
                <w:bCs/>
                <w:sz w:val="20"/>
                <w:szCs w:val="20"/>
                <w:lang w:val="es-ES_tradnl"/>
              </w:rPr>
              <w:t>.</w:t>
            </w:r>
          </w:p>
          <w:p w:rsidR="008256BA" w:rsidRPr="00976BFF" w:rsidRDefault="008256BA" w:rsidP="00241095">
            <w:pPr>
              <w:spacing w:after="0" w:line="240" w:lineRule="auto"/>
              <w:rPr>
                <w:rFonts w:ascii="Times New Roman" w:hAnsi="Times New Roman" w:cs="Times New Roman"/>
                <w:b/>
                <w:bCs/>
                <w:sz w:val="20"/>
                <w:szCs w:val="20"/>
                <w:lang w:val="es-ES_tradnl"/>
              </w:rPr>
            </w:pPr>
          </w:p>
        </w:tc>
      </w:tr>
      <w:tr w:rsidR="001B0CCF" w:rsidRPr="00976BFF">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000000"/>
            <w:tcMar>
              <w:top w:w="50" w:type="dxa"/>
              <w:left w:w="50" w:type="dxa"/>
              <w:bottom w:w="50" w:type="dxa"/>
              <w:right w:w="50" w:type="dxa"/>
            </w:tcMar>
            <w:vAlign w:val="center"/>
          </w:tcPr>
          <w:p w:rsidR="001B0CCF" w:rsidRPr="00976BFF" w:rsidRDefault="001D2940" w:rsidP="00241095">
            <w:pPr>
              <w:spacing w:after="0" w:line="240" w:lineRule="auto"/>
              <w:rPr>
                <w:rFonts w:ascii="Times New Roman" w:hAnsi="Times New Roman" w:cs="Times New Roman"/>
                <w:sz w:val="2"/>
                <w:szCs w:val="2"/>
                <w:lang w:val="es-ES_tradnl"/>
              </w:rPr>
            </w:pPr>
            <w:r w:rsidRPr="00976BFF">
              <w:rPr>
                <w:rFonts w:ascii="Times New Roman" w:hAnsi="Times New Roman" w:cs="Times New Roman"/>
                <w:sz w:val="2"/>
                <w:szCs w:val="2"/>
                <w:lang w:val="es-ES_tradnl"/>
              </w:rPr>
              <w:t>.</w:t>
            </w:r>
          </w:p>
        </w:tc>
      </w:tr>
      <w:tr w:rsidR="001B0CCF" w:rsidRPr="00976BFF">
        <w:tblPrEx>
          <w:jc w:val="center"/>
        </w:tblPrEx>
        <w:trPr>
          <w:gridBefore w:val="1"/>
          <w:wBefore w:w="27" w:type="dxa"/>
          <w:trHeight w:val="145"/>
          <w:jc w:val="center"/>
        </w:trPr>
        <w:tc>
          <w:tcPr>
            <w:tcW w:w="9900" w:type="dxa"/>
            <w:gridSpan w:val="35"/>
            <w:tcBorders>
              <w:top w:val="single" w:sz="4" w:space="0" w:color="000000"/>
              <w:left w:val="single" w:sz="4" w:space="0" w:color="000000"/>
              <w:bottom w:val="single" w:sz="4" w:space="0" w:color="000000"/>
              <w:right w:val="single" w:sz="4" w:space="0" w:color="000000"/>
            </w:tcBorders>
            <w:shd w:val="clear" w:color="auto" w:fill="DCDCDC"/>
            <w:tcMar>
              <w:top w:w="50" w:type="dxa"/>
              <w:left w:w="50" w:type="dxa"/>
              <w:bottom w:w="50" w:type="dxa"/>
              <w:right w:w="50" w:type="dxa"/>
            </w:tcMar>
          </w:tcPr>
          <w:p w:rsidR="001B0CCF" w:rsidRPr="00976BFF" w:rsidRDefault="00893D96" w:rsidP="00241095">
            <w:pPr>
              <w:spacing w:after="0" w:line="240" w:lineRule="auto"/>
              <w:jc w:val="center"/>
              <w:rPr>
                <w:rFonts w:ascii="Times New Roman" w:hAnsi="Times New Roman" w:cs="Times New Roman"/>
                <w:sz w:val="20"/>
                <w:szCs w:val="20"/>
                <w:lang w:val="es-ES_tradnl"/>
              </w:rPr>
            </w:pPr>
            <w:r w:rsidRPr="00976BFF">
              <w:rPr>
                <w:rFonts w:ascii="Times New Roman" w:hAnsi="Times New Roman" w:cs="Times New Roman"/>
                <w:b/>
                <w:bCs/>
                <w:sz w:val="20"/>
                <w:szCs w:val="20"/>
                <w:lang w:val="es-ES_tradnl"/>
              </w:rPr>
              <w:t>Composición del equipo</w:t>
            </w: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893D96">
            <w:pPr>
              <w:spacing w:after="0" w:line="240" w:lineRule="auto"/>
              <w:rPr>
                <w:rFonts w:ascii="Times New Roman" w:hAnsi="Times New Roman" w:cs="Times New Roman"/>
                <w:sz w:val="18"/>
                <w:szCs w:val="18"/>
                <w:lang w:val="es-ES_tradnl"/>
              </w:rPr>
            </w:pPr>
            <w:r w:rsidRPr="00976BFF">
              <w:rPr>
                <w:rFonts w:ascii="Times New Roman" w:hAnsi="Times New Roman" w:cs="Times New Roman"/>
                <w:b/>
                <w:bCs/>
                <w:sz w:val="18"/>
                <w:szCs w:val="18"/>
                <w:lang w:val="es-ES_tradnl"/>
              </w:rPr>
              <w:t>N</w:t>
            </w:r>
            <w:r w:rsidR="00893D96" w:rsidRPr="00976BFF">
              <w:rPr>
                <w:rFonts w:ascii="Times New Roman" w:hAnsi="Times New Roman" w:cs="Times New Roman"/>
                <w:b/>
                <w:bCs/>
                <w:sz w:val="18"/>
                <w:szCs w:val="18"/>
                <w:lang w:val="es-ES_tradnl"/>
              </w:rPr>
              <w:t>ombre</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b/>
                <w:bCs/>
                <w:sz w:val="18"/>
                <w:szCs w:val="18"/>
                <w:lang w:val="es-ES_tradnl"/>
              </w:rPr>
              <w:t>Cargo</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b/>
                <w:bCs/>
                <w:sz w:val="18"/>
                <w:szCs w:val="18"/>
                <w:lang w:val="es-ES_tradnl"/>
              </w:rPr>
              <w:t>Especialización</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b/>
                <w:bCs/>
                <w:sz w:val="18"/>
                <w:szCs w:val="18"/>
                <w:lang w:val="es-ES_tradnl"/>
              </w:rPr>
              <w:t>Unidad</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r. Alexandre Borges de Oliveira</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a</w:t>
            </w:r>
            <w:r w:rsidR="009835AD" w:rsidRPr="00976BFF">
              <w:rPr>
                <w:rFonts w:ascii="Times New Roman" w:hAnsi="Times New Roman" w:cs="Times New Roman"/>
                <w:sz w:val="18"/>
                <w:szCs w:val="18"/>
                <w:lang w:val="es-ES_tradnl"/>
              </w:rPr>
              <w:t>dquisiciones</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LCSPT</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 xml:space="preserve">r. </w:t>
            </w:r>
            <w:r w:rsidR="009914EF" w:rsidRPr="00976BFF">
              <w:rPr>
                <w:rFonts w:ascii="Times New Roman" w:hAnsi="Times New Roman" w:cs="Times New Roman"/>
                <w:sz w:val="18"/>
                <w:szCs w:val="18"/>
                <w:lang w:val="es-ES_tradnl"/>
              </w:rPr>
              <w:t>Álvaro</w:t>
            </w:r>
            <w:r w:rsidR="001535B3" w:rsidRPr="00976BFF">
              <w:rPr>
                <w:rFonts w:ascii="Times New Roman" w:hAnsi="Times New Roman" w:cs="Times New Roman"/>
                <w:sz w:val="18"/>
                <w:szCs w:val="18"/>
                <w:lang w:val="es-ES_tradnl"/>
              </w:rPr>
              <w:t xml:space="preserve"> Larrea</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a</w:t>
            </w:r>
            <w:r w:rsidR="009835AD" w:rsidRPr="00976BFF">
              <w:rPr>
                <w:rFonts w:ascii="Times New Roman" w:hAnsi="Times New Roman" w:cs="Times New Roman"/>
                <w:sz w:val="18"/>
                <w:szCs w:val="18"/>
                <w:lang w:val="es-ES_tradnl"/>
              </w:rPr>
              <w:t>dquisiciones</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LCSPT</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Aracelly Woodall</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Asistente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del </w:t>
            </w:r>
            <w:r w:rsidR="00650A31">
              <w:rPr>
                <w:rFonts w:ascii="Times New Roman" w:hAnsi="Times New Roman" w:cs="Times New Roman"/>
                <w:sz w:val="18"/>
                <w:szCs w:val="18"/>
                <w:lang w:val="es-ES_tradnl"/>
              </w:rPr>
              <w:t>programa</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550488">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lastRenderedPageBreak/>
              <w:t>S</w:t>
            </w:r>
            <w:r w:rsidR="001535B3" w:rsidRPr="00976BFF">
              <w:rPr>
                <w:rFonts w:ascii="Times New Roman" w:hAnsi="Times New Roman" w:cs="Times New Roman"/>
                <w:sz w:val="18"/>
                <w:szCs w:val="18"/>
                <w:lang w:val="es-ES_tradnl"/>
              </w:rPr>
              <w:t>r. Daniel Ben</w:t>
            </w:r>
            <w:r w:rsidR="00550488">
              <w:rPr>
                <w:rFonts w:ascii="Times New Roman" w:hAnsi="Times New Roman" w:cs="Times New Roman"/>
                <w:sz w:val="18"/>
                <w:szCs w:val="18"/>
                <w:lang w:val="es-ES_tradnl"/>
              </w:rPr>
              <w:t>í</w:t>
            </w:r>
            <w:r w:rsidR="001535B3" w:rsidRPr="00976BFF">
              <w:rPr>
                <w:rFonts w:ascii="Times New Roman" w:hAnsi="Times New Roman" w:cs="Times New Roman"/>
                <w:sz w:val="18"/>
                <w:szCs w:val="18"/>
                <w:lang w:val="es-ES_tradnl"/>
              </w:rPr>
              <w:t>tez</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Economista </w:t>
            </w:r>
            <w:r w:rsidR="009835AD" w:rsidRPr="000B5989">
              <w:rPr>
                <w:rFonts w:ascii="Times New Roman" w:hAnsi="Times New Roman" w:cs="Times New Roman"/>
                <w:i/>
                <w:sz w:val="18"/>
                <w:szCs w:val="18"/>
                <w:lang w:val="es-ES_tradnl"/>
              </w:rPr>
              <w:t>senior</w:t>
            </w:r>
            <w:r w:rsidR="00C528D8" w:rsidRPr="00976BFF">
              <w:rPr>
                <w:rFonts w:ascii="Times New Roman" w:hAnsi="Times New Roman" w:cs="Times New Roman"/>
                <w:sz w:val="18"/>
                <w:szCs w:val="18"/>
                <w:lang w:val="es-ES_tradnl"/>
              </w:rPr>
              <w:t>,</w:t>
            </w:r>
            <w:r w:rsidRPr="00976BFF">
              <w:rPr>
                <w:rFonts w:ascii="Times New Roman" w:hAnsi="Times New Roman" w:cs="Times New Roman"/>
                <w:sz w:val="18"/>
                <w:szCs w:val="18"/>
                <w:lang w:val="es-ES_tradnl"/>
              </w:rPr>
              <w:t xml:space="preserve"> </w:t>
            </w:r>
            <w:r w:rsidR="009835AD">
              <w:rPr>
                <w:rFonts w:ascii="Times New Roman" w:hAnsi="Times New Roman" w:cs="Times New Roman"/>
                <w:sz w:val="18"/>
                <w:szCs w:val="18"/>
                <w:lang w:val="es-ES_tradnl"/>
              </w:rPr>
              <w:t>t</w:t>
            </w:r>
            <w:r w:rsidR="009835AD" w:rsidRPr="00976BFF">
              <w:rPr>
                <w:rFonts w:ascii="Times New Roman" w:hAnsi="Times New Roman" w:cs="Times New Roman"/>
                <w:sz w:val="18"/>
                <w:szCs w:val="18"/>
                <w:lang w:val="es-ES_tradnl"/>
              </w:rPr>
              <w:t>ransporte</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Fabiola Altimari</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Asesora </w:t>
            </w:r>
            <w:r w:rsidR="009835AD">
              <w:rPr>
                <w:rFonts w:ascii="Times New Roman" w:hAnsi="Times New Roman" w:cs="Times New Roman"/>
                <w:sz w:val="18"/>
                <w:szCs w:val="18"/>
                <w:lang w:val="es-ES_tradnl"/>
              </w:rPr>
              <w:t>j</w:t>
            </w:r>
            <w:r w:rsidR="009835AD" w:rsidRPr="00976BFF">
              <w:rPr>
                <w:rFonts w:ascii="Times New Roman" w:hAnsi="Times New Roman" w:cs="Times New Roman"/>
                <w:sz w:val="18"/>
                <w:szCs w:val="18"/>
                <w:lang w:val="es-ES_tradnl"/>
              </w:rPr>
              <w:t xml:space="preserve">urídica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uperior</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LEGLA</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Francesca Recanatini</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g</w:t>
            </w:r>
            <w:r w:rsidR="009835AD" w:rsidRPr="00976BFF">
              <w:rPr>
                <w:rFonts w:ascii="Times New Roman" w:hAnsi="Times New Roman" w:cs="Times New Roman"/>
                <w:sz w:val="18"/>
                <w:szCs w:val="18"/>
                <w:lang w:val="es-ES_tradnl"/>
              </w:rPr>
              <w:t xml:space="preserve">estión </w:t>
            </w:r>
            <w:r w:rsidRPr="00976BFF">
              <w:rPr>
                <w:rFonts w:ascii="Times New Roman" w:hAnsi="Times New Roman" w:cs="Times New Roman"/>
                <w:sz w:val="18"/>
                <w:szCs w:val="18"/>
                <w:lang w:val="es-ES_tradnl"/>
              </w:rPr>
              <w:t xml:space="preserve">del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ector </w:t>
            </w:r>
            <w:r w:rsidR="009835AD">
              <w:rPr>
                <w:rFonts w:ascii="Times New Roman" w:hAnsi="Times New Roman" w:cs="Times New Roman"/>
                <w:sz w:val="18"/>
                <w:szCs w:val="18"/>
                <w:lang w:val="es-ES_tradnl"/>
              </w:rPr>
              <w:t>p</w:t>
            </w:r>
            <w:r w:rsidR="009835AD" w:rsidRPr="00976BFF">
              <w:rPr>
                <w:rFonts w:ascii="Times New Roman" w:hAnsi="Times New Roman" w:cs="Times New Roman"/>
                <w:sz w:val="18"/>
                <w:szCs w:val="18"/>
                <w:lang w:val="es-ES_tradnl"/>
              </w:rPr>
              <w:t>úblico</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PRMPS</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43714"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43714"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43714" w:rsidRPr="00976BFF">
              <w:rPr>
                <w:rFonts w:ascii="Times New Roman" w:hAnsi="Times New Roman" w:cs="Times New Roman"/>
                <w:sz w:val="18"/>
                <w:szCs w:val="18"/>
                <w:lang w:val="es-ES_tradnl"/>
              </w:rPr>
              <w:t>r. Francis Fragano</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43714"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m</w:t>
            </w:r>
            <w:r w:rsidR="009835AD" w:rsidRPr="00976BFF">
              <w:rPr>
                <w:rFonts w:ascii="Times New Roman" w:hAnsi="Times New Roman" w:cs="Times New Roman"/>
                <w:sz w:val="18"/>
                <w:szCs w:val="18"/>
                <w:lang w:val="es-ES_tradnl"/>
              </w:rPr>
              <w:t xml:space="preserve">edio </w:t>
            </w:r>
            <w:r w:rsidR="009835AD">
              <w:rPr>
                <w:rFonts w:ascii="Times New Roman" w:hAnsi="Times New Roman" w:cs="Times New Roman"/>
                <w:sz w:val="18"/>
                <w:szCs w:val="18"/>
                <w:lang w:val="es-ES_tradnl"/>
              </w:rPr>
              <w:t>a</w:t>
            </w:r>
            <w:r w:rsidR="009835AD" w:rsidRPr="00976BFF">
              <w:rPr>
                <w:rFonts w:ascii="Times New Roman" w:hAnsi="Times New Roman" w:cs="Times New Roman"/>
                <w:sz w:val="18"/>
                <w:szCs w:val="18"/>
                <w:lang w:val="es-ES_tradnl"/>
              </w:rPr>
              <w:t>mbiente</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43714" w:rsidRPr="00976BFF" w:rsidRDefault="00143714"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43714" w:rsidRPr="00976BFF" w:rsidRDefault="00143714"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LCSDE</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43714" w:rsidRPr="00976BFF" w:rsidRDefault="00143714"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r. Gabriel Luongo</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893D96">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Consult</w:t>
            </w:r>
            <w:r w:rsidR="00893D96" w:rsidRPr="00976BFF">
              <w:rPr>
                <w:rFonts w:ascii="Times New Roman" w:hAnsi="Times New Roman" w:cs="Times New Roman"/>
                <w:sz w:val="18"/>
                <w:szCs w:val="18"/>
                <w:lang w:val="es-ES_tradnl"/>
              </w:rPr>
              <w:t>or</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Ingeniero de transporte</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r. Gregoire Gauthier</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Ingeniero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uperior</w:t>
            </w:r>
            <w:r w:rsidR="00C528D8" w:rsidRPr="00976BFF">
              <w:rPr>
                <w:rFonts w:ascii="Times New Roman" w:hAnsi="Times New Roman" w:cs="Times New Roman"/>
                <w:sz w:val="18"/>
                <w:szCs w:val="18"/>
                <w:lang w:val="es-ES_tradnl"/>
              </w:rPr>
              <w:t>,</w:t>
            </w:r>
            <w:r w:rsidRPr="00976BFF">
              <w:rPr>
                <w:rFonts w:ascii="Times New Roman" w:hAnsi="Times New Roman" w:cs="Times New Roman"/>
                <w:sz w:val="18"/>
                <w:szCs w:val="18"/>
                <w:lang w:val="es-ES_tradnl"/>
              </w:rPr>
              <w:t xml:space="preserve"> </w:t>
            </w:r>
            <w:r w:rsidR="009835AD">
              <w:rPr>
                <w:rFonts w:ascii="Times New Roman" w:hAnsi="Times New Roman" w:cs="Times New Roman"/>
                <w:sz w:val="18"/>
                <w:szCs w:val="18"/>
                <w:lang w:val="es-ES_tradnl"/>
              </w:rPr>
              <w:t>t</w:t>
            </w:r>
            <w:r w:rsidR="009835AD" w:rsidRPr="00976BFF">
              <w:rPr>
                <w:rFonts w:ascii="Times New Roman" w:hAnsi="Times New Roman" w:cs="Times New Roman"/>
                <w:sz w:val="18"/>
                <w:szCs w:val="18"/>
                <w:lang w:val="es-ES_tradnl"/>
              </w:rPr>
              <w:t>ransporte</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D74AD4">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Gerente de proyecto</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 xml:space="preserve">r. </w:t>
            </w:r>
            <w:r w:rsidR="009914EF" w:rsidRPr="00976BFF">
              <w:rPr>
                <w:rFonts w:ascii="Times New Roman" w:hAnsi="Times New Roman" w:cs="Times New Roman"/>
                <w:sz w:val="18"/>
                <w:szCs w:val="18"/>
                <w:lang w:val="es-ES_tradnl"/>
              </w:rPr>
              <w:t>José</w:t>
            </w:r>
            <w:r w:rsidR="001535B3" w:rsidRPr="00976BFF">
              <w:rPr>
                <w:rFonts w:ascii="Times New Roman" w:hAnsi="Times New Roman" w:cs="Times New Roman"/>
                <w:sz w:val="18"/>
                <w:szCs w:val="18"/>
                <w:lang w:val="es-ES_tradnl"/>
              </w:rPr>
              <w:t xml:space="preserve"> Zevallos</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d</w:t>
            </w:r>
            <w:r w:rsidR="009835AD" w:rsidRPr="00976BFF">
              <w:rPr>
                <w:rFonts w:ascii="Times New Roman" w:hAnsi="Times New Roman" w:cs="Times New Roman"/>
                <w:sz w:val="18"/>
                <w:szCs w:val="18"/>
                <w:lang w:val="es-ES_tradnl"/>
              </w:rPr>
              <w:t xml:space="preserve">esarrollo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ocial</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LCSSO</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Lisa Bhansali</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CF07C3">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Asesora sobre </w:t>
            </w:r>
            <w:r w:rsidR="00CF07C3">
              <w:rPr>
                <w:rFonts w:ascii="Times New Roman" w:hAnsi="Times New Roman" w:cs="Times New Roman"/>
                <w:sz w:val="18"/>
                <w:szCs w:val="18"/>
                <w:lang w:val="es-ES_tradnl"/>
              </w:rPr>
              <w:t>G</w:t>
            </w:r>
            <w:r w:rsidR="00CF07C3" w:rsidRPr="00976BFF">
              <w:rPr>
                <w:rFonts w:ascii="Times New Roman" w:hAnsi="Times New Roman" w:cs="Times New Roman"/>
                <w:sz w:val="18"/>
                <w:szCs w:val="18"/>
                <w:lang w:val="es-ES_tradnl"/>
              </w:rPr>
              <w:t xml:space="preserve">obierno </w:t>
            </w:r>
            <w:r w:rsidRPr="00976BFF">
              <w:rPr>
                <w:rFonts w:ascii="Times New Roman" w:hAnsi="Times New Roman" w:cs="Times New Roman"/>
                <w:sz w:val="18"/>
                <w:szCs w:val="18"/>
                <w:lang w:val="es-ES_tradnl"/>
              </w:rPr>
              <w:t>regional y lucha contra la corrupción</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w:t>
            </w:r>
            <w:r w:rsidR="001B31EB" w:rsidRPr="00976BFF">
              <w:rPr>
                <w:rFonts w:ascii="Times New Roman" w:hAnsi="Times New Roman" w:cs="Times New Roman"/>
                <w:sz w:val="18"/>
                <w:szCs w:val="18"/>
                <w:lang w:val="es-ES_tradnl"/>
              </w:rPr>
              <w:t>OS</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r. Mamadou Lamarane Deme</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g</w:t>
            </w:r>
            <w:r w:rsidR="009835AD" w:rsidRPr="00976BFF">
              <w:rPr>
                <w:rFonts w:ascii="Times New Roman" w:hAnsi="Times New Roman" w:cs="Times New Roman"/>
                <w:sz w:val="18"/>
                <w:szCs w:val="18"/>
                <w:lang w:val="es-ES_tradnl"/>
              </w:rPr>
              <w:t xml:space="preserve">estión </w:t>
            </w:r>
            <w:r w:rsidR="009835AD">
              <w:rPr>
                <w:rFonts w:ascii="Times New Roman" w:hAnsi="Times New Roman" w:cs="Times New Roman"/>
                <w:sz w:val="18"/>
                <w:szCs w:val="18"/>
                <w:lang w:val="es-ES_tradnl"/>
              </w:rPr>
              <w:t>f</w:t>
            </w:r>
            <w:r w:rsidR="009835AD" w:rsidRPr="00976BFF">
              <w:rPr>
                <w:rFonts w:ascii="Times New Roman" w:hAnsi="Times New Roman" w:cs="Times New Roman"/>
                <w:sz w:val="18"/>
                <w:szCs w:val="18"/>
                <w:lang w:val="es-ES_tradnl"/>
              </w:rPr>
              <w:t>inanciera</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LCSFM</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Melanie Glass</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C528D8">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Consult</w:t>
            </w:r>
            <w:r w:rsidR="00C528D8" w:rsidRPr="00976BFF">
              <w:rPr>
                <w:rFonts w:ascii="Times New Roman" w:hAnsi="Times New Roman" w:cs="Times New Roman"/>
                <w:sz w:val="18"/>
                <w:szCs w:val="18"/>
                <w:lang w:val="es-ES_tradnl"/>
              </w:rPr>
              <w:t>ora</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Especialista en transporte</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Natalia Bavio</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en </w:t>
            </w:r>
            <w:r w:rsidR="009835AD">
              <w:rPr>
                <w:rFonts w:ascii="Times New Roman" w:hAnsi="Times New Roman" w:cs="Times New Roman"/>
                <w:sz w:val="18"/>
                <w:szCs w:val="18"/>
                <w:lang w:val="es-ES_tradnl"/>
              </w:rPr>
              <w:t>g</w:t>
            </w:r>
            <w:r w:rsidR="009835AD" w:rsidRPr="00976BFF">
              <w:rPr>
                <w:rFonts w:ascii="Times New Roman" w:hAnsi="Times New Roman" w:cs="Times New Roman"/>
                <w:sz w:val="18"/>
                <w:szCs w:val="18"/>
                <w:lang w:val="es-ES_tradnl"/>
              </w:rPr>
              <w:t xml:space="preserve">estión </w:t>
            </w:r>
            <w:r w:rsidR="009835AD">
              <w:rPr>
                <w:rFonts w:ascii="Times New Roman" w:hAnsi="Times New Roman" w:cs="Times New Roman"/>
                <w:sz w:val="18"/>
                <w:szCs w:val="18"/>
                <w:lang w:val="es-ES_tradnl"/>
              </w:rPr>
              <w:t>f</w:t>
            </w:r>
            <w:r w:rsidR="009835AD" w:rsidRPr="00976BFF">
              <w:rPr>
                <w:rFonts w:ascii="Times New Roman" w:hAnsi="Times New Roman" w:cs="Times New Roman"/>
                <w:sz w:val="18"/>
                <w:szCs w:val="18"/>
                <w:lang w:val="es-ES_tradnl"/>
              </w:rPr>
              <w:t>inanciera</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LCSFM</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Sra</w:t>
            </w:r>
            <w:r w:rsidR="001535B3" w:rsidRPr="00976BFF">
              <w:rPr>
                <w:rFonts w:ascii="Times New Roman" w:hAnsi="Times New Roman" w:cs="Times New Roman"/>
                <w:sz w:val="18"/>
                <w:szCs w:val="18"/>
                <w:lang w:val="es-ES_tradnl"/>
              </w:rPr>
              <w:t>. Ruth Tiffer Sotomayor</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m</w:t>
            </w:r>
            <w:r w:rsidR="009835AD" w:rsidRPr="00976BFF">
              <w:rPr>
                <w:rFonts w:ascii="Times New Roman" w:hAnsi="Times New Roman" w:cs="Times New Roman"/>
                <w:sz w:val="18"/>
                <w:szCs w:val="18"/>
                <w:lang w:val="es-ES_tradnl"/>
              </w:rPr>
              <w:t xml:space="preserve">edio </w:t>
            </w:r>
            <w:r w:rsidR="009835AD">
              <w:rPr>
                <w:rFonts w:ascii="Times New Roman" w:hAnsi="Times New Roman" w:cs="Times New Roman"/>
                <w:sz w:val="18"/>
                <w:szCs w:val="18"/>
                <w:lang w:val="es-ES_tradnl"/>
              </w:rPr>
              <w:t>a</w:t>
            </w:r>
            <w:r w:rsidR="009835AD" w:rsidRPr="00976BFF">
              <w:rPr>
                <w:rFonts w:ascii="Times New Roman" w:hAnsi="Times New Roman" w:cs="Times New Roman"/>
                <w:sz w:val="18"/>
                <w:szCs w:val="18"/>
                <w:lang w:val="es-ES_tradnl"/>
              </w:rPr>
              <w:t>mbiente</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LCSEN</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073F9">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 xml:space="preserve">r. </w:t>
            </w:r>
            <w:r w:rsidR="009073F9" w:rsidRPr="00976BFF">
              <w:rPr>
                <w:rFonts w:ascii="Times New Roman" w:hAnsi="Times New Roman" w:cs="Times New Roman"/>
                <w:sz w:val="18"/>
                <w:szCs w:val="18"/>
                <w:lang w:val="es-ES_tradnl"/>
              </w:rPr>
              <w:t>Farhad Ahmed</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s</w:t>
            </w:r>
            <w:r w:rsidR="009835AD" w:rsidRPr="00976BFF">
              <w:rPr>
                <w:rFonts w:ascii="Times New Roman" w:hAnsi="Times New Roman" w:cs="Times New Roman"/>
                <w:sz w:val="18"/>
                <w:szCs w:val="18"/>
                <w:lang w:val="es-ES_tradnl"/>
              </w:rPr>
              <w:t xml:space="preserve">uperior </w:t>
            </w:r>
            <w:r w:rsidRPr="00976BFF">
              <w:rPr>
                <w:rFonts w:ascii="Times New Roman" w:hAnsi="Times New Roman" w:cs="Times New Roman"/>
                <w:sz w:val="18"/>
                <w:szCs w:val="18"/>
                <w:lang w:val="es-ES_tradnl"/>
              </w:rPr>
              <w:t xml:space="preserve">en </w:t>
            </w:r>
            <w:r w:rsidR="009835AD">
              <w:rPr>
                <w:rFonts w:ascii="Times New Roman" w:hAnsi="Times New Roman" w:cs="Times New Roman"/>
                <w:sz w:val="18"/>
                <w:szCs w:val="18"/>
                <w:lang w:val="es-ES_tradnl"/>
              </w:rPr>
              <w:t>t</w:t>
            </w:r>
            <w:r w:rsidR="009835AD" w:rsidRPr="00976BFF">
              <w:rPr>
                <w:rFonts w:ascii="Times New Roman" w:hAnsi="Times New Roman" w:cs="Times New Roman"/>
                <w:sz w:val="18"/>
                <w:szCs w:val="18"/>
                <w:lang w:val="es-ES_tradnl"/>
              </w:rPr>
              <w:t>ransporte</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241095">
            <w:pPr>
              <w:spacing w:after="0" w:line="240" w:lineRule="auto"/>
              <w:rPr>
                <w:lang w:val="es-ES_tradnl"/>
              </w:rPr>
            </w:pPr>
            <w:r w:rsidRPr="00976BFF">
              <w:rPr>
                <w:rFonts w:ascii="Times New Roman" w:hAnsi="Times New Roman" w:cs="Times New Roman"/>
                <w:sz w:val="18"/>
                <w:szCs w:val="18"/>
                <w:lang w:val="es-ES_tradnl"/>
              </w:rPr>
              <w:t>Experto evaluador</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SASDT</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9073F9">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9073F9" w:rsidRPr="00976BFF">
              <w:rPr>
                <w:rFonts w:ascii="Times New Roman" w:hAnsi="Times New Roman" w:cs="Times New Roman"/>
                <w:sz w:val="18"/>
                <w:szCs w:val="18"/>
                <w:lang w:val="es-ES_tradnl"/>
              </w:rPr>
              <w:t>r. Abdelmoula M. Ghzala</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p</w:t>
            </w:r>
            <w:r w:rsidR="009835AD" w:rsidRPr="00976BFF">
              <w:rPr>
                <w:rFonts w:ascii="Times New Roman" w:hAnsi="Times New Roman" w:cs="Times New Roman"/>
                <w:sz w:val="18"/>
                <w:szCs w:val="18"/>
                <w:lang w:val="es-ES_tradnl"/>
              </w:rPr>
              <w:t>rincipal</w:t>
            </w:r>
            <w:r w:rsidRPr="00976BFF">
              <w:rPr>
                <w:rFonts w:ascii="Times New Roman" w:hAnsi="Times New Roman" w:cs="Times New Roman"/>
                <w:sz w:val="18"/>
                <w:szCs w:val="18"/>
                <w:lang w:val="es-ES_tradnl"/>
              </w:rPr>
              <w:t xml:space="preserve">, </w:t>
            </w:r>
            <w:r w:rsidR="009835AD">
              <w:rPr>
                <w:rFonts w:ascii="Times New Roman" w:hAnsi="Times New Roman" w:cs="Times New Roman"/>
                <w:sz w:val="18"/>
                <w:szCs w:val="18"/>
                <w:lang w:val="es-ES_tradnl"/>
              </w:rPr>
              <w:t>i</w:t>
            </w:r>
            <w:r w:rsidR="009835AD" w:rsidRPr="00976BFF">
              <w:rPr>
                <w:rFonts w:ascii="Times New Roman" w:hAnsi="Times New Roman" w:cs="Times New Roman"/>
                <w:sz w:val="18"/>
                <w:szCs w:val="18"/>
                <w:lang w:val="es-ES_tradnl"/>
              </w:rPr>
              <w:t>nfraestructura</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241095">
            <w:pPr>
              <w:spacing w:after="0" w:line="240" w:lineRule="auto"/>
              <w:rPr>
                <w:lang w:val="es-ES_tradnl"/>
              </w:rPr>
            </w:pPr>
            <w:r w:rsidRPr="00976BFF">
              <w:rPr>
                <w:rFonts w:ascii="Times New Roman" w:hAnsi="Times New Roman" w:cs="Times New Roman"/>
                <w:sz w:val="18"/>
                <w:szCs w:val="18"/>
                <w:lang w:val="es-ES_tradnl"/>
              </w:rPr>
              <w:t>Experto evaluador</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9073F9"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MNSTR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r. Steve Bruschett</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Especialista </w:t>
            </w:r>
            <w:r w:rsidR="009835AD">
              <w:rPr>
                <w:rFonts w:ascii="Times New Roman" w:hAnsi="Times New Roman" w:cs="Times New Roman"/>
                <w:sz w:val="18"/>
                <w:szCs w:val="18"/>
                <w:lang w:val="es-ES_tradnl"/>
              </w:rPr>
              <w:t>p</w:t>
            </w:r>
            <w:r w:rsidR="009835AD" w:rsidRPr="00976BFF">
              <w:rPr>
                <w:rFonts w:ascii="Times New Roman" w:hAnsi="Times New Roman" w:cs="Times New Roman"/>
                <w:sz w:val="18"/>
                <w:szCs w:val="18"/>
                <w:lang w:val="es-ES_tradnl"/>
              </w:rPr>
              <w:t>rincipal</w:t>
            </w:r>
            <w:r w:rsidRPr="00976BFF">
              <w:rPr>
                <w:rFonts w:ascii="Times New Roman" w:hAnsi="Times New Roman" w:cs="Times New Roman"/>
                <w:sz w:val="18"/>
                <w:szCs w:val="18"/>
                <w:lang w:val="es-ES_tradnl"/>
              </w:rPr>
              <w:t xml:space="preserve">, </w:t>
            </w:r>
            <w:r w:rsidR="009835AD">
              <w:rPr>
                <w:rFonts w:ascii="Times New Roman" w:hAnsi="Times New Roman" w:cs="Times New Roman"/>
                <w:sz w:val="18"/>
                <w:szCs w:val="18"/>
                <w:lang w:val="es-ES_tradnl"/>
              </w:rPr>
              <w:t>t</w:t>
            </w:r>
            <w:r w:rsidR="009835AD" w:rsidRPr="00976BFF">
              <w:rPr>
                <w:rFonts w:ascii="Times New Roman" w:hAnsi="Times New Roman" w:cs="Times New Roman"/>
                <w:sz w:val="18"/>
                <w:szCs w:val="18"/>
                <w:lang w:val="es-ES_tradnl"/>
              </w:rPr>
              <w:t>ransporte</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Experto evaluador</w:t>
            </w: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LCSTR</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r w:rsidR="001535B3" w:rsidRPr="00976BFF">
        <w:tblPrEx>
          <w:jc w:val="center"/>
        </w:tblPrEx>
        <w:trPr>
          <w:gridBefore w:val="1"/>
          <w:wBefore w:w="27" w:type="dxa"/>
          <w:jc w:val="center"/>
        </w:trPr>
        <w:tc>
          <w:tcPr>
            <w:tcW w:w="2802" w:type="dxa"/>
            <w:gridSpan w:val="10"/>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893D96" w:rsidP="00550488">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S</w:t>
            </w:r>
            <w:r w:rsidR="001535B3" w:rsidRPr="00976BFF">
              <w:rPr>
                <w:rFonts w:ascii="Times New Roman" w:hAnsi="Times New Roman" w:cs="Times New Roman"/>
                <w:sz w:val="18"/>
                <w:szCs w:val="18"/>
                <w:lang w:val="es-ES_tradnl"/>
              </w:rPr>
              <w:t xml:space="preserve">r. </w:t>
            </w:r>
            <w:r w:rsidR="009914EF" w:rsidRPr="00976BFF">
              <w:rPr>
                <w:rFonts w:ascii="Times New Roman" w:hAnsi="Times New Roman" w:cs="Times New Roman"/>
                <w:sz w:val="18"/>
                <w:szCs w:val="18"/>
                <w:lang w:val="es-ES_tradnl"/>
              </w:rPr>
              <w:t>Víctor</w:t>
            </w:r>
            <w:r w:rsidR="001535B3" w:rsidRPr="00976BFF">
              <w:rPr>
                <w:rFonts w:ascii="Times New Roman" w:hAnsi="Times New Roman" w:cs="Times New Roman"/>
                <w:sz w:val="18"/>
                <w:szCs w:val="18"/>
                <w:lang w:val="es-ES_tradnl"/>
              </w:rPr>
              <w:t xml:space="preserve"> O</w:t>
            </w:r>
            <w:r w:rsidR="00550488">
              <w:rPr>
                <w:rFonts w:ascii="Times New Roman" w:hAnsi="Times New Roman" w:cs="Times New Roman"/>
                <w:sz w:val="18"/>
                <w:szCs w:val="18"/>
                <w:lang w:val="es-ES_tradnl"/>
              </w:rPr>
              <w:t>rdóñ</w:t>
            </w:r>
            <w:r w:rsidR="001535B3" w:rsidRPr="00976BFF">
              <w:rPr>
                <w:rFonts w:ascii="Times New Roman" w:hAnsi="Times New Roman" w:cs="Times New Roman"/>
                <w:sz w:val="18"/>
                <w:szCs w:val="18"/>
                <w:lang w:val="es-ES_tradnl"/>
              </w:rPr>
              <w:t>ez</w:t>
            </w:r>
          </w:p>
        </w:tc>
        <w:tc>
          <w:tcPr>
            <w:tcW w:w="2560"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C528D8" w:rsidP="009835AD">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 xml:space="preserve">Oficial de </w:t>
            </w:r>
            <w:r w:rsidR="009835AD">
              <w:rPr>
                <w:rFonts w:ascii="Times New Roman" w:hAnsi="Times New Roman" w:cs="Times New Roman"/>
                <w:sz w:val="18"/>
                <w:szCs w:val="18"/>
                <w:lang w:val="es-ES_tradnl"/>
              </w:rPr>
              <w:t>f</w:t>
            </w:r>
            <w:r w:rsidR="009835AD" w:rsidRPr="00976BFF">
              <w:rPr>
                <w:rFonts w:ascii="Times New Roman" w:hAnsi="Times New Roman" w:cs="Times New Roman"/>
                <w:sz w:val="18"/>
                <w:szCs w:val="18"/>
                <w:lang w:val="es-ES_tradnl"/>
              </w:rPr>
              <w:t>inanzas</w:t>
            </w:r>
          </w:p>
        </w:tc>
        <w:tc>
          <w:tcPr>
            <w:tcW w:w="2297" w:type="dxa"/>
            <w:gridSpan w:val="8"/>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c>
          <w:tcPr>
            <w:tcW w:w="1260" w:type="dxa"/>
            <w:gridSpan w:val="5"/>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r w:rsidRPr="00976BFF">
              <w:rPr>
                <w:rFonts w:ascii="Times New Roman" w:hAnsi="Times New Roman" w:cs="Times New Roman"/>
                <w:sz w:val="18"/>
                <w:szCs w:val="18"/>
                <w:lang w:val="es-ES_tradnl"/>
              </w:rPr>
              <w:t>CTRLN</w:t>
            </w:r>
          </w:p>
        </w:tc>
        <w:tc>
          <w:tcPr>
            <w:tcW w:w="981" w:type="dxa"/>
            <w:gridSpan w:val="4"/>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tcPr>
          <w:p w:rsidR="001535B3" w:rsidRPr="00976BFF" w:rsidRDefault="001535B3" w:rsidP="00241095">
            <w:pPr>
              <w:spacing w:after="0" w:line="240" w:lineRule="auto"/>
              <w:rPr>
                <w:rFonts w:ascii="Times New Roman" w:hAnsi="Times New Roman" w:cs="Times New Roman"/>
                <w:sz w:val="18"/>
                <w:szCs w:val="18"/>
                <w:lang w:val="es-ES_tradnl"/>
              </w:rPr>
            </w:pPr>
          </w:p>
        </w:tc>
      </w:tr>
    </w:tbl>
    <w:p w:rsidR="004C7AEF" w:rsidRPr="00976BFF" w:rsidRDefault="004C7AEF" w:rsidP="00F97882">
      <w:pPr>
        <w:pStyle w:val="NoSpacing"/>
        <w:jc w:val="center"/>
        <w:rPr>
          <w:rFonts w:ascii="Times New Roman" w:hAnsi="Times New Roman" w:cs="Times New Roman"/>
          <w:b/>
          <w:lang w:val="es-ES_tradnl"/>
        </w:rPr>
      </w:pPr>
    </w:p>
    <w:p w:rsidR="00986C20" w:rsidRPr="00976BFF" w:rsidRDefault="00986C20" w:rsidP="00F97882">
      <w:pPr>
        <w:pStyle w:val="NoSpacing"/>
        <w:jc w:val="center"/>
        <w:rPr>
          <w:rFonts w:ascii="Times New Roman" w:hAnsi="Times New Roman" w:cs="Times New Roman"/>
          <w:b/>
          <w:lang w:val="es-ES_tradnl"/>
        </w:rPr>
      </w:pPr>
    </w:p>
    <w:p w:rsidR="00986C20" w:rsidRPr="00976BFF" w:rsidRDefault="00986C20" w:rsidP="004C7AEF">
      <w:pPr>
        <w:pStyle w:val="NoSpacing"/>
        <w:rPr>
          <w:rFonts w:ascii="Times New Roman" w:hAnsi="Times New Roman" w:cs="Times New Roman"/>
          <w:b/>
          <w:lang w:val="es-ES_tradnl"/>
        </w:rPr>
        <w:sectPr w:rsidR="00986C20" w:rsidRPr="00976BFF">
          <w:footerReference w:type="even" r:id="rId9"/>
          <w:footerReference w:type="default" r:id="rId10"/>
          <w:pgSz w:w="12240" w:h="15840"/>
          <w:pgMar w:top="1440" w:right="1440" w:bottom="1440" w:left="1440" w:header="720" w:footer="720" w:gutter="0"/>
          <w:pgNumType w:fmt="lowerRoman"/>
          <w:cols w:space="720"/>
          <w:titlePg/>
          <w:docGrid w:linePitch="360"/>
        </w:sectPr>
      </w:pPr>
    </w:p>
    <w:p w:rsidR="00586689" w:rsidRPr="00976BFF" w:rsidRDefault="00C528D8" w:rsidP="00834DE6">
      <w:pPr>
        <w:pStyle w:val="Heading1"/>
        <w:numPr>
          <w:ilvl w:val="0"/>
          <w:numId w:val="0"/>
        </w:numPr>
        <w:spacing w:before="240" w:beforeAutospacing="0" w:after="0"/>
        <w:rPr>
          <w:rFonts w:ascii="Times New Roman" w:hAnsi="Times New Roman" w:cs="Times New Roman"/>
          <w:szCs w:val="24"/>
          <w:lang w:val="es-ES_tradnl"/>
        </w:rPr>
      </w:pPr>
      <w:bookmarkStart w:id="2" w:name="_Toc344927143"/>
      <w:r w:rsidRPr="00976BFF">
        <w:rPr>
          <w:rFonts w:ascii="Times New Roman" w:hAnsi="Times New Roman" w:cs="Times New Roman"/>
          <w:szCs w:val="24"/>
          <w:lang w:val="es-ES_tradnl"/>
        </w:rPr>
        <w:lastRenderedPageBreak/>
        <w:t>REPÚBLICA ORIENTAL DEL</w:t>
      </w:r>
      <w:r w:rsidR="00586689" w:rsidRPr="00976BFF">
        <w:rPr>
          <w:rFonts w:ascii="Times New Roman" w:hAnsi="Times New Roman" w:cs="Times New Roman"/>
          <w:szCs w:val="24"/>
          <w:lang w:val="es-ES_tradnl"/>
        </w:rPr>
        <w:t xml:space="preserve"> URUGUAY</w:t>
      </w:r>
      <w:bookmarkEnd w:id="2"/>
    </w:p>
    <w:p w:rsidR="00586689" w:rsidRPr="00976BFF" w:rsidRDefault="00C528D8" w:rsidP="00834DE6">
      <w:pPr>
        <w:spacing w:before="240" w:after="0" w:line="240" w:lineRule="auto"/>
        <w:jc w:val="center"/>
        <w:rPr>
          <w:rFonts w:ascii="Times New Roman" w:hAnsi="Times New Roman" w:cs="Times New Roman"/>
          <w:szCs w:val="24"/>
          <w:lang w:val="es-ES_tradnl"/>
        </w:rPr>
      </w:pPr>
      <w:r w:rsidRPr="00976BFF">
        <w:rPr>
          <w:rFonts w:ascii="Times New Roman" w:hAnsi="Times New Roman" w:cs="Times New Roman"/>
          <w:b/>
          <w:sz w:val="24"/>
          <w:szCs w:val="24"/>
          <w:lang w:val="es-ES_tradnl"/>
        </w:rPr>
        <w:t>PROGRAMA DE REHABILITACIÓN Y MANTENIMIENTO VIAL</w:t>
      </w:r>
    </w:p>
    <w:p w:rsidR="00586689" w:rsidRPr="00976BFF" w:rsidRDefault="00C528D8" w:rsidP="00834DE6">
      <w:pPr>
        <w:spacing w:before="240" w:after="0" w:line="240" w:lineRule="auto"/>
        <w:jc w:val="center"/>
        <w:rPr>
          <w:rFonts w:ascii="Times New Roman" w:hAnsi="Times New Roman" w:cs="Times New Roman"/>
          <w:szCs w:val="24"/>
          <w:lang w:val="es-ES_tradnl"/>
        </w:rPr>
      </w:pPr>
      <w:r w:rsidRPr="00976BFF">
        <w:rPr>
          <w:rFonts w:ascii="Times New Roman" w:hAnsi="Times New Roman" w:cs="Times New Roman"/>
          <w:b/>
          <w:bCs/>
          <w:sz w:val="24"/>
          <w:szCs w:val="24"/>
          <w:lang w:val="es-ES_tradnl"/>
        </w:rPr>
        <w:t>DOCUMENTO DE EVALUACIÓN INICIAL DEL PROGRAMA</w:t>
      </w:r>
    </w:p>
    <w:p w:rsidR="00586689" w:rsidRPr="00976BFF" w:rsidRDefault="00586689" w:rsidP="00834DE6">
      <w:pPr>
        <w:rPr>
          <w:lang w:val="es-ES_tradnl"/>
        </w:rPr>
      </w:pPr>
    </w:p>
    <w:p w:rsidR="005A7E1B" w:rsidRPr="00976BFF" w:rsidRDefault="00C528D8">
      <w:pPr>
        <w:pStyle w:val="Heading1"/>
        <w:rPr>
          <w:lang w:val="es-ES_tradnl"/>
        </w:rPr>
      </w:pPr>
      <w:bookmarkStart w:id="3" w:name="_Toc344927144"/>
      <w:r w:rsidRPr="00976BFF">
        <w:rPr>
          <w:lang w:val="es-ES_tradnl"/>
        </w:rPr>
        <w:t>CONTEXTO ESTRATÉGICO</w:t>
      </w:r>
      <w:bookmarkEnd w:id="3"/>
    </w:p>
    <w:p w:rsidR="004C7AEF" w:rsidRPr="00976BFF" w:rsidRDefault="001D2940">
      <w:pPr>
        <w:pStyle w:val="Heading2"/>
        <w:rPr>
          <w:lang w:val="es-ES_tradnl"/>
        </w:rPr>
      </w:pPr>
      <w:bookmarkStart w:id="4" w:name="_Toc344927145"/>
      <w:r w:rsidRPr="00976BFF">
        <w:rPr>
          <w:lang w:val="es-ES_tradnl"/>
        </w:rPr>
        <w:t>C</w:t>
      </w:r>
      <w:r w:rsidR="00F01A9C" w:rsidRPr="00976BFF">
        <w:rPr>
          <w:lang w:val="es-ES_tradnl"/>
        </w:rPr>
        <w:t>ontexto socioeconómico del país</w:t>
      </w:r>
      <w:bookmarkEnd w:id="4"/>
    </w:p>
    <w:p w:rsidR="0007594F" w:rsidRPr="00976BFF" w:rsidRDefault="00C41F5D" w:rsidP="00A22658">
      <w:pPr>
        <w:pStyle w:val="MainPara"/>
        <w:autoSpaceDE w:val="0"/>
        <w:rPr>
          <w:lang w:val="es-ES_tradnl"/>
        </w:rPr>
      </w:pPr>
      <w:r w:rsidRPr="00976BFF">
        <w:rPr>
          <w:lang w:val="es-ES_tradnl"/>
        </w:rPr>
        <w:t xml:space="preserve">Uruguay </w:t>
      </w:r>
      <w:r w:rsidR="002212E2" w:rsidRPr="00976BFF">
        <w:rPr>
          <w:lang w:val="es-ES_tradnl"/>
        </w:rPr>
        <w:t xml:space="preserve">es un país de ingreso mediano alto. </w:t>
      </w:r>
      <w:r w:rsidR="00716465">
        <w:rPr>
          <w:lang w:val="es-ES_tradnl"/>
        </w:rPr>
        <w:t>L</w:t>
      </w:r>
      <w:r w:rsidR="002212E2" w:rsidRPr="00976BFF">
        <w:rPr>
          <w:lang w:val="es-ES_tradnl"/>
        </w:rPr>
        <w:t xml:space="preserve">a economía </w:t>
      </w:r>
      <w:r w:rsidR="00716465">
        <w:rPr>
          <w:lang w:val="es-ES_tradnl"/>
        </w:rPr>
        <w:t>creció</w:t>
      </w:r>
      <w:r w:rsidR="002212E2" w:rsidRPr="00976BFF">
        <w:rPr>
          <w:lang w:val="es-ES_tradnl"/>
        </w:rPr>
        <w:t xml:space="preserve">, en promedio, al </w:t>
      </w:r>
      <w:r w:rsidR="00E71774" w:rsidRPr="00976BFF">
        <w:rPr>
          <w:lang w:val="es-ES_tradnl"/>
        </w:rPr>
        <w:t>5</w:t>
      </w:r>
      <w:r w:rsidR="002212E2" w:rsidRPr="00976BFF">
        <w:rPr>
          <w:lang w:val="es-ES_tradnl"/>
        </w:rPr>
        <w:t>,</w:t>
      </w:r>
      <w:r w:rsidR="00E71774" w:rsidRPr="00976BFF">
        <w:rPr>
          <w:lang w:val="es-ES_tradnl"/>
        </w:rPr>
        <w:t>6</w:t>
      </w:r>
      <w:r w:rsidR="002212E2" w:rsidRPr="00976BFF">
        <w:rPr>
          <w:lang w:val="es-ES_tradnl"/>
        </w:rPr>
        <w:t xml:space="preserve">% del producto interno bruto (PIB) durante </w:t>
      </w:r>
      <w:r w:rsidR="00E71774" w:rsidRPr="00976BFF">
        <w:rPr>
          <w:lang w:val="es-ES_tradnl"/>
        </w:rPr>
        <w:t xml:space="preserve">2003-10, </w:t>
      </w:r>
      <w:r w:rsidR="002212E2" w:rsidRPr="00976BFF">
        <w:rPr>
          <w:lang w:val="es-ES_tradnl"/>
        </w:rPr>
        <w:t xml:space="preserve">y al </w:t>
      </w:r>
      <w:r w:rsidR="00D97DBE" w:rsidRPr="00976BFF">
        <w:rPr>
          <w:lang w:val="es-ES_tradnl"/>
        </w:rPr>
        <w:t>5</w:t>
      </w:r>
      <w:r w:rsidR="002212E2" w:rsidRPr="00976BFF">
        <w:rPr>
          <w:lang w:val="es-ES_tradnl"/>
        </w:rPr>
        <w:t>,</w:t>
      </w:r>
      <w:r w:rsidR="00D97DBE" w:rsidRPr="00976BFF">
        <w:rPr>
          <w:lang w:val="es-ES_tradnl"/>
        </w:rPr>
        <w:t>7</w:t>
      </w:r>
      <w:r w:rsidR="002212E2" w:rsidRPr="00976BFF">
        <w:rPr>
          <w:lang w:val="es-ES_tradnl"/>
        </w:rPr>
        <w:t xml:space="preserve">% en </w:t>
      </w:r>
      <w:r w:rsidR="008D54B9" w:rsidRPr="00976BFF">
        <w:rPr>
          <w:lang w:val="es-ES_tradnl"/>
        </w:rPr>
        <w:t xml:space="preserve">2011. </w:t>
      </w:r>
      <w:r w:rsidR="00E71774" w:rsidRPr="00976BFF">
        <w:rPr>
          <w:lang w:val="es-ES_tradnl"/>
        </w:rPr>
        <w:t>Dur</w:t>
      </w:r>
      <w:r w:rsidR="002212E2" w:rsidRPr="00976BFF">
        <w:rPr>
          <w:lang w:val="es-ES_tradnl"/>
        </w:rPr>
        <w:t xml:space="preserve">ante ese período, las tasas de pobreza disminuyeron del </w:t>
      </w:r>
      <w:r w:rsidR="00E71774" w:rsidRPr="00976BFF">
        <w:rPr>
          <w:lang w:val="es-ES_tradnl"/>
        </w:rPr>
        <w:t>39</w:t>
      </w:r>
      <w:r w:rsidR="002212E2" w:rsidRPr="00976BFF">
        <w:rPr>
          <w:lang w:val="es-ES_tradnl"/>
        </w:rPr>
        <w:t>,</w:t>
      </w:r>
      <w:r w:rsidR="00E71774" w:rsidRPr="00976BFF">
        <w:rPr>
          <w:lang w:val="es-ES_tradnl"/>
        </w:rPr>
        <w:t>9</w:t>
      </w:r>
      <w:r w:rsidR="002212E2" w:rsidRPr="00976BFF">
        <w:rPr>
          <w:lang w:val="es-ES_tradnl"/>
        </w:rPr>
        <w:t xml:space="preserve">% al </w:t>
      </w:r>
      <w:r w:rsidR="00E71774" w:rsidRPr="00976BFF">
        <w:rPr>
          <w:lang w:val="es-ES_tradnl"/>
        </w:rPr>
        <w:t>14</w:t>
      </w:r>
      <w:r w:rsidR="002212E2" w:rsidRPr="00976BFF">
        <w:rPr>
          <w:lang w:val="es-ES_tradnl"/>
        </w:rPr>
        <w:t>,</w:t>
      </w:r>
      <w:r w:rsidR="00E71774" w:rsidRPr="00976BFF">
        <w:rPr>
          <w:lang w:val="es-ES_tradnl"/>
        </w:rPr>
        <w:t>3</w:t>
      </w:r>
      <w:r w:rsidR="002212E2" w:rsidRPr="00976BFF">
        <w:rPr>
          <w:lang w:val="es-ES_tradnl"/>
        </w:rPr>
        <w:t>%</w:t>
      </w:r>
      <w:r w:rsidR="00E71774" w:rsidRPr="00976BFF">
        <w:rPr>
          <w:rStyle w:val="FootnoteReference"/>
          <w:lang w:val="es-ES_tradnl"/>
        </w:rPr>
        <w:footnoteReference w:id="1"/>
      </w:r>
      <w:r w:rsidR="002212E2" w:rsidRPr="00976BFF">
        <w:rPr>
          <w:lang w:val="es-ES_tradnl"/>
        </w:rPr>
        <w:t>.</w:t>
      </w:r>
      <w:r w:rsidR="00E71774" w:rsidRPr="00976BFF">
        <w:rPr>
          <w:szCs w:val="20"/>
          <w:lang w:val="es-ES_tradnl"/>
        </w:rPr>
        <w:t xml:space="preserve"> </w:t>
      </w:r>
      <w:r w:rsidR="009B2D22" w:rsidRPr="00976BFF">
        <w:rPr>
          <w:szCs w:val="20"/>
          <w:lang w:val="es-ES_tradnl"/>
        </w:rPr>
        <w:t xml:space="preserve">Estas tendencias positivas </w:t>
      </w:r>
      <w:r w:rsidR="006D44FB">
        <w:rPr>
          <w:szCs w:val="20"/>
          <w:lang w:val="es-ES_tradnl"/>
        </w:rPr>
        <w:t xml:space="preserve">son resultado de una política macroeconómica prudente, las mejoras incorporadas en áreas estructurales y </w:t>
      </w:r>
      <w:r w:rsidR="009B2D22" w:rsidRPr="00976BFF">
        <w:rPr>
          <w:szCs w:val="20"/>
          <w:lang w:val="es-ES_tradnl"/>
        </w:rPr>
        <w:t xml:space="preserve">el auge de la economía regional. En la esfera de la desigualdad de ingresos, Uruguay tiene uno de los coeficientes de Gini más bajos de la región </w:t>
      </w:r>
      <w:r w:rsidR="00D74AD4" w:rsidRPr="00976BFF">
        <w:rPr>
          <w:lang w:val="es-ES_tradnl"/>
        </w:rPr>
        <w:t>(</w:t>
      </w:r>
      <w:r w:rsidR="00611A25" w:rsidRPr="00976BFF">
        <w:rPr>
          <w:lang w:val="es-ES_tradnl"/>
        </w:rPr>
        <w:t>0</w:t>
      </w:r>
      <w:r w:rsidR="009B2D22" w:rsidRPr="00976BFF">
        <w:rPr>
          <w:lang w:val="es-ES_tradnl"/>
        </w:rPr>
        <w:t>,</w:t>
      </w:r>
      <w:r w:rsidR="00D74AD4" w:rsidRPr="00976BFF">
        <w:rPr>
          <w:lang w:val="es-ES_tradnl"/>
        </w:rPr>
        <w:t>402</w:t>
      </w:r>
      <w:r w:rsidR="00A22658" w:rsidRPr="00976BFF">
        <w:rPr>
          <w:rFonts w:ascii="ZWAdobeF" w:hAnsi="ZWAdobeF" w:cs="ZWAdobeF"/>
          <w:sz w:val="2"/>
          <w:szCs w:val="2"/>
          <w:lang w:val="es-ES_tradnl"/>
        </w:rPr>
        <w:t>1F</w:t>
      </w:r>
      <w:r w:rsidR="00D74AD4" w:rsidRPr="00976BFF">
        <w:rPr>
          <w:rStyle w:val="FootnoteReference"/>
          <w:lang w:val="es-ES_tradnl"/>
        </w:rPr>
        <w:footnoteReference w:id="2"/>
      </w:r>
      <w:r w:rsidR="00D74AD4" w:rsidRPr="00976BFF">
        <w:rPr>
          <w:lang w:val="es-ES_tradnl"/>
        </w:rPr>
        <w:t xml:space="preserve">). </w:t>
      </w:r>
      <w:r w:rsidR="009B2D22" w:rsidRPr="00976BFF">
        <w:rPr>
          <w:lang w:val="es-ES_tradnl"/>
        </w:rPr>
        <w:t xml:space="preserve">Este amplio nivel de igualdad también se refleja en los indicadores sociales: el país ocupa el puesto 48 en el índice del desarrollo humano, inmediatamente después de </w:t>
      </w:r>
      <w:r w:rsidR="00D74AD4" w:rsidRPr="00976BFF">
        <w:rPr>
          <w:lang w:val="es-ES_tradnl"/>
        </w:rPr>
        <w:t xml:space="preserve">Chile </w:t>
      </w:r>
      <w:r w:rsidR="009B2D22" w:rsidRPr="00976BFF">
        <w:rPr>
          <w:lang w:val="es-ES_tradnl"/>
        </w:rPr>
        <w:t>y</w:t>
      </w:r>
      <w:r w:rsidR="00D74AD4" w:rsidRPr="00976BFF">
        <w:rPr>
          <w:lang w:val="es-ES_tradnl"/>
        </w:rPr>
        <w:t xml:space="preserve"> Argentina, </w:t>
      </w:r>
      <w:r w:rsidR="009B2D22" w:rsidRPr="00976BFF">
        <w:rPr>
          <w:lang w:val="es-ES_tradnl"/>
        </w:rPr>
        <w:t xml:space="preserve">y </w:t>
      </w:r>
      <w:r w:rsidR="00743815" w:rsidRPr="00976BFF">
        <w:rPr>
          <w:lang w:val="es-ES_tradnl"/>
        </w:rPr>
        <w:t xml:space="preserve">antes de </w:t>
      </w:r>
      <w:r w:rsidR="00D74AD4" w:rsidRPr="00976BFF">
        <w:rPr>
          <w:lang w:val="es-ES_tradnl"/>
        </w:rPr>
        <w:t>M</w:t>
      </w:r>
      <w:r w:rsidR="00743815" w:rsidRPr="00976BFF">
        <w:rPr>
          <w:lang w:val="es-ES_tradnl"/>
        </w:rPr>
        <w:t>é</w:t>
      </w:r>
      <w:r w:rsidR="00D74AD4" w:rsidRPr="00976BFF">
        <w:rPr>
          <w:lang w:val="es-ES_tradnl"/>
        </w:rPr>
        <w:t xml:space="preserve">xico </w:t>
      </w:r>
      <w:r w:rsidR="00743815" w:rsidRPr="00976BFF">
        <w:rPr>
          <w:lang w:val="es-ES_tradnl"/>
        </w:rPr>
        <w:t>y</w:t>
      </w:r>
      <w:r w:rsidR="00D74AD4" w:rsidRPr="00976BFF">
        <w:rPr>
          <w:lang w:val="es-ES_tradnl"/>
        </w:rPr>
        <w:t xml:space="preserve"> Bra</w:t>
      </w:r>
      <w:r w:rsidR="00743815" w:rsidRPr="00976BFF">
        <w:rPr>
          <w:lang w:val="es-ES_tradnl"/>
        </w:rPr>
        <w:t>s</w:t>
      </w:r>
      <w:r w:rsidR="00D74AD4" w:rsidRPr="00976BFF">
        <w:rPr>
          <w:lang w:val="es-ES_tradnl"/>
        </w:rPr>
        <w:t xml:space="preserve">il. </w:t>
      </w:r>
      <w:r w:rsidR="00743815" w:rsidRPr="00976BFF">
        <w:rPr>
          <w:lang w:val="es-ES_tradnl"/>
        </w:rPr>
        <w:t xml:space="preserve">Sin embargo, Uruguay todavía se clasifica debajo de los promedios de la Organización para la Cooperación y el Desarrollo Económicos, que constituyen un parámetro de referencia </w:t>
      </w:r>
      <w:r w:rsidR="00234C71" w:rsidRPr="00976BFF">
        <w:rPr>
          <w:lang w:val="es-ES_tradnl"/>
        </w:rPr>
        <w:t>que</w:t>
      </w:r>
      <w:r w:rsidR="00743815" w:rsidRPr="00976BFF">
        <w:rPr>
          <w:lang w:val="es-ES_tradnl"/>
        </w:rPr>
        <w:t xml:space="preserve"> el país se </w:t>
      </w:r>
      <w:r w:rsidR="00234C71" w:rsidRPr="00976BFF">
        <w:rPr>
          <w:lang w:val="es-ES_tradnl"/>
        </w:rPr>
        <w:t>esfuerza por alcanzar</w:t>
      </w:r>
      <w:r w:rsidR="00D74AD4" w:rsidRPr="00976BFF">
        <w:rPr>
          <w:lang w:val="es-ES_tradnl"/>
        </w:rPr>
        <w:t>.</w:t>
      </w:r>
    </w:p>
    <w:p w:rsidR="0007594F" w:rsidRPr="00976BFF" w:rsidRDefault="00BB3612" w:rsidP="00625FD2">
      <w:pPr>
        <w:pStyle w:val="MainPara"/>
        <w:rPr>
          <w:lang w:val="es-ES_tradnl"/>
        </w:rPr>
      </w:pPr>
      <w:r w:rsidRPr="00976BFF">
        <w:rPr>
          <w:lang w:val="es-ES_tradnl"/>
        </w:rPr>
        <w:t>Uruguay ha</w:t>
      </w:r>
      <w:r w:rsidR="00234C71" w:rsidRPr="00976BFF">
        <w:rPr>
          <w:lang w:val="es-ES_tradnl"/>
        </w:rPr>
        <w:t xml:space="preserve"> mantenido un sólido marco macroeconómico que se caracteriza por políticas fiscales coherentes y prudentes. </w:t>
      </w:r>
      <w:r w:rsidR="00AB27DC">
        <w:rPr>
          <w:lang w:val="es-ES_tradnl"/>
        </w:rPr>
        <w:t>En</w:t>
      </w:r>
      <w:r w:rsidR="00234C71" w:rsidRPr="00976BFF">
        <w:rPr>
          <w:lang w:val="es-ES_tradnl"/>
        </w:rPr>
        <w:t xml:space="preserve"> 2011, la política fiscal fue neutral, el ritmo de aumento del gasto fue inferior al de los ingresos durante el período, con una caída de las inversiones del </w:t>
      </w:r>
      <w:r w:rsidR="009A3FF3" w:rsidRPr="00976BFF">
        <w:rPr>
          <w:lang w:val="es-ES_tradnl"/>
        </w:rPr>
        <w:t>3</w:t>
      </w:r>
      <w:r w:rsidR="00234C71" w:rsidRPr="00976BFF">
        <w:rPr>
          <w:lang w:val="es-ES_tradnl"/>
        </w:rPr>
        <w:t>,</w:t>
      </w:r>
      <w:r w:rsidR="009A3FF3" w:rsidRPr="00976BFF">
        <w:rPr>
          <w:lang w:val="es-ES_tradnl"/>
        </w:rPr>
        <w:t>6</w:t>
      </w:r>
      <w:r w:rsidR="00234C71" w:rsidRPr="00976BFF">
        <w:rPr>
          <w:lang w:val="es-ES_tradnl"/>
        </w:rPr>
        <w:t xml:space="preserve">% del PIB al </w:t>
      </w:r>
      <w:r w:rsidR="009A3FF3" w:rsidRPr="00976BFF">
        <w:rPr>
          <w:lang w:val="es-ES_tradnl"/>
        </w:rPr>
        <w:t>2</w:t>
      </w:r>
      <w:r w:rsidR="00234C71" w:rsidRPr="00976BFF">
        <w:rPr>
          <w:lang w:val="es-ES_tradnl"/>
        </w:rPr>
        <w:t>,</w:t>
      </w:r>
      <w:r w:rsidR="009A3FF3" w:rsidRPr="00976BFF">
        <w:rPr>
          <w:lang w:val="es-ES_tradnl"/>
        </w:rPr>
        <w:t>7</w:t>
      </w:r>
      <w:r w:rsidR="00234C71" w:rsidRPr="00976BFF">
        <w:rPr>
          <w:lang w:val="es-ES_tradnl"/>
        </w:rPr>
        <w:t xml:space="preserve">% del PIB. Si bien una reducción de la inversión pública contribuiría a reducir el déficit presupuestario, también podría convertirse en un obstáculo para abordar las necesidades de infraestructura en el mediano plazo </w:t>
      </w:r>
      <w:r w:rsidR="00147454" w:rsidRPr="00976BFF">
        <w:rPr>
          <w:lang w:val="es-ES_tradnl"/>
        </w:rPr>
        <w:t>derivadas d</w:t>
      </w:r>
      <w:r w:rsidR="00234C71" w:rsidRPr="00976BFF">
        <w:rPr>
          <w:lang w:val="es-ES_tradnl"/>
        </w:rPr>
        <w:t xml:space="preserve">el sólido desempeño de la economía y el comercio. Se </w:t>
      </w:r>
      <w:r w:rsidR="00850F4B">
        <w:rPr>
          <w:lang w:val="es-ES_tradnl"/>
        </w:rPr>
        <w:t>estima</w:t>
      </w:r>
      <w:r w:rsidR="00234C71" w:rsidRPr="00976BFF">
        <w:rPr>
          <w:lang w:val="es-ES_tradnl"/>
        </w:rPr>
        <w:t xml:space="preserve"> que la </w:t>
      </w:r>
      <w:r w:rsidR="00E65387" w:rsidRPr="00976BFF">
        <w:rPr>
          <w:lang w:val="es-ES_tradnl"/>
        </w:rPr>
        <w:t>Ley de Asociación Público-Privada</w:t>
      </w:r>
      <w:r w:rsidR="00234C71" w:rsidRPr="00976BFF">
        <w:rPr>
          <w:lang w:val="es-ES_tradnl"/>
        </w:rPr>
        <w:t xml:space="preserve">, sancionada recientemente, </w:t>
      </w:r>
      <w:r w:rsidR="00147454" w:rsidRPr="00976BFF">
        <w:rPr>
          <w:lang w:val="es-ES_tradnl"/>
        </w:rPr>
        <w:t>generará un aumento de las inversiones privadas en infraestructura</w:t>
      </w:r>
      <w:r w:rsidR="009A3FF3" w:rsidRPr="00976BFF">
        <w:rPr>
          <w:lang w:val="es-ES_tradnl"/>
        </w:rPr>
        <w:t>.</w:t>
      </w:r>
    </w:p>
    <w:p w:rsidR="009F5F8A" w:rsidRPr="00976BFF" w:rsidRDefault="009F5F8A" w:rsidP="009F5F8A">
      <w:pPr>
        <w:rPr>
          <w:lang w:val="es-ES_tradnl"/>
        </w:rPr>
      </w:pPr>
    </w:p>
    <w:p w:rsidR="004C7AEF" w:rsidRPr="00976BFF" w:rsidRDefault="00147454" w:rsidP="006068D8">
      <w:pPr>
        <w:pStyle w:val="Heading2"/>
        <w:rPr>
          <w:lang w:val="es-ES_tradnl"/>
        </w:rPr>
      </w:pPr>
      <w:bookmarkStart w:id="5" w:name="_Toc344927146"/>
      <w:r w:rsidRPr="00976BFF">
        <w:rPr>
          <w:lang w:val="es-ES_tradnl"/>
        </w:rPr>
        <w:t>Contexto sectorial e institucional</w:t>
      </w:r>
      <w:bookmarkEnd w:id="5"/>
    </w:p>
    <w:p w:rsidR="00A764A2" w:rsidRPr="00976BFF" w:rsidRDefault="00865AD2" w:rsidP="00625FD2">
      <w:pPr>
        <w:pStyle w:val="MainPara"/>
        <w:rPr>
          <w:lang w:val="es-ES_tradnl"/>
        </w:rPr>
      </w:pPr>
      <w:r w:rsidRPr="00976BFF">
        <w:rPr>
          <w:lang w:val="es-ES_tradnl"/>
        </w:rPr>
        <w:t xml:space="preserve">En la estrategia para el </w:t>
      </w:r>
      <w:r w:rsidR="002E32D9" w:rsidRPr="00976BFF">
        <w:rPr>
          <w:lang w:val="es-ES_tradnl"/>
        </w:rPr>
        <w:t>Uruguay 2030</w:t>
      </w:r>
      <w:r w:rsidRPr="00976BFF">
        <w:rPr>
          <w:lang w:val="es-ES_tradnl"/>
        </w:rPr>
        <w:t xml:space="preserve"> se establece como objetivo “la promoción del desarrollo económico sustentable y mejora de la eficiencia y competitividad del país” y en segundo término, “la consolidación de Uruguay como </w:t>
      </w:r>
      <w:r w:rsidR="00716465">
        <w:rPr>
          <w:lang w:val="es-ES_tradnl"/>
        </w:rPr>
        <w:t>c</w:t>
      </w:r>
      <w:r w:rsidR="00716465" w:rsidRPr="00976BFF">
        <w:rPr>
          <w:lang w:val="es-ES_tradnl"/>
        </w:rPr>
        <w:t xml:space="preserve">entro </w:t>
      </w:r>
      <w:r w:rsidRPr="00976BFF">
        <w:rPr>
          <w:lang w:val="es-ES_tradnl"/>
        </w:rPr>
        <w:t xml:space="preserve">de </w:t>
      </w:r>
      <w:r w:rsidR="00716465">
        <w:rPr>
          <w:lang w:val="es-ES_tradnl"/>
        </w:rPr>
        <w:t>d</w:t>
      </w:r>
      <w:r w:rsidR="00716465" w:rsidRPr="00976BFF">
        <w:rPr>
          <w:lang w:val="es-ES_tradnl"/>
        </w:rPr>
        <w:t xml:space="preserve">istribución </w:t>
      </w:r>
      <w:r w:rsidR="00716465">
        <w:rPr>
          <w:lang w:val="es-ES_tradnl"/>
        </w:rPr>
        <w:t>g</w:t>
      </w:r>
      <w:r w:rsidR="00716465" w:rsidRPr="00976BFF">
        <w:rPr>
          <w:lang w:val="es-ES_tradnl"/>
        </w:rPr>
        <w:t xml:space="preserve">lobal </w:t>
      </w:r>
      <w:r w:rsidRPr="00976BFF">
        <w:rPr>
          <w:lang w:val="es-ES_tradnl"/>
        </w:rPr>
        <w:t>y mejora de la competitividad de la logística de bienes, servicios y personas”. En este respecto, la calidad de la infraestructura vial es fundamental</w:t>
      </w:r>
      <w:r w:rsidR="00696C61" w:rsidRPr="00976BFF">
        <w:rPr>
          <w:lang w:val="es-ES_tradnl"/>
        </w:rPr>
        <w:t xml:space="preserve"> </w:t>
      </w:r>
      <w:r w:rsidR="008E2C54" w:rsidRPr="00976BFF">
        <w:rPr>
          <w:lang w:val="es-ES_tradnl"/>
        </w:rPr>
        <w:t>para mejorar los</w:t>
      </w:r>
      <w:r w:rsidR="00696C61" w:rsidRPr="00976BFF">
        <w:rPr>
          <w:lang w:val="es-ES_tradnl"/>
        </w:rPr>
        <w:t xml:space="preserve"> servicios de logística</w:t>
      </w:r>
      <w:r w:rsidR="008E2C54" w:rsidRPr="00976BFF">
        <w:rPr>
          <w:lang w:val="es-ES_tradnl"/>
        </w:rPr>
        <w:t xml:space="preserve">, dado que casi todas las cadenas de logística del país tienen un eslabón de transporte vial. Se estima que en 2010 el 90% de la carga (toneladas por kilómetro) se transportó por </w:t>
      </w:r>
      <w:r w:rsidR="004578B5">
        <w:rPr>
          <w:lang w:val="es-ES_tradnl"/>
        </w:rPr>
        <w:t>vía terrestre</w:t>
      </w:r>
      <w:r w:rsidR="002E32D9" w:rsidRPr="00976BFF">
        <w:rPr>
          <w:lang w:val="es-ES_tradnl"/>
        </w:rPr>
        <w:t>.</w:t>
      </w:r>
    </w:p>
    <w:p w:rsidR="0007594F" w:rsidRPr="00976BFF" w:rsidRDefault="008E2C54" w:rsidP="00A22658">
      <w:pPr>
        <w:pStyle w:val="MainPara"/>
        <w:autoSpaceDE w:val="0"/>
        <w:rPr>
          <w:lang w:val="es-ES_tradnl"/>
        </w:rPr>
      </w:pPr>
      <w:r w:rsidRPr="00976BFF">
        <w:rPr>
          <w:b/>
          <w:lang w:val="es-ES_tradnl"/>
        </w:rPr>
        <w:lastRenderedPageBreak/>
        <w:t xml:space="preserve">Infraestructura vial en </w:t>
      </w:r>
      <w:r w:rsidR="00BE28DC" w:rsidRPr="00976BFF">
        <w:rPr>
          <w:b/>
          <w:lang w:val="es-ES_tradnl"/>
        </w:rPr>
        <w:t>Uruguay</w:t>
      </w:r>
      <w:r w:rsidR="00BE28DC" w:rsidRPr="000B5989">
        <w:rPr>
          <w:b/>
          <w:lang w:val="es-ES_tradnl"/>
        </w:rPr>
        <w:t>.</w:t>
      </w:r>
      <w:r w:rsidR="00BE28DC" w:rsidRPr="00976BFF">
        <w:rPr>
          <w:lang w:val="es-ES_tradnl"/>
        </w:rPr>
        <w:t xml:space="preserve"> </w:t>
      </w:r>
      <w:r w:rsidR="009D49FB" w:rsidRPr="00976BFF">
        <w:rPr>
          <w:lang w:val="es-ES_tradnl"/>
        </w:rPr>
        <w:t xml:space="preserve">En términos de infraestructura, el país tiene una de las densidades viales más elevadas de América Latina (2,5 veces más que Brasil, 4 veces más que Paraguay). La red vial tiene una longitud aproximada de </w:t>
      </w:r>
      <w:r w:rsidR="001535B3" w:rsidRPr="00976BFF">
        <w:rPr>
          <w:lang w:val="es-ES_tradnl"/>
        </w:rPr>
        <w:t>60</w:t>
      </w:r>
      <w:r w:rsidR="009D49FB" w:rsidRPr="00976BFF">
        <w:rPr>
          <w:lang w:val="es-ES_tradnl"/>
        </w:rPr>
        <w:t> </w:t>
      </w:r>
      <w:r w:rsidR="001535B3" w:rsidRPr="00976BFF">
        <w:rPr>
          <w:lang w:val="es-ES_tradnl"/>
        </w:rPr>
        <w:t xml:space="preserve">000 </w:t>
      </w:r>
      <w:r w:rsidR="00BC716F" w:rsidRPr="00976BFF">
        <w:rPr>
          <w:lang w:val="es-ES_tradnl"/>
        </w:rPr>
        <w:t>kil</w:t>
      </w:r>
      <w:r w:rsidR="009D49FB" w:rsidRPr="00976BFF">
        <w:rPr>
          <w:lang w:val="es-ES_tradnl"/>
        </w:rPr>
        <w:t>ó</w:t>
      </w:r>
      <w:r w:rsidR="00BC716F" w:rsidRPr="00976BFF">
        <w:rPr>
          <w:lang w:val="es-ES_tradnl"/>
        </w:rPr>
        <w:t>metr</w:t>
      </w:r>
      <w:r w:rsidR="009D49FB" w:rsidRPr="00976BFF">
        <w:rPr>
          <w:lang w:val="es-ES_tradnl"/>
        </w:rPr>
        <w:t>o</w:t>
      </w:r>
      <w:r w:rsidR="00BC716F" w:rsidRPr="00976BFF">
        <w:rPr>
          <w:lang w:val="es-ES_tradnl"/>
        </w:rPr>
        <w:t>s</w:t>
      </w:r>
      <w:r w:rsidR="001535B3" w:rsidRPr="00976BFF">
        <w:rPr>
          <w:lang w:val="es-ES_tradnl"/>
        </w:rPr>
        <w:t xml:space="preserve">, </w:t>
      </w:r>
      <w:r w:rsidR="009D49FB" w:rsidRPr="00976BFF">
        <w:rPr>
          <w:lang w:val="es-ES_tradnl"/>
        </w:rPr>
        <w:t xml:space="preserve">de los cuales unos </w:t>
      </w:r>
      <w:r w:rsidR="001535B3" w:rsidRPr="00976BFF">
        <w:rPr>
          <w:lang w:val="es-ES_tradnl"/>
        </w:rPr>
        <w:t>8</w:t>
      </w:r>
      <w:r w:rsidR="00FA1497" w:rsidRPr="00976BFF">
        <w:rPr>
          <w:lang w:val="es-ES_tradnl"/>
        </w:rPr>
        <w:t xml:space="preserve">875 </w:t>
      </w:r>
      <w:r w:rsidR="001F6651">
        <w:rPr>
          <w:lang w:val="es-ES_tradnl"/>
        </w:rPr>
        <w:t>kilómetros</w:t>
      </w:r>
      <w:r w:rsidR="001F6651" w:rsidRPr="00976BFF">
        <w:rPr>
          <w:lang w:val="es-ES_tradnl"/>
        </w:rPr>
        <w:t xml:space="preserve"> </w:t>
      </w:r>
      <w:r w:rsidR="001535B3" w:rsidRPr="00976BFF">
        <w:rPr>
          <w:lang w:val="es-ES_tradnl"/>
        </w:rPr>
        <w:t>correspond</w:t>
      </w:r>
      <w:r w:rsidR="009D49FB" w:rsidRPr="00976BFF">
        <w:rPr>
          <w:lang w:val="es-ES_tradnl"/>
        </w:rPr>
        <w:t xml:space="preserve">en a la </w:t>
      </w:r>
      <w:r w:rsidR="00834929" w:rsidRPr="00976BFF">
        <w:rPr>
          <w:lang w:val="es-ES_tradnl"/>
        </w:rPr>
        <w:t>r</w:t>
      </w:r>
      <w:r w:rsidR="00E65387" w:rsidRPr="00976BFF">
        <w:rPr>
          <w:lang w:val="es-ES_tradnl"/>
        </w:rPr>
        <w:t xml:space="preserve">ed </w:t>
      </w:r>
      <w:r w:rsidR="00834929" w:rsidRPr="00976BFF">
        <w:rPr>
          <w:lang w:val="es-ES_tradnl"/>
        </w:rPr>
        <w:t>vial n</w:t>
      </w:r>
      <w:r w:rsidR="00E65387" w:rsidRPr="00976BFF">
        <w:rPr>
          <w:lang w:val="es-ES_tradnl"/>
        </w:rPr>
        <w:t>acional</w:t>
      </w:r>
      <w:r w:rsidR="001535B3" w:rsidRPr="00976BFF">
        <w:rPr>
          <w:lang w:val="es-ES_tradnl"/>
        </w:rPr>
        <w:t xml:space="preserve">. </w:t>
      </w:r>
      <w:r w:rsidR="0022776B" w:rsidRPr="00976BFF">
        <w:rPr>
          <w:lang w:val="es-ES_tradnl"/>
        </w:rPr>
        <w:t>Según la clasificación de caminos vigente</w:t>
      </w:r>
      <w:r w:rsidR="00961026" w:rsidRPr="00976BFF">
        <w:rPr>
          <w:rStyle w:val="FootnoteReference"/>
          <w:lang w:val="es-ES_tradnl"/>
        </w:rPr>
        <w:footnoteReference w:id="3"/>
      </w:r>
      <w:r w:rsidR="001535B3" w:rsidRPr="00976BFF">
        <w:rPr>
          <w:lang w:val="es-ES_tradnl"/>
        </w:rPr>
        <w:t xml:space="preserve">, </w:t>
      </w:r>
      <w:r w:rsidR="0022776B" w:rsidRPr="00976BFF">
        <w:rPr>
          <w:lang w:val="es-ES_tradnl"/>
        </w:rPr>
        <w:t xml:space="preserve">la </w:t>
      </w:r>
      <w:r w:rsidR="00834929" w:rsidRPr="00976BFF">
        <w:rPr>
          <w:lang w:val="es-ES_tradnl"/>
        </w:rPr>
        <w:t>r</w:t>
      </w:r>
      <w:r w:rsidR="0022776B" w:rsidRPr="00976BFF">
        <w:rPr>
          <w:lang w:val="es-ES_tradnl"/>
        </w:rPr>
        <w:t xml:space="preserve">ed </w:t>
      </w:r>
      <w:r w:rsidR="00834929" w:rsidRPr="00976BFF">
        <w:rPr>
          <w:lang w:val="es-ES_tradnl"/>
        </w:rPr>
        <w:t>n</w:t>
      </w:r>
      <w:r w:rsidR="0022776B" w:rsidRPr="00976BFF">
        <w:rPr>
          <w:lang w:val="es-ES_tradnl"/>
        </w:rPr>
        <w:t xml:space="preserve">acional incluye los “corredores internacionales” dentro del territorio nacional </w:t>
      </w:r>
      <w:r w:rsidR="001535B3" w:rsidRPr="00976BFF">
        <w:rPr>
          <w:lang w:val="es-ES_tradnl"/>
        </w:rPr>
        <w:t xml:space="preserve">(2452 </w:t>
      </w:r>
      <w:r w:rsidR="001F6651">
        <w:rPr>
          <w:lang w:val="es-ES_tradnl"/>
        </w:rPr>
        <w:t>kilómetros</w:t>
      </w:r>
      <w:r w:rsidR="001535B3" w:rsidRPr="00976BFF">
        <w:rPr>
          <w:lang w:val="es-ES_tradnl"/>
        </w:rPr>
        <w:t xml:space="preserve">), </w:t>
      </w:r>
      <w:r w:rsidR="0022776B" w:rsidRPr="00976BFF">
        <w:rPr>
          <w:lang w:val="es-ES_tradnl"/>
        </w:rPr>
        <w:t xml:space="preserve">la red primaria </w:t>
      </w:r>
      <w:r w:rsidR="001535B3" w:rsidRPr="00976BFF">
        <w:rPr>
          <w:lang w:val="es-ES_tradnl"/>
        </w:rPr>
        <w:t xml:space="preserve">(1512 </w:t>
      </w:r>
      <w:r w:rsidR="001F6651">
        <w:rPr>
          <w:lang w:val="es-ES_tradnl"/>
        </w:rPr>
        <w:t>kilómetros</w:t>
      </w:r>
      <w:r w:rsidR="001535B3" w:rsidRPr="00976BFF">
        <w:rPr>
          <w:lang w:val="es-ES_tradnl"/>
        </w:rPr>
        <w:t xml:space="preserve">), </w:t>
      </w:r>
      <w:r w:rsidR="0022776B" w:rsidRPr="00976BFF">
        <w:rPr>
          <w:lang w:val="es-ES_tradnl"/>
        </w:rPr>
        <w:t>la red secundaria</w:t>
      </w:r>
      <w:r w:rsidR="001535B3" w:rsidRPr="00976BFF">
        <w:rPr>
          <w:lang w:val="es-ES_tradnl"/>
        </w:rPr>
        <w:t xml:space="preserve"> (3816 </w:t>
      </w:r>
      <w:r w:rsidR="001F6651">
        <w:rPr>
          <w:lang w:val="es-ES_tradnl"/>
        </w:rPr>
        <w:t>kilómetros</w:t>
      </w:r>
      <w:r w:rsidR="001535B3" w:rsidRPr="00976BFF">
        <w:rPr>
          <w:lang w:val="es-ES_tradnl"/>
        </w:rPr>
        <w:t>)</w:t>
      </w:r>
      <w:r w:rsidR="003B25B5" w:rsidRPr="00976BFF">
        <w:rPr>
          <w:lang w:val="es-ES_tradnl"/>
        </w:rPr>
        <w:t>,</w:t>
      </w:r>
      <w:r w:rsidR="001535B3" w:rsidRPr="00976BFF">
        <w:rPr>
          <w:lang w:val="es-ES_tradnl"/>
        </w:rPr>
        <w:t xml:space="preserve"> </w:t>
      </w:r>
      <w:r w:rsidR="0022776B" w:rsidRPr="00976BFF">
        <w:rPr>
          <w:lang w:val="es-ES_tradnl"/>
        </w:rPr>
        <w:t>y la red terciaria</w:t>
      </w:r>
      <w:r w:rsidR="001C47AE">
        <w:rPr>
          <w:lang w:val="es-ES_tradnl"/>
        </w:rPr>
        <w:t xml:space="preserve"> (1005 </w:t>
      </w:r>
      <w:r w:rsidR="001F6651">
        <w:rPr>
          <w:lang w:val="es-ES_tradnl"/>
        </w:rPr>
        <w:t>kilómetros</w:t>
      </w:r>
      <w:r w:rsidR="001C47AE">
        <w:rPr>
          <w:lang w:val="es-ES_tradnl"/>
        </w:rPr>
        <w:t>).</w:t>
      </w:r>
      <w:r w:rsidR="00F07694" w:rsidRPr="00976BFF">
        <w:rPr>
          <w:lang w:val="es-ES_tradnl"/>
        </w:rPr>
        <w:t xml:space="preserve"> Aproximadamente el 90% de la </w:t>
      </w:r>
      <w:r w:rsidR="00834929" w:rsidRPr="00976BFF">
        <w:rPr>
          <w:lang w:val="es-ES_tradnl"/>
        </w:rPr>
        <w:t>r</w:t>
      </w:r>
      <w:r w:rsidR="00F07694" w:rsidRPr="00976BFF">
        <w:rPr>
          <w:lang w:val="es-ES_tradnl"/>
        </w:rPr>
        <w:t xml:space="preserve">ed </w:t>
      </w:r>
      <w:r w:rsidR="00834929" w:rsidRPr="00976BFF">
        <w:rPr>
          <w:lang w:val="es-ES_tradnl"/>
        </w:rPr>
        <w:t>vial n</w:t>
      </w:r>
      <w:r w:rsidR="00F07694" w:rsidRPr="00976BFF">
        <w:rPr>
          <w:lang w:val="es-ES_tradnl"/>
        </w:rPr>
        <w:t xml:space="preserve">acional está </w:t>
      </w:r>
      <w:r w:rsidR="009914EF" w:rsidRPr="006D29B7">
        <w:rPr>
          <w:lang w:val="es-ES_tradnl"/>
        </w:rPr>
        <w:t>pavimentado</w:t>
      </w:r>
      <w:r w:rsidR="00F07694" w:rsidRPr="006D29B7">
        <w:rPr>
          <w:lang w:val="es-ES_tradnl"/>
        </w:rPr>
        <w:t>.</w:t>
      </w:r>
      <w:r w:rsidR="00F07694" w:rsidRPr="00976BFF">
        <w:rPr>
          <w:lang w:val="es-ES_tradnl"/>
        </w:rPr>
        <w:t xml:space="preserve"> El tráfico más importante circula por los corredores internacionales y la red primaria. Durante los últimos cinco años, el tráfico de los corredores internacionales ha aumentado en forma constante, a una tasa </w:t>
      </w:r>
      <w:r w:rsidR="009914EF" w:rsidRPr="00976BFF">
        <w:rPr>
          <w:lang w:val="es-ES_tradnl"/>
        </w:rPr>
        <w:t>anual</w:t>
      </w:r>
      <w:r w:rsidR="00F07694" w:rsidRPr="00976BFF">
        <w:rPr>
          <w:lang w:val="es-ES_tradnl"/>
        </w:rPr>
        <w:t xml:space="preserve"> media del 5%. Además de la </w:t>
      </w:r>
      <w:r w:rsidR="00834929" w:rsidRPr="00976BFF">
        <w:rPr>
          <w:lang w:val="es-ES_tradnl"/>
        </w:rPr>
        <w:t>r</w:t>
      </w:r>
      <w:r w:rsidR="00F07694" w:rsidRPr="00976BFF">
        <w:rPr>
          <w:lang w:val="es-ES_tradnl"/>
        </w:rPr>
        <w:t xml:space="preserve">ed </w:t>
      </w:r>
      <w:r w:rsidR="00834929" w:rsidRPr="00976BFF">
        <w:rPr>
          <w:lang w:val="es-ES_tradnl"/>
        </w:rPr>
        <w:t>vial n</w:t>
      </w:r>
      <w:r w:rsidR="00F07694" w:rsidRPr="00976BFF">
        <w:rPr>
          <w:lang w:val="es-ES_tradnl"/>
        </w:rPr>
        <w:t xml:space="preserve">acional, Uruguay tiene alrededor de </w:t>
      </w:r>
      <w:r w:rsidR="001535B3" w:rsidRPr="00976BFF">
        <w:rPr>
          <w:lang w:val="es-ES_tradnl"/>
        </w:rPr>
        <w:t>51</w:t>
      </w:r>
      <w:r w:rsidR="00F07694" w:rsidRPr="00976BFF">
        <w:rPr>
          <w:lang w:val="es-ES_tradnl"/>
        </w:rPr>
        <w:t> </w:t>
      </w:r>
      <w:r w:rsidR="001535B3" w:rsidRPr="00976BFF">
        <w:rPr>
          <w:lang w:val="es-ES_tradnl"/>
        </w:rPr>
        <w:t xml:space="preserve">000 </w:t>
      </w:r>
      <w:r w:rsidR="001F6651">
        <w:rPr>
          <w:lang w:val="es-ES_tradnl"/>
        </w:rPr>
        <w:t>kilómetros</w:t>
      </w:r>
      <w:r w:rsidR="001535B3" w:rsidRPr="00976BFF">
        <w:rPr>
          <w:lang w:val="es-ES_tradnl"/>
        </w:rPr>
        <w:t xml:space="preserve"> </w:t>
      </w:r>
      <w:r w:rsidR="00F07694" w:rsidRPr="00976BFF">
        <w:rPr>
          <w:lang w:val="es-ES_tradnl"/>
        </w:rPr>
        <w:t>de caminos departamentales, gestionados a nivel subnacional (</w:t>
      </w:r>
      <w:r w:rsidR="00576D78">
        <w:rPr>
          <w:lang w:val="es-ES_tradnl"/>
        </w:rPr>
        <w:t>d</w:t>
      </w:r>
      <w:r w:rsidR="00576D78" w:rsidRPr="00976BFF">
        <w:rPr>
          <w:lang w:val="es-ES_tradnl"/>
        </w:rPr>
        <w:t>epartamentos</w:t>
      </w:r>
      <w:r w:rsidR="00F07694" w:rsidRPr="00976BFF">
        <w:rPr>
          <w:lang w:val="es-ES_tradnl"/>
        </w:rPr>
        <w:t>). La mayor parte de esta red de caminos</w:t>
      </w:r>
      <w:r w:rsidR="006D44FB">
        <w:rPr>
          <w:lang w:val="es-ES_tradnl"/>
        </w:rPr>
        <w:t xml:space="preserve"> con bajo nivel de tráfico</w:t>
      </w:r>
      <w:r w:rsidR="00F07694" w:rsidRPr="00976BFF">
        <w:rPr>
          <w:lang w:val="es-ES_tradnl"/>
        </w:rPr>
        <w:t xml:space="preserve"> no está pavimentada:</w:t>
      </w:r>
      <w:r w:rsidR="00A70957" w:rsidRPr="00976BFF">
        <w:rPr>
          <w:lang w:val="es-ES_tradnl"/>
        </w:rPr>
        <w:t xml:space="preserve"> tan solo el 8% está pavimentado, el </w:t>
      </w:r>
      <w:r w:rsidR="001535B3" w:rsidRPr="00976BFF">
        <w:rPr>
          <w:lang w:val="es-ES_tradnl"/>
        </w:rPr>
        <w:t>65</w:t>
      </w:r>
      <w:r w:rsidR="00A70957" w:rsidRPr="00976BFF">
        <w:rPr>
          <w:lang w:val="es-ES_tradnl"/>
        </w:rPr>
        <w:t>% de</w:t>
      </w:r>
      <w:r w:rsidR="007277E6" w:rsidRPr="00976BFF">
        <w:rPr>
          <w:lang w:val="es-ES_tradnl"/>
        </w:rPr>
        <w:t xml:space="preserve"> la red son</w:t>
      </w:r>
      <w:r w:rsidR="00A70957" w:rsidRPr="00976BFF">
        <w:rPr>
          <w:lang w:val="es-ES_tradnl"/>
        </w:rPr>
        <w:t xml:space="preserve"> caminos de ripio </w:t>
      </w:r>
      <w:r w:rsidR="007277E6" w:rsidRPr="00976BFF">
        <w:rPr>
          <w:lang w:val="es-ES_tradnl"/>
        </w:rPr>
        <w:t>por los que se puede circular todo el año y el 27% son caminos de tierra. Dado que los patrones de desplazamiento han variado considerablemente des</w:t>
      </w:r>
      <w:r w:rsidR="006D44FB">
        <w:rPr>
          <w:lang w:val="es-ES_tradnl"/>
        </w:rPr>
        <w:t>d</w:t>
      </w:r>
      <w:r w:rsidR="007277E6" w:rsidRPr="00976BFF">
        <w:rPr>
          <w:lang w:val="es-ES_tradnl"/>
        </w:rPr>
        <w:t xml:space="preserve">e que se realizó la clasificación original de la </w:t>
      </w:r>
      <w:r w:rsidR="00834929" w:rsidRPr="00976BFF">
        <w:rPr>
          <w:lang w:val="es-ES_tradnl"/>
        </w:rPr>
        <w:t>r</w:t>
      </w:r>
      <w:r w:rsidR="007277E6" w:rsidRPr="00976BFF">
        <w:rPr>
          <w:lang w:val="es-ES_tradnl"/>
        </w:rPr>
        <w:t xml:space="preserve">ed </w:t>
      </w:r>
      <w:r w:rsidR="00834929" w:rsidRPr="00976BFF">
        <w:rPr>
          <w:lang w:val="es-ES_tradnl"/>
        </w:rPr>
        <w:t>vial n</w:t>
      </w:r>
      <w:r w:rsidR="007277E6" w:rsidRPr="00976BFF">
        <w:rPr>
          <w:lang w:val="es-ES_tradnl"/>
        </w:rPr>
        <w:t xml:space="preserve">acional, su reclasificación </w:t>
      </w:r>
      <w:r w:rsidR="00576D78">
        <w:rPr>
          <w:lang w:val="es-ES_tradnl"/>
        </w:rPr>
        <w:t>es prioritaria</w:t>
      </w:r>
      <w:r w:rsidR="00E53265" w:rsidRPr="00976BFF">
        <w:rPr>
          <w:lang w:val="es-ES_tradnl"/>
        </w:rPr>
        <w:t>.</w:t>
      </w:r>
    </w:p>
    <w:p w:rsidR="0007594F" w:rsidRPr="00976BFF" w:rsidRDefault="007277E6" w:rsidP="00625FD2">
      <w:pPr>
        <w:pStyle w:val="MainPara"/>
        <w:rPr>
          <w:lang w:val="es-ES_tradnl"/>
        </w:rPr>
      </w:pPr>
      <w:r w:rsidRPr="00976BFF">
        <w:rPr>
          <w:lang w:val="es-ES_tradnl"/>
        </w:rPr>
        <w:t xml:space="preserve">De cara al futuro, el objetivo del sector vial consiste en mantener la calidad de la </w:t>
      </w:r>
      <w:r w:rsidR="00834929" w:rsidRPr="00976BFF">
        <w:rPr>
          <w:lang w:val="es-ES_tradnl"/>
        </w:rPr>
        <w:t>r</w:t>
      </w:r>
      <w:r w:rsidRPr="00976BFF">
        <w:rPr>
          <w:lang w:val="es-ES_tradnl"/>
        </w:rPr>
        <w:t xml:space="preserve">ed </w:t>
      </w:r>
      <w:r w:rsidR="00834929" w:rsidRPr="00976BFF">
        <w:rPr>
          <w:lang w:val="es-ES_tradnl"/>
        </w:rPr>
        <w:t>vial na</w:t>
      </w:r>
      <w:r w:rsidRPr="00976BFF">
        <w:rPr>
          <w:lang w:val="es-ES_tradnl"/>
        </w:rPr>
        <w:t xml:space="preserve">cional. El estado general de esta red se ha deteriorado en </w:t>
      </w:r>
      <w:r w:rsidR="009914EF" w:rsidRPr="00976BFF">
        <w:rPr>
          <w:lang w:val="es-ES_tradnl"/>
        </w:rPr>
        <w:t>los últimos años</w:t>
      </w:r>
      <w:r w:rsidRPr="00976BFF">
        <w:rPr>
          <w:lang w:val="es-ES_tradnl"/>
        </w:rPr>
        <w:t xml:space="preserve">: mientras que el 60% estaba en buenas o muy buenas condiciones en 2004, tan solo el 42% estaba en </w:t>
      </w:r>
      <w:r w:rsidR="00AB27DC">
        <w:rPr>
          <w:lang w:val="es-ES_tradnl"/>
        </w:rPr>
        <w:t>esas</w:t>
      </w:r>
      <w:r w:rsidRPr="00976BFF">
        <w:rPr>
          <w:lang w:val="es-ES_tradnl"/>
        </w:rPr>
        <w:t xml:space="preserve"> condiciones en 2011. E</w:t>
      </w:r>
      <w:r w:rsidR="00AB27DC">
        <w:rPr>
          <w:lang w:val="es-ES_tradnl"/>
        </w:rPr>
        <w:t xml:space="preserve">ste panorama general </w:t>
      </w:r>
      <w:r w:rsidR="00016E01">
        <w:rPr>
          <w:lang w:val="es-ES_tradnl"/>
        </w:rPr>
        <w:t>abarca</w:t>
      </w:r>
      <w:r w:rsidR="00AB27DC">
        <w:rPr>
          <w:lang w:val="es-ES_tradnl"/>
        </w:rPr>
        <w:t>, e</w:t>
      </w:r>
      <w:r w:rsidRPr="00976BFF">
        <w:rPr>
          <w:lang w:val="es-ES_tradnl"/>
        </w:rPr>
        <w:t xml:space="preserve">n realidad, </w:t>
      </w:r>
      <w:r w:rsidR="00016E01">
        <w:rPr>
          <w:lang w:val="es-ES_tradnl"/>
        </w:rPr>
        <w:t>mejoras en</w:t>
      </w:r>
      <w:r w:rsidR="00A568E4" w:rsidRPr="00976BFF">
        <w:rPr>
          <w:lang w:val="es-ES_tradnl"/>
        </w:rPr>
        <w:t xml:space="preserve"> los corredores internacionales y la </w:t>
      </w:r>
      <w:r w:rsidR="009914EF" w:rsidRPr="00976BFF">
        <w:rPr>
          <w:lang w:val="es-ES_tradnl"/>
        </w:rPr>
        <w:t>red</w:t>
      </w:r>
      <w:r w:rsidR="00A568E4" w:rsidRPr="00976BFF">
        <w:rPr>
          <w:lang w:val="es-ES_tradnl"/>
        </w:rPr>
        <w:t xml:space="preserve"> primaria y </w:t>
      </w:r>
      <w:r w:rsidR="00016E01">
        <w:rPr>
          <w:lang w:val="es-ES_tradnl"/>
        </w:rPr>
        <w:t>un</w:t>
      </w:r>
      <w:r w:rsidR="00A568E4" w:rsidRPr="00976BFF">
        <w:rPr>
          <w:lang w:val="es-ES_tradnl"/>
        </w:rPr>
        <w:t xml:space="preserve"> deterioro de las redes secundaria y terciaria</w:t>
      </w:r>
      <w:r w:rsidR="000933F3" w:rsidRPr="00976BFF">
        <w:rPr>
          <w:lang w:val="es-ES_tradnl"/>
        </w:rPr>
        <w:t>.</w:t>
      </w:r>
    </w:p>
    <w:p w:rsidR="00A55BFB" w:rsidRPr="00976BFF" w:rsidRDefault="00A568E4" w:rsidP="00625FD2">
      <w:pPr>
        <w:pStyle w:val="MainPara"/>
        <w:rPr>
          <w:lang w:val="es-ES_tradnl"/>
        </w:rPr>
      </w:pPr>
      <w:r w:rsidRPr="00976BFF">
        <w:rPr>
          <w:lang w:val="es-ES_tradnl"/>
        </w:rPr>
        <w:t xml:space="preserve">Este estado general de la </w:t>
      </w:r>
      <w:r w:rsidR="00834929" w:rsidRPr="00976BFF">
        <w:rPr>
          <w:lang w:val="es-ES_tradnl"/>
        </w:rPr>
        <w:t>r</w:t>
      </w:r>
      <w:r w:rsidRPr="00976BFF">
        <w:rPr>
          <w:lang w:val="es-ES_tradnl"/>
        </w:rPr>
        <w:t xml:space="preserve">ed </w:t>
      </w:r>
      <w:r w:rsidR="00834929" w:rsidRPr="00976BFF">
        <w:rPr>
          <w:lang w:val="es-ES_tradnl"/>
        </w:rPr>
        <w:t>vial n</w:t>
      </w:r>
      <w:r w:rsidRPr="00976BFF">
        <w:rPr>
          <w:lang w:val="es-ES_tradnl"/>
        </w:rPr>
        <w:t xml:space="preserve">acional obedece a tres grandes factores: primero y principalmente, la crisis financiera de 2002 —durante la cual se recortaron casi todos los presupuestos destinados a rehabilitación y mantenimiento vial— generó un gran volumen de trabajo de rehabilitación atrasado. Estos atrasos tuvieron dos importantes impactos: i) </w:t>
      </w:r>
      <w:r w:rsidR="00C41F1D" w:rsidRPr="00976BFF">
        <w:rPr>
          <w:lang w:val="es-ES_tradnl"/>
        </w:rPr>
        <w:t xml:space="preserve">los síntomas críticos de deterioro del pavimento no se observan hasta que ha transcurrido algún tiempo, por lo cual el deterioro que se registró en los últimos años es consecuencia, en parte, del trabajo de mantenimiento que no se realizó en la década </w:t>
      </w:r>
      <w:r w:rsidR="00C41F1D" w:rsidRPr="006D29B7">
        <w:rPr>
          <w:lang w:val="es-ES_tradnl"/>
        </w:rPr>
        <w:t>de</w:t>
      </w:r>
      <w:r w:rsidR="00C41F1D" w:rsidRPr="00976BFF">
        <w:rPr>
          <w:lang w:val="es-ES_tradnl"/>
        </w:rPr>
        <w:t xml:space="preserve"> 2000, y ii) a raíz del aplazamiento de los trabajos de mantenimiento, fue preciso adoptar soluciones de rehabilitación más onerosas, dado que el pavimento se deteriora de manera exponencial con el tiempo. </w:t>
      </w:r>
      <w:r w:rsidR="00993C87" w:rsidRPr="00976BFF">
        <w:rPr>
          <w:lang w:val="es-ES_tradnl"/>
        </w:rPr>
        <w:t xml:space="preserve">Segundo, Uruguay afronta problemas de </w:t>
      </w:r>
      <w:r w:rsidR="009914EF" w:rsidRPr="00976BFF">
        <w:rPr>
          <w:lang w:val="es-ES_tradnl"/>
        </w:rPr>
        <w:t>enve</w:t>
      </w:r>
      <w:r w:rsidR="009914EF">
        <w:rPr>
          <w:lang w:val="es-ES_tradnl"/>
        </w:rPr>
        <w:t>je</w:t>
      </w:r>
      <w:r w:rsidR="009914EF" w:rsidRPr="00976BFF">
        <w:rPr>
          <w:lang w:val="es-ES_tradnl"/>
        </w:rPr>
        <w:t>cimiento</w:t>
      </w:r>
      <w:r w:rsidR="00993C87" w:rsidRPr="00976BFF">
        <w:rPr>
          <w:lang w:val="es-ES_tradnl"/>
        </w:rPr>
        <w:t xml:space="preserve"> de los caminos. La mayor parte de la </w:t>
      </w:r>
      <w:r w:rsidR="00834929" w:rsidRPr="00976BFF">
        <w:rPr>
          <w:lang w:val="es-ES_tradnl"/>
        </w:rPr>
        <w:t>r</w:t>
      </w:r>
      <w:r w:rsidR="00993C87" w:rsidRPr="00976BFF">
        <w:rPr>
          <w:lang w:val="es-ES_tradnl"/>
        </w:rPr>
        <w:t xml:space="preserve">ed </w:t>
      </w:r>
      <w:r w:rsidR="00834929" w:rsidRPr="00976BFF">
        <w:rPr>
          <w:lang w:val="es-ES_tradnl"/>
        </w:rPr>
        <w:t>vial n</w:t>
      </w:r>
      <w:r w:rsidR="00993C87" w:rsidRPr="00976BFF">
        <w:rPr>
          <w:lang w:val="es-ES_tradnl"/>
        </w:rPr>
        <w:t xml:space="preserve">acional se construyó en la primera mitad del siglo </w:t>
      </w:r>
      <w:r w:rsidR="00993C87" w:rsidRPr="00976BFF">
        <w:rPr>
          <w:smallCaps/>
          <w:lang w:val="es-ES_tradnl"/>
        </w:rPr>
        <w:t>xx</w:t>
      </w:r>
      <w:r w:rsidR="00993C87" w:rsidRPr="00976BFF">
        <w:rPr>
          <w:lang w:val="es-ES_tradnl"/>
        </w:rPr>
        <w:t>.</w:t>
      </w:r>
      <w:r w:rsidR="00C41F1D" w:rsidRPr="00976BFF">
        <w:rPr>
          <w:lang w:val="es-ES_tradnl"/>
        </w:rPr>
        <w:t xml:space="preserve"> </w:t>
      </w:r>
      <w:r w:rsidR="00993C87" w:rsidRPr="00976BFF">
        <w:rPr>
          <w:lang w:val="es-ES_tradnl"/>
        </w:rPr>
        <w:t xml:space="preserve">El pavimento de las rutas se aproxima al final de su vida útil y se deteriora rápidamente, por lo cual se requieren soluciones de rehabilitación o reconstrucción más onerosas. Tercero, la recuperación de la economía a partir de 2004 ha conllevado un marcado aumento del transporte de carga por vía terrestre; el impacto de este aumento del tráfico de camiones en las rutas se ha agravado debido al aumento simultáneo de la carga </w:t>
      </w:r>
      <w:r w:rsidR="00A85267" w:rsidRPr="00976BFF">
        <w:rPr>
          <w:lang w:val="es-ES_tradnl"/>
        </w:rPr>
        <w:t>por</w:t>
      </w:r>
      <w:r w:rsidR="00993C87" w:rsidRPr="00976BFF">
        <w:rPr>
          <w:lang w:val="es-ES_tradnl"/>
        </w:rPr>
        <w:t xml:space="preserve"> ejes de la unidad media, con el consiguiente incremento de la presión sobre las superficies envejecidas de los caminos</w:t>
      </w:r>
      <w:r w:rsidR="009914EF" w:rsidRPr="00976BFF">
        <w:rPr>
          <w:lang w:val="es-ES_tradnl"/>
        </w:rPr>
        <w:t>.</w:t>
      </w:r>
    </w:p>
    <w:p w:rsidR="0007594F" w:rsidRPr="00976BFF" w:rsidRDefault="00CB6E9D" w:rsidP="00A22658">
      <w:pPr>
        <w:pStyle w:val="MainPara"/>
        <w:autoSpaceDE w:val="0"/>
        <w:rPr>
          <w:lang w:val="es-ES_tradnl"/>
        </w:rPr>
      </w:pPr>
      <w:r w:rsidRPr="00976BFF">
        <w:rPr>
          <w:lang w:val="es-ES_tradnl"/>
        </w:rPr>
        <w:t xml:space="preserve">El Gobierno de la República Oriental del </w:t>
      </w:r>
      <w:r w:rsidR="00F74BC1" w:rsidRPr="00976BFF">
        <w:rPr>
          <w:lang w:val="es-ES_tradnl"/>
        </w:rPr>
        <w:t xml:space="preserve">Uruguay </w:t>
      </w:r>
      <w:r w:rsidR="00D3613F" w:rsidRPr="00976BFF">
        <w:rPr>
          <w:lang w:val="es-ES_tradnl"/>
        </w:rPr>
        <w:t>ha</w:t>
      </w:r>
      <w:r w:rsidRPr="00976BFF">
        <w:rPr>
          <w:lang w:val="es-ES_tradnl"/>
        </w:rPr>
        <w:t xml:space="preserve"> adoptado medidas cruciales para abordar estas cuestiones. Uruguay creó </w:t>
      </w:r>
      <w:r w:rsidR="00053785" w:rsidRPr="00976BFF">
        <w:rPr>
          <w:lang w:val="es-ES_tradnl"/>
        </w:rPr>
        <w:t xml:space="preserve">la empresa </w:t>
      </w:r>
      <w:r w:rsidR="009914EF" w:rsidRPr="00976BFF">
        <w:rPr>
          <w:lang w:val="es-ES_tradnl"/>
        </w:rPr>
        <w:t>Corporación</w:t>
      </w:r>
      <w:r w:rsidR="0097282A" w:rsidRPr="00976BFF">
        <w:rPr>
          <w:lang w:val="es-ES_tradnl"/>
        </w:rPr>
        <w:t xml:space="preserve"> Vial del Uruguay (CVU), </w:t>
      </w:r>
      <w:r w:rsidR="00CC457B" w:rsidRPr="00976BFF">
        <w:rPr>
          <w:lang w:val="es-ES_tradnl"/>
        </w:rPr>
        <w:t xml:space="preserve">una empresa concesionaria de obra pública constituida para obtener financiamiento (con respaldo en los ingresos por peajes) y </w:t>
      </w:r>
      <w:r w:rsidR="009D0D38">
        <w:rPr>
          <w:lang w:val="es-ES_tradnl"/>
        </w:rPr>
        <w:t>acrecentar</w:t>
      </w:r>
      <w:r w:rsidR="00CC457B" w:rsidRPr="00976BFF">
        <w:rPr>
          <w:lang w:val="es-ES_tradnl"/>
        </w:rPr>
        <w:t xml:space="preserve"> la eficiencia de la gestión vial.</w:t>
      </w:r>
      <w:r w:rsidR="00575869" w:rsidRPr="00976BFF">
        <w:rPr>
          <w:lang w:val="es-ES_tradnl"/>
        </w:rPr>
        <w:t xml:space="preserve"> CVU administra alrededor de </w:t>
      </w:r>
      <w:r w:rsidR="00696073" w:rsidRPr="00976BFF">
        <w:rPr>
          <w:lang w:val="es-ES_tradnl"/>
        </w:rPr>
        <w:t xml:space="preserve">1600 </w:t>
      </w:r>
      <w:r w:rsidR="001F6651">
        <w:rPr>
          <w:lang w:val="es-ES_tradnl"/>
        </w:rPr>
        <w:t>kilómetros</w:t>
      </w:r>
      <w:r w:rsidR="00575869" w:rsidRPr="00976BFF">
        <w:rPr>
          <w:lang w:val="es-ES_tradnl"/>
        </w:rPr>
        <w:t xml:space="preserve"> de los corredores internacionales y la red primaria del país y su intervención ha </w:t>
      </w:r>
      <w:r w:rsidR="00575869" w:rsidRPr="00976BFF">
        <w:rPr>
          <w:lang w:val="es-ES_tradnl"/>
        </w:rPr>
        <w:lastRenderedPageBreak/>
        <w:t xml:space="preserve">sido crucial para mejorar la </w:t>
      </w:r>
      <w:r w:rsidR="00575869" w:rsidRPr="00766354">
        <w:rPr>
          <w:lang w:val="es-ES_tradnl"/>
        </w:rPr>
        <w:t>red vial</w:t>
      </w:r>
      <w:r w:rsidR="00766354">
        <w:rPr>
          <w:lang w:val="es-ES_tradnl"/>
        </w:rPr>
        <w:t xml:space="preserve"> </w:t>
      </w:r>
      <w:r w:rsidR="00766354" w:rsidRPr="00766354">
        <w:rPr>
          <w:lang w:val="es-ES_tradnl"/>
        </w:rPr>
        <w:t>principal</w:t>
      </w:r>
      <w:r w:rsidR="00575869" w:rsidRPr="00976BFF">
        <w:rPr>
          <w:lang w:val="es-ES_tradnl"/>
        </w:rPr>
        <w:t xml:space="preserve">. El financiamiento público para el sector de infraestructura vial </w:t>
      </w:r>
      <w:r w:rsidR="009D0D38">
        <w:rPr>
          <w:lang w:val="es-ES_tradnl"/>
        </w:rPr>
        <w:t xml:space="preserve">se </w:t>
      </w:r>
      <w:r w:rsidR="00575869" w:rsidRPr="00976BFF">
        <w:rPr>
          <w:lang w:val="es-ES_tradnl"/>
        </w:rPr>
        <w:t xml:space="preserve">ha </w:t>
      </w:r>
      <w:r w:rsidR="009D0D38">
        <w:rPr>
          <w:lang w:val="es-ES_tradnl"/>
        </w:rPr>
        <w:t>incrementado</w:t>
      </w:r>
      <w:r w:rsidR="00575869" w:rsidRPr="00976BFF">
        <w:rPr>
          <w:lang w:val="es-ES_tradnl"/>
        </w:rPr>
        <w:t xml:space="preserve"> considerablemente, de unos </w:t>
      </w:r>
      <w:r w:rsidR="00BB21FC" w:rsidRPr="00976BFF">
        <w:rPr>
          <w:lang w:val="es-ES_tradnl"/>
        </w:rPr>
        <w:t>US$80 millon</w:t>
      </w:r>
      <w:r w:rsidR="00575869" w:rsidRPr="00976BFF">
        <w:rPr>
          <w:lang w:val="es-ES_tradnl"/>
        </w:rPr>
        <w:t>es</w:t>
      </w:r>
      <w:r w:rsidR="00BB21FC" w:rsidRPr="00976BFF">
        <w:rPr>
          <w:lang w:val="es-ES_tradnl"/>
        </w:rPr>
        <w:t xml:space="preserve"> </w:t>
      </w:r>
      <w:r w:rsidR="00575869" w:rsidRPr="00976BFF">
        <w:rPr>
          <w:lang w:val="es-ES_tradnl"/>
        </w:rPr>
        <w:t>e</w:t>
      </w:r>
      <w:r w:rsidR="00BB21FC" w:rsidRPr="00976BFF">
        <w:rPr>
          <w:lang w:val="es-ES_tradnl"/>
        </w:rPr>
        <w:t>n</w:t>
      </w:r>
      <w:r w:rsidR="00FC748B" w:rsidRPr="00976BFF">
        <w:rPr>
          <w:lang w:val="es-ES_tradnl"/>
        </w:rPr>
        <w:t xml:space="preserve"> 2006</w:t>
      </w:r>
      <w:r w:rsidR="00BB21FC" w:rsidRPr="00976BFF">
        <w:rPr>
          <w:lang w:val="es-ES_tradnl"/>
        </w:rPr>
        <w:t xml:space="preserve"> </w:t>
      </w:r>
      <w:r w:rsidR="00575869" w:rsidRPr="00976BFF">
        <w:rPr>
          <w:lang w:val="es-ES_tradnl"/>
        </w:rPr>
        <w:t xml:space="preserve">a alrededor de </w:t>
      </w:r>
      <w:r w:rsidR="00BB21FC" w:rsidRPr="00976BFF">
        <w:rPr>
          <w:lang w:val="es-ES_tradnl"/>
        </w:rPr>
        <w:t>US$140 millon</w:t>
      </w:r>
      <w:r w:rsidR="00575869" w:rsidRPr="00976BFF">
        <w:rPr>
          <w:lang w:val="es-ES_tradnl"/>
        </w:rPr>
        <w:t>es</w:t>
      </w:r>
      <w:r w:rsidR="00BB21FC" w:rsidRPr="00976BFF">
        <w:rPr>
          <w:lang w:val="es-ES_tradnl"/>
        </w:rPr>
        <w:t xml:space="preserve"> </w:t>
      </w:r>
      <w:r w:rsidR="00575869" w:rsidRPr="00976BFF">
        <w:rPr>
          <w:lang w:val="es-ES_tradnl"/>
        </w:rPr>
        <w:t>e</w:t>
      </w:r>
      <w:r w:rsidR="00BB21FC" w:rsidRPr="00976BFF">
        <w:rPr>
          <w:lang w:val="es-ES_tradnl"/>
        </w:rPr>
        <w:t>n 2011</w:t>
      </w:r>
      <w:r w:rsidR="00DD0BDB" w:rsidRPr="00976BFF">
        <w:rPr>
          <w:lang w:val="es-ES_tradnl"/>
        </w:rPr>
        <w:t xml:space="preserve"> </w:t>
      </w:r>
      <w:r w:rsidR="00C70F13" w:rsidRPr="00976BFF">
        <w:rPr>
          <w:lang w:val="es-ES_tradnl"/>
        </w:rPr>
        <w:t>(</w:t>
      </w:r>
      <w:r w:rsidR="00575869" w:rsidRPr="00976BFF">
        <w:rPr>
          <w:lang w:val="es-ES_tradnl"/>
        </w:rPr>
        <w:t>valor nominal</w:t>
      </w:r>
      <w:r w:rsidR="00BB21FC" w:rsidRPr="00976BFF">
        <w:rPr>
          <w:lang w:val="es-ES_tradnl"/>
        </w:rPr>
        <w:t xml:space="preserve">), </w:t>
      </w:r>
      <w:r w:rsidR="00575869" w:rsidRPr="00976BFF">
        <w:rPr>
          <w:lang w:val="es-ES_tradnl"/>
        </w:rPr>
        <w:t>situándose nuevamente en los niveles anteriores a la crisis. Durante este período</w:t>
      </w:r>
      <w:r w:rsidR="00C247D7">
        <w:rPr>
          <w:lang w:val="es-ES_tradnl"/>
        </w:rPr>
        <w:t>,</w:t>
      </w:r>
      <w:r w:rsidR="00575869" w:rsidRPr="00976BFF">
        <w:rPr>
          <w:lang w:val="es-ES_tradnl"/>
        </w:rPr>
        <w:t xml:space="preserve"> el Gobierno de Uruguay utilizó varios préstamos de instituciones financieras internacionales, incluido el Banco Mundial</w:t>
      </w:r>
      <w:r w:rsidR="00917488" w:rsidRPr="00976BFF">
        <w:rPr>
          <w:rStyle w:val="FootnoteReference"/>
          <w:lang w:val="es-ES_tradnl"/>
        </w:rPr>
        <w:footnoteReference w:id="4"/>
      </w:r>
      <w:r w:rsidR="008E4329" w:rsidRPr="00976BFF">
        <w:rPr>
          <w:lang w:val="es-ES_tradnl"/>
        </w:rPr>
        <w:t xml:space="preserve">, </w:t>
      </w:r>
      <w:r w:rsidR="0029334A" w:rsidRPr="00976BFF">
        <w:rPr>
          <w:lang w:val="es-ES_tradnl"/>
        </w:rPr>
        <w:t xml:space="preserve">para respaldar obras de rehabilitación y mantenimiento vial. No obstante, la elevada inflación en el sector de </w:t>
      </w:r>
      <w:r w:rsidR="00576D78">
        <w:rPr>
          <w:lang w:val="es-ES_tradnl"/>
        </w:rPr>
        <w:t xml:space="preserve">la </w:t>
      </w:r>
      <w:r w:rsidR="0029334A" w:rsidRPr="00976BFF">
        <w:rPr>
          <w:lang w:val="es-ES_tradnl"/>
        </w:rPr>
        <w:t xml:space="preserve">construcción —a raíz de la recuperación económica— neutralizó gran parte de este aumento del financiamiento. </w:t>
      </w:r>
      <w:r w:rsidR="004A6ADD" w:rsidRPr="00976BFF">
        <w:rPr>
          <w:lang w:val="es-ES_tradnl"/>
        </w:rPr>
        <w:t xml:space="preserve">Esta inflación se agravó debido al </w:t>
      </w:r>
      <w:r w:rsidR="009D0D38">
        <w:rPr>
          <w:lang w:val="es-ES_tradnl"/>
        </w:rPr>
        <w:t>alza</w:t>
      </w:r>
      <w:r w:rsidR="004A6ADD" w:rsidRPr="00976BFF">
        <w:rPr>
          <w:lang w:val="es-ES_tradnl"/>
        </w:rPr>
        <w:t xml:space="preserve"> de los precios del asfalto </w:t>
      </w:r>
      <w:r w:rsidR="009914EF" w:rsidRPr="00976BFF">
        <w:rPr>
          <w:lang w:val="es-ES_tradnl"/>
        </w:rPr>
        <w:t>durante</w:t>
      </w:r>
      <w:r w:rsidR="004A6ADD" w:rsidRPr="00976BFF">
        <w:rPr>
          <w:lang w:val="es-ES_tradnl"/>
        </w:rPr>
        <w:t xml:space="preserve"> el mismo período. En consecuencia, si bien se han logrado algunas mejoras netas en la </w:t>
      </w:r>
      <w:r w:rsidR="004A6ADD" w:rsidRPr="00766354">
        <w:rPr>
          <w:lang w:val="es-ES_tradnl"/>
        </w:rPr>
        <w:t>red vial</w:t>
      </w:r>
      <w:r w:rsidR="00766354">
        <w:rPr>
          <w:lang w:val="es-ES_tradnl"/>
        </w:rPr>
        <w:t xml:space="preserve"> </w:t>
      </w:r>
      <w:r w:rsidR="00766354" w:rsidRPr="00766354">
        <w:rPr>
          <w:lang w:val="es-ES_tradnl"/>
        </w:rPr>
        <w:t>principal</w:t>
      </w:r>
      <w:r w:rsidR="004A6ADD" w:rsidRPr="00766354">
        <w:rPr>
          <w:lang w:val="es-ES_tradnl"/>
        </w:rPr>
        <w:t>,</w:t>
      </w:r>
      <w:r w:rsidR="004A6ADD" w:rsidRPr="00976BFF">
        <w:rPr>
          <w:lang w:val="es-ES_tradnl"/>
        </w:rPr>
        <w:t xml:space="preserve"> que incluye</w:t>
      </w:r>
      <w:r w:rsidR="00576D78">
        <w:rPr>
          <w:lang w:val="es-ES_tradnl"/>
        </w:rPr>
        <w:t>n</w:t>
      </w:r>
      <w:r w:rsidR="004A6ADD" w:rsidRPr="00976BFF">
        <w:rPr>
          <w:lang w:val="es-ES_tradnl"/>
        </w:rPr>
        <w:t xml:space="preserve"> los </w:t>
      </w:r>
      <w:r w:rsidR="006D44FB">
        <w:rPr>
          <w:lang w:val="es-ES_tradnl"/>
        </w:rPr>
        <w:t>tramos</w:t>
      </w:r>
      <w:r w:rsidR="004A6ADD" w:rsidRPr="00976BFF">
        <w:rPr>
          <w:lang w:val="es-ES_tradnl"/>
        </w:rPr>
        <w:t xml:space="preserve"> más importantes y con mayor circulación, estas medidas aún no han sido suficientes para abordar, en forma total y sostenible, el problema de mantenimiento del sector vial</w:t>
      </w:r>
      <w:r w:rsidR="008E4329" w:rsidRPr="00976BFF">
        <w:rPr>
          <w:lang w:val="es-ES_tradnl"/>
        </w:rPr>
        <w:t>.</w:t>
      </w:r>
    </w:p>
    <w:p w:rsidR="0007594F" w:rsidRPr="00976BFF" w:rsidRDefault="000236D9" w:rsidP="00625FD2">
      <w:pPr>
        <w:pStyle w:val="MainPara"/>
        <w:rPr>
          <w:lang w:val="es-ES_tradnl"/>
        </w:rPr>
      </w:pPr>
      <w:r w:rsidRPr="00976BFF">
        <w:rPr>
          <w:b/>
          <w:lang w:val="es-ES_tradnl"/>
        </w:rPr>
        <w:t xml:space="preserve">Programa de </w:t>
      </w:r>
      <w:r w:rsidR="007D08FD">
        <w:rPr>
          <w:b/>
          <w:lang w:val="es-ES_tradnl"/>
        </w:rPr>
        <w:t>R</w:t>
      </w:r>
      <w:r w:rsidR="007D08FD" w:rsidRPr="00976BFF">
        <w:rPr>
          <w:b/>
          <w:lang w:val="es-ES_tradnl"/>
        </w:rPr>
        <w:t xml:space="preserve">ehabilitación </w:t>
      </w:r>
      <w:r w:rsidRPr="00976BFF">
        <w:rPr>
          <w:b/>
          <w:lang w:val="es-ES_tradnl"/>
        </w:rPr>
        <w:t xml:space="preserve">y </w:t>
      </w:r>
      <w:r w:rsidR="007D08FD">
        <w:rPr>
          <w:b/>
          <w:lang w:val="es-ES_tradnl"/>
        </w:rPr>
        <w:t>M</w:t>
      </w:r>
      <w:r w:rsidR="007D08FD" w:rsidRPr="00976BFF">
        <w:rPr>
          <w:b/>
          <w:lang w:val="es-ES_tradnl"/>
        </w:rPr>
        <w:t xml:space="preserve">antenimiento </w:t>
      </w:r>
      <w:r w:rsidR="007D08FD">
        <w:rPr>
          <w:b/>
          <w:lang w:val="es-ES_tradnl"/>
        </w:rPr>
        <w:t>V</w:t>
      </w:r>
      <w:r w:rsidR="007D08FD" w:rsidRPr="00976BFF">
        <w:rPr>
          <w:b/>
          <w:lang w:val="es-ES_tradnl"/>
        </w:rPr>
        <w:t xml:space="preserve">ial </w:t>
      </w:r>
      <w:r w:rsidRPr="00976BFF">
        <w:rPr>
          <w:b/>
          <w:lang w:val="es-ES_tradnl"/>
        </w:rPr>
        <w:t xml:space="preserve">de </w:t>
      </w:r>
      <w:r w:rsidR="00BE28DC" w:rsidRPr="00976BFF">
        <w:rPr>
          <w:b/>
          <w:lang w:val="es-ES_tradnl"/>
        </w:rPr>
        <w:t>Uruguay</w:t>
      </w:r>
      <w:r w:rsidR="00BE28DC" w:rsidRPr="000B5989">
        <w:rPr>
          <w:b/>
          <w:lang w:val="es-ES_tradnl"/>
        </w:rPr>
        <w:t>.</w:t>
      </w:r>
      <w:r w:rsidR="00BE28DC" w:rsidRPr="00976BFF">
        <w:rPr>
          <w:lang w:val="es-ES_tradnl"/>
        </w:rPr>
        <w:t xml:space="preserve"> </w:t>
      </w:r>
      <w:r w:rsidR="00DC2170" w:rsidRPr="00976BFF">
        <w:rPr>
          <w:lang w:val="es-ES_tradnl"/>
        </w:rPr>
        <w:t xml:space="preserve">La función principal del Ministerio de Transportes y Obras </w:t>
      </w:r>
      <w:r w:rsidR="009914EF" w:rsidRPr="00976BFF">
        <w:rPr>
          <w:lang w:val="es-ES_tradnl"/>
        </w:rPr>
        <w:t>Públicas</w:t>
      </w:r>
      <w:r w:rsidR="00DC2170" w:rsidRPr="00976BFF">
        <w:rPr>
          <w:lang w:val="es-ES_tradnl"/>
        </w:rPr>
        <w:t xml:space="preserve"> (MTOP) —y concretamente de la </w:t>
      </w:r>
      <w:r w:rsidR="009914EF" w:rsidRPr="00976BFF">
        <w:rPr>
          <w:lang w:val="es-ES_tradnl"/>
        </w:rPr>
        <w:t>Dirección</w:t>
      </w:r>
      <w:r w:rsidR="00DC2170" w:rsidRPr="00976BFF">
        <w:rPr>
          <w:lang w:val="es-ES_tradnl"/>
        </w:rPr>
        <w:t xml:space="preserve"> Nacional de Vialidad (DNV), que depende de él— consiste en mantener y gestionar la </w:t>
      </w:r>
      <w:r w:rsidR="00834929" w:rsidRPr="00976BFF">
        <w:rPr>
          <w:lang w:val="es-ES_tradnl"/>
        </w:rPr>
        <w:t>r</w:t>
      </w:r>
      <w:r w:rsidR="00DC2170" w:rsidRPr="00976BFF">
        <w:rPr>
          <w:lang w:val="es-ES_tradnl"/>
        </w:rPr>
        <w:t xml:space="preserve">ed </w:t>
      </w:r>
      <w:r w:rsidR="00834929" w:rsidRPr="00976BFF">
        <w:rPr>
          <w:lang w:val="es-ES_tradnl"/>
        </w:rPr>
        <w:t>vial n</w:t>
      </w:r>
      <w:r w:rsidR="00DC2170" w:rsidRPr="00976BFF">
        <w:rPr>
          <w:lang w:val="es-ES_tradnl"/>
        </w:rPr>
        <w:t xml:space="preserve">acional. A partir de 2010, el país aplica un marco programático y basado en </w:t>
      </w:r>
      <w:r w:rsidR="00DC2170" w:rsidRPr="00766354">
        <w:rPr>
          <w:lang w:val="es-ES_tradnl"/>
        </w:rPr>
        <w:t>los</w:t>
      </w:r>
      <w:r w:rsidR="00DC2170" w:rsidRPr="00976BFF">
        <w:rPr>
          <w:lang w:val="es-ES_tradnl"/>
        </w:rPr>
        <w:t xml:space="preserve"> resultados, en consonancia con la Ley de Presupuesto</w:t>
      </w:r>
      <w:r w:rsidR="007A6CBC">
        <w:rPr>
          <w:lang w:val="es-ES_tradnl"/>
        </w:rPr>
        <w:t>,</w:t>
      </w:r>
      <w:r w:rsidR="00311B6B" w:rsidRPr="00976BFF">
        <w:rPr>
          <w:lang w:val="es-ES_tradnl"/>
        </w:rPr>
        <w:t xml:space="preserve"> que establece los </w:t>
      </w:r>
      <w:r w:rsidR="006D44FB">
        <w:rPr>
          <w:lang w:val="es-ES_tradnl"/>
        </w:rPr>
        <w:t>programas</w:t>
      </w:r>
      <w:r w:rsidR="00311B6B" w:rsidRPr="00976BFF">
        <w:rPr>
          <w:lang w:val="es-ES_tradnl"/>
        </w:rPr>
        <w:t xml:space="preserve">, los marcos de seguimiento y evaluación vinculados </w:t>
      </w:r>
      <w:r w:rsidR="00E57E6E">
        <w:rPr>
          <w:lang w:val="es-ES_tradnl"/>
        </w:rPr>
        <w:t>con</w:t>
      </w:r>
      <w:r w:rsidR="00E57E6E" w:rsidRPr="00976BFF">
        <w:rPr>
          <w:lang w:val="es-ES_tradnl"/>
        </w:rPr>
        <w:t xml:space="preserve"> </w:t>
      </w:r>
      <w:r w:rsidR="00311B6B" w:rsidRPr="00976BFF">
        <w:rPr>
          <w:lang w:val="es-ES_tradnl"/>
        </w:rPr>
        <w:t xml:space="preserve">esos </w:t>
      </w:r>
      <w:r w:rsidR="006D44FB">
        <w:rPr>
          <w:lang w:val="es-ES_tradnl"/>
        </w:rPr>
        <w:t>programas</w:t>
      </w:r>
      <w:r w:rsidR="00311B6B" w:rsidRPr="00976BFF">
        <w:rPr>
          <w:lang w:val="es-ES_tradnl"/>
        </w:rPr>
        <w:t xml:space="preserve">, y los correspondientes recursos presupuestarios. En el marco de resultados de </w:t>
      </w:r>
      <w:r w:rsidR="006D44FB">
        <w:rPr>
          <w:lang w:val="es-ES_tradnl"/>
        </w:rPr>
        <w:t>cada p</w:t>
      </w:r>
      <w:r w:rsidR="009B073D" w:rsidRPr="00976BFF">
        <w:rPr>
          <w:lang w:val="es-ES_tradnl"/>
        </w:rPr>
        <w:t>rograma</w:t>
      </w:r>
      <w:r w:rsidR="00311B6B" w:rsidRPr="00976BFF">
        <w:rPr>
          <w:lang w:val="es-ES_tradnl"/>
        </w:rPr>
        <w:t xml:space="preserve"> se fijan objetivos físicos y cuantitativos anuales. La Ley de Presupuesto incluye dos partidas específicas: a) </w:t>
      </w:r>
      <w:r w:rsidR="00484E46" w:rsidRPr="00976BFF">
        <w:rPr>
          <w:lang w:val="es-ES_tradnl"/>
        </w:rPr>
        <w:t>el Programa 362 (</w:t>
      </w:r>
      <w:r w:rsidR="00576D78">
        <w:rPr>
          <w:lang w:val="es-ES_tradnl"/>
        </w:rPr>
        <w:t>i</w:t>
      </w:r>
      <w:r w:rsidR="00576D78" w:rsidRPr="00976BFF">
        <w:rPr>
          <w:lang w:val="es-ES_tradnl"/>
        </w:rPr>
        <w:t xml:space="preserve">nfraestructura </w:t>
      </w:r>
      <w:r w:rsidR="00484E46" w:rsidRPr="00976BFF">
        <w:rPr>
          <w:lang w:val="es-ES_tradnl"/>
        </w:rPr>
        <w:t>vial),</w:t>
      </w:r>
      <w:r w:rsidR="00371770" w:rsidRPr="00976BFF">
        <w:rPr>
          <w:lang w:val="es-ES_tradnl"/>
        </w:rPr>
        <w:t xml:space="preserve"> destinado a la rehabilitación, el mantenimiento y el desarrollo de la infraestructura vial nacional (carreteras y puentes), con el objeto de desarrollar el transporte por vía terrestre para fines múltiples, y b) el Programa 462 (</w:t>
      </w:r>
      <w:r w:rsidR="00576D78">
        <w:rPr>
          <w:lang w:val="es-ES_tradnl"/>
        </w:rPr>
        <w:t>s</w:t>
      </w:r>
      <w:r w:rsidR="00576D78" w:rsidRPr="00976BFF">
        <w:rPr>
          <w:lang w:val="es-ES_tradnl"/>
        </w:rPr>
        <w:t xml:space="preserve">eguridad </w:t>
      </w:r>
      <w:r w:rsidR="00371770" w:rsidRPr="00976BFF">
        <w:rPr>
          <w:lang w:val="es-ES_tradnl"/>
        </w:rPr>
        <w:t>vial), destinado a la formulación de estrategias que contribuyan a</w:t>
      </w:r>
      <w:r w:rsidR="0023322B" w:rsidRPr="00976BFF">
        <w:rPr>
          <w:lang w:val="es-ES_tradnl"/>
        </w:rPr>
        <w:t xml:space="preserve"> </w:t>
      </w:r>
      <w:r w:rsidR="00371770" w:rsidRPr="00976BFF">
        <w:rPr>
          <w:lang w:val="es-ES_tradnl"/>
        </w:rPr>
        <w:t>l</w:t>
      </w:r>
      <w:r w:rsidR="0023322B" w:rsidRPr="00976BFF">
        <w:rPr>
          <w:lang w:val="es-ES_tradnl"/>
        </w:rPr>
        <w:t>ograr que las personas circulen de manera segura</w:t>
      </w:r>
      <w:r w:rsidR="002E625F" w:rsidRPr="00976BFF">
        <w:rPr>
          <w:lang w:val="es-ES_tradnl"/>
        </w:rPr>
        <w:t>.</w:t>
      </w:r>
      <w:r w:rsidR="00640E1F" w:rsidRPr="00976BFF">
        <w:rPr>
          <w:lang w:val="es-ES_tradnl"/>
        </w:rPr>
        <w:t xml:space="preserve"> </w:t>
      </w:r>
    </w:p>
    <w:p w:rsidR="0007594F" w:rsidRPr="00976BFF" w:rsidRDefault="004C180F" w:rsidP="00625FD2">
      <w:pPr>
        <w:pStyle w:val="MainPara"/>
        <w:rPr>
          <w:lang w:val="es-ES_tradnl"/>
        </w:rPr>
      </w:pPr>
      <w:r w:rsidRPr="00976BFF">
        <w:rPr>
          <w:lang w:val="es-ES_tradnl"/>
        </w:rPr>
        <w:t xml:space="preserve">Aunque Uruguay puede invertir selectivamente en la construcción de nuevos caminos (nuevos tramos de rutas, desviaciones, duplicaciones), en esta oportunidad el </w:t>
      </w:r>
      <w:r w:rsidR="007A6CBC">
        <w:rPr>
          <w:lang w:val="es-ES_tradnl"/>
        </w:rPr>
        <w:t>p</w:t>
      </w:r>
      <w:r w:rsidR="009B073D" w:rsidRPr="00976BFF">
        <w:rPr>
          <w:lang w:val="es-ES_tradnl"/>
        </w:rPr>
        <w:t>rograma</w:t>
      </w:r>
      <w:r w:rsidRPr="00976BFF">
        <w:rPr>
          <w:lang w:val="es-ES_tradnl"/>
        </w:rPr>
        <w:t xml:space="preserve"> del Gobierno incluye </w:t>
      </w:r>
      <w:r w:rsidR="001F6651">
        <w:rPr>
          <w:lang w:val="es-ES_tradnl"/>
        </w:rPr>
        <w:t>solo</w:t>
      </w:r>
      <w:r w:rsidR="001F6651" w:rsidRPr="00976BFF">
        <w:rPr>
          <w:lang w:val="es-ES_tradnl"/>
        </w:rPr>
        <w:t xml:space="preserve"> </w:t>
      </w:r>
      <w:r w:rsidRPr="00976BFF">
        <w:rPr>
          <w:lang w:val="es-ES_tradnl"/>
        </w:rPr>
        <w:t xml:space="preserve">obras de rehabilitación y mantenimiento dado que las mismas </w:t>
      </w:r>
      <w:r w:rsidR="00953020">
        <w:rPr>
          <w:lang w:val="es-ES_tradnl"/>
        </w:rPr>
        <w:t xml:space="preserve">son </w:t>
      </w:r>
      <w:r w:rsidRPr="00976BFF">
        <w:rPr>
          <w:lang w:val="es-ES_tradnl"/>
        </w:rPr>
        <w:t>urgente</w:t>
      </w:r>
      <w:r w:rsidR="00953020">
        <w:rPr>
          <w:lang w:val="es-ES_tradnl"/>
        </w:rPr>
        <w:t>s</w:t>
      </w:r>
      <w:r w:rsidRPr="00976BFF">
        <w:rPr>
          <w:lang w:val="es-ES_tradnl"/>
        </w:rPr>
        <w:t xml:space="preserve">. Estas obras se llevan a cabo en toda la </w:t>
      </w:r>
      <w:r w:rsidR="00834929" w:rsidRPr="00976BFF">
        <w:rPr>
          <w:lang w:val="es-ES_tradnl"/>
        </w:rPr>
        <w:t>r</w:t>
      </w:r>
      <w:r w:rsidRPr="00976BFF">
        <w:rPr>
          <w:lang w:val="es-ES_tradnl"/>
        </w:rPr>
        <w:t xml:space="preserve">ed </w:t>
      </w:r>
      <w:r w:rsidR="00834929" w:rsidRPr="00976BFF">
        <w:rPr>
          <w:lang w:val="es-ES_tradnl"/>
        </w:rPr>
        <w:t>vial n</w:t>
      </w:r>
      <w:r w:rsidRPr="00976BFF">
        <w:rPr>
          <w:lang w:val="es-ES_tradnl"/>
        </w:rPr>
        <w:t>acional y, por su naturaleza, generalmente tienen un bajo impacto ambiental y social</w:t>
      </w:r>
      <w:r w:rsidR="00C447DC" w:rsidRPr="00976BFF">
        <w:rPr>
          <w:lang w:val="es-ES_tradnl"/>
        </w:rPr>
        <w:t>.</w:t>
      </w:r>
    </w:p>
    <w:p w:rsidR="0007594F" w:rsidRPr="00976BFF" w:rsidRDefault="004C180F" w:rsidP="00A22658">
      <w:pPr>
        <w:pStyle w:val="MainPara"/>
        <w:autoSpaceDE w:val="0"/>
        <w:rPr>
          <w:lang w:val="es-ES_tradnl"/>
        </w:rPr>
      </w:pPr>
      <w:r w:rsidRPr="00976BFF">
        <w:rPr>
          <w:lang w:val="es-ES_tradnl"/>
        </w:rPr>
        <w:t xml:space="preserve">Los ingresos fiscales de </w:t>
      </w:r>
      <w:r w:rsidR="00FE5043" w:rsidRPr="00976BFF">
        <w:rPr>
          <w:lang w:val="es-ES_tradnl"/>
        </w:rPr>
        <w:t xml:space="preserve">Uruguay </w:t>
      </w:r>
      <w:r w:rsidR="00640E1F" w:rsidRPr="00976BFF">
        <w:rPr>
          <w:lang w:val="es-ES_tradnl"/>
        </w:rPr>
        <w:t>(</w:t>
      </w:r>
      <w:r w:rsidRPr="00976BFF">
        <w:rPr>
          <w:lang w:val="es-ES_tradnl"/>
        </w:rPr>
        <w:t xml:space="preserve">presupuesto del </w:t>
      </w:r>
      <w:r w:rsidR="00640E1F" w:rsidRPr="00976BFF">
        <w:rPr>
          <w:lang w:val="es-ES_tradnl"/>
        </w:rPr>
        <w:t>MTOP)</w:t>
      </w:r>
      <w:r w:rsidR="00664A91" w:rsidRPr="00976BFF">
        <w:rPr>
          <w:lang w:val="es-ES_tradnl"/>
        </w:rPr>
        <w:t xml:space="preserve"> </w:t>
      </w:r>
      <w:r w:rsidRPr="00976BFF">
        <w:rPr>
          <w:lang w:val="es-ES_tradnl"/>
        </w:rPr>
        <w:t xml:space="preserve">son la principal fuente de financiamiento para los </w:t>
      </w:r>
      <w:r w:rsidR="006D44FB">
        <w:rPr>
          <w:lang w:val="es-ES_tradnl"/>
        </w:rPr>
        <w:t>programas</w:t>
      </w:r>
      <w:r w:rsidRPr="00976BFF">
        <w:rPr>
          <w:lang w:val="es-ES_tradnl"/>
        </w:rPr>
        <w:t xml:space="preserve"> del Gobierno. </w:t>
      </w:r>
      <w:r w:rsidR="00497FBE" w:rsidRPr="00976BFF">
        <w:rPr>
          <w:lang w:val="es-ES_tradnl"/>
        </w:rPr>
        <w:t>Est</w:t>
      </w:r>
      <w:r w:rsidR="006D44FB">
        <w:rPr>
          <w:lang w:val="es-ES_tradnl"/>
        </w:rPr>
        <w:t>os</w:t>
      </w:r>
      <w:r w:rsidR="00497FBE" w:rsidRPr="00976BFF">
        <w:rPr>
          <w:lang w:val="es-ES_tradnl"/>
        </w:rPr>
        <w:t xml:space="preserve"> </w:t>
      </w:r>
      <w:r w:rsidR="006D44FB">
        <w:rPr>
          <w:lang w:val="es-ES_tradnl"/>
        </w:rPr>
        <w:t>p</w:t>
      </w:r>
      <w:r w:rsidR="009B073D" w:rsidRPr="00976BFF">
        <w:rPr>
          <w:lang w:val="es-ES_tradnl"/>
        </w:rPr>
        <w:t>rograma</w:t>
      </w:r>
      <w:r w:rsidR="006D44FB">
        <w:rPr>
          <w:lang w:val="es-ES_tradnl"/>
        </w:rPr>
        <w:t>s</w:t>
      </w:r>
      <w:r w:rsidR="00497FBE" w:rsidRPr="00976BFF">
        <w:rPr>
          <w:lang w:val="es-ES_tradnl"/>
        </w:rPr>
        <w:t xml:space="preserve"> también recibe</w:t>
      </w:r>
      <w:r w:rsidR="006D44FB">
        <w:rPr>
          <w:lang w:val="es-ES_tradnl"/>
        </w:rPr>
        <w:t>n</w:t>
      </w:r>
      <w:r w:rsidR="00497FBE" w:rsidRPr="00976BFF">
        <w:rPr>
          <w:lang w:val="es-ES_tradnl"/>
        </w:rPr>
        <w:t xml:space="preserve"> el apoyo de préstamos de instituciones financieras internacionales así como los ingresos del peaje recaudados por CVU a través de la operación de la concesión. En marzo de 2012, el Gobierno de Uruguay y el Banco Interamericano de Desarrollo (BID) suscribieron un préstamo por valor de </w:t>
      </w:r>
      <w:r w:rsidR="00813923" w:rsidRPr="00976BFF">
        <w:rPr>
          <w:lang w:val="es-ES_tradnl"/>
        </w:rPr>
        <w:t>US$80 millon</w:t>
      </w:r>
      <w:r w:rsidR="00497FBE" w:rsidRPr="00976BFF">
        <w:rPr>
          <w:lang w:val="es-ES_tradnl"/>
        </w:rPr>
        <w:t>es</w:t>
      </w:r>
      <w:r w:rsidR="00A22658" w:rsidRPr="00976BFF">
        <w:rPr>
          <w:rFonts w:ascii="ZWAdobeF" w:hAnsi="ZWAdobeF" w:cs="ZWAdobeF"/>
          <w:sz w:val="2"/>
          <w:szCs w:val="2"/>
          <w:lang w:val="es-ES_tradnl"/>
        </w:rPr>
        <w:t>F</w:t>
      </w:r>
      <w:r w:rsidR="00813923" w:rsidRPr="00976BFF">
        <w:rPr>
          <w:rStyle w:val="FootnoteReference"/>
          <w:lang w:val="es-ES_tradnl"/>
        </w:rPr>
        <w:footnoteReference w:id="5"/>
      </w:r>
      <w:r w:rsidR="0082182B" w:rsidRPr="00976BFF">
        <w:rPr>
          <w:lang w:val="es-ES_tradnl"/>
        </w:rPr>
        <w:t xml:space="preserve">. </w:t>
      </w:r>
      <w:r w:rsidR="00497FBE" w:rsidRPr="00976BFF">
        <w:rPr>
          <w:lang w:val="es-ES_tradnl"/>
        </w:rPr>
        <w:t>Este</w:t>
      </w:r>
      <w:r w:rsidR="00197CDE" w:rsidRPr="00976BFF">
        <w:rPr>
          <w:lang w:val="es-ES_tradnl"/>
        </w:rPr>
        <w:t xml:space="preserve"> préstamo para proyectos de inversión destinado a diversas obras, </w:t>
      </w:r>
      <w:r w:rsidR="003B016B" w:rsidRPr="00976BFF">
        <w:rPr>
          <w:lang w:val="es-ES_tradnl"/>
        </w:rPr>
        <w:t xml:space="preserve">que se ejecutará durante un período de cinco años, se centra en la rehabilitación y el mantenimiento de la </w:t>
      </w:r>
      <w:r w:rsidR="00834929" w:rsidRPr="00976BFF">
        <w:rPr>
          <w:lang w:val="es-ES_tradnl"/>
        </w:rPr>
        <w:t>r</w:t>
      </w:r>
      <w:r w:rsidR="003B016B" w:rsidRPr="00976BFF">
        <w:rPr>
          <w:lang w:val="es-ES_tradnl"/>
        </w:rPr>
        <w:t xml:space="preserve">ed </w:t>
      </w:r>
      <w:r w:rsidR="00834929" w:rsidRPr="00976BFF">
        <w:rPr>
          <w:lang w:val="es-ES_tradnl"/>
        </w:rPr>
        <w:t>vial n</w:t>
      </w:r>
      <w:r w:rsidR="003B016B" w:rsidRPr="00976BFF">
        <w:rPr>
          <w:lang w:val="es-ES_tradnl"/>
        </w:rPr>
        <w:t xml:space="preserve">acional; se ejecutará de conformidad con las normas y los procedimientos del Gobierno de Uruguay </w:t>
      </w:r>
      <w:r w:rsidR="003B016B" w:rsidRPr="00766354">
        <w:rPr>
          <w:lang w:val="es-ES_tradnl"/>
        </w:rPr>
        <w:t>y, si es necesario, con normas específicas del BID (por ejemplo, adquisiciones).</w:t>
      </w:r>
      <w:r w:rsidR="003B016B" w:rsidRPr="00976BFF">
        <w:rPr>
          <w:lang w:val="es-ES_tradnl"/>
        </w:rPr>
        <w:t xml:space="preserve"> Asimismo, el Gobierno de Uruguay está negociando un préstamo con el </w:t>
      </w:r>
      <w:r w:rsidR="00852D76" w:rsidRPr="00976BFF">
        <w:rPr>
          <w:lang w:val="es-ES_tradnl"/>
        </w:rPr>
        <w:t>F</w:t>
      </w:r>
      <w:r w:rsidR="003B016B" w:rsidRPr="00976BFF">
        <w:rPr>
          <w:lang w:val="es-ES_tradnl"/>
        </w:rPr>
        <w:t>o</w:t>
      </w:r>
      <w:r w:rsidR="00852D76" w:rsidRPr="00976BFF">
        <w:rPr>
          <w:lang w:val="es-ES_tradnl"/>
        </w:rPr>
        <w:t>ndo Financiero para el Desa</w:t>
      </w:r>
      <w:r w:rsidR="000828BC" w:rsidRPr="00976BFF">
        <w:rPr>
          <w:lang w:val="es-ES_tradnl"/>
        </w:rPr>
        <w:t>r</w:t>
      </w:r>
      <w:r w:rsidR="00852D76" w:rsidRPr="00976BFF">
        <w:rPr>
          <w:lang w:val="es-ES_tradnl"/>
        </w:rPr>
        <w:t>rollo de</w:t>
      </w:r>
      <w:r w:rsidR="00953020">
        <w:rPr>
          <w:lang w:val="es-ES_tradnl"/>
        </w:rPr>
        <w:t xml:space="preserve"> </w:t>
      </w:r>
      <w:r w:rsidR="000828BC" w:rsidRPr="00976BFF">
        <w:rPr>
          <w:lang w:val="es-ES_tradnl"/>
        </w:rPr>
        <w:t>l</w:t>
      </w:r>
      <w:r w:rsidR="00953020">
        <w:rPr>
          <w:lang w:val="es-ES_tradnl"/>
        </w:rPr>
        <w:t>a</w:t>
      </w:r>
      <w:r w:rsidR="000828BC" w:rsidRPr="00976BFF">
        <w:rPr>
          <w:lang w:val="es-ES_tradnl"/>
        </w:rPr>
        <w:t xml:space="preserve"> Cuenca del</w:t>
      </w:r>
      <w:r w:rsidR="00852D76" w:rsidRPr="00976BFF">
        <w:rPr>
          <w:lang w:val="es-ES_tradnl"/>
        </w:rPr>
        <w:t xml:space="preserve"> Plata</w:t>
      </w:r>
      <w:r w:rsidR="000C544A" w:rsidRPr="00976BFF">
        <w:rPr>
          <w:lang w:val="es-ES_tradnl"/>
        </w:rPr>
        <w:t xml:space="preserve"> (FONPLATA).</w:t>
      </w:r>
      <w:r w:rsidR="006B47B3" w:rsidRPr="00976BFF">
        <w:rPr>
          <w:lang w:val="es-ES_tradnl"/>
        </w:rPr>
        <w:t xml:space="preserve"> Este préstamo para proyectos de inversión, por un monto aproximado de </w:t>
      </w:r>
      <w:r w:rsidR="000C544A" w:rsidRPr="00976BFF">
        <w:rPr>
          <w:lang w:val="es-ES_tradnl"/>
        </w:rPr>
        <w:t>US$120 millon</w:t>
      </w:r>
      <w:r w:rsidR="006B47B3" w:rsidRPr="00976BFF">
        <w:rPr>
          <w:lang w:val="es-ES_tradnl"/>
        </w:rPr>
        <w:t>es</w:t>
      </w:r>
      <w:r w:rsidR="000C544A" w:rsidRPr="00976BFF">
        <w:rPr>
          <w:lang w:val="es-ES_tradnl"/>
        </w:rPr>
        <w:t xml:space="preserve">, </w:t>
      </w:r>
      <w:r w:rsidR="006B47B3" w:rsidRPr="00976BFF">
        <w:rPr>
          <w:lang w:val="es-ES_tradnl"/>
        </w:rPr>
        <w:t xml:space="preserve">que se centrará en la rehabilitación y el mantenimiento de la </w:t>
      </w:r>
      <w:r w:rsidR="00834929" w:rsidRPr="00976BFF">
        <w:rPr>
          <w:lang w:val="es-ES_tradnl"/>
        </w:rPr>
        <w:t>r</w:t>
      </w:r>
      <w:r w:rsidR="006B47B3" w:rsidRPr="00976BFF">
        <w:rPr>
          <w:lang w:val="es-ES_tradnl"/>
        </w:rPr>
        <w:t xml:space="preserve">ed </w:t>
      </w:r>
      <w:r w:rsidR="00834929" w:rsidRPr="00976BFF">
        <w:rPr>
          <w:lang w:val="es-ES_tradnl"/>
        </w:rPr>
        <w:t>vial n</w:t>
      </w:r>
      <w:r w:rsidR="006B47B3" w:rsidRPr="00976BFF">
        <w:rPr>
          <w:lang w:val="es-ES_tradnl"/>
        </w:rPr>
        <w:t xml:space="preserve">acional, se ejecutará de conformidad con las normas y los procedimientos del Gobierno de Uruguay, y algunas normas específicas del </w:t>
      </w:r>
      <w:r w:rsidR="000C544A" w:rsidRPr="00976BFF">
        <w:rPr>
          <w:lang w:val="es-ES_tradnl"/>
        </w:rPr>
        <w:t>FONPLATA (</w:t>
      </w:r>
      <w:r w:rsidR="006B47B3" w:rsidRPr="00976BFF">
        <w:rPr>
          <w:lang w:val="es-ES_tradnl"/>
        </w:rPr>
        <w:t>adquisiciones</w:t>
      </w:r>
      <w:r w:rsidR="000C544A" w:rsidRPr="00976BFF">
        <w:rPr>
          <w:lang w:val="es-ES_tradnl"/>
        </w:rPr>
        <w:t>).</w:t>
      </w:r>
    </w:p>
    <w:p w:rsidR="00E022B0" w:rsidRPr="00976BFF" w:rsidRDefault="00E022B0">
      <w:pPr>
        <w:rPr>
          <w:lang w:val="es-ES_tradnl"/>
        </w:rPr>
      </w:pPr>
    </w:p>
    <w:p w:rsidR="004E4895" w:rsidRPr="00976BFF" w:rsidRDefault="001D2940" w:rsidP="006068D8">
      <w:pPr>
        <w:pStyle w:val="Heading2"/>
        <w:rPr>
          <w:lang w:val="es-ES_tradnl"/>
        </w:rPr>
      </w:pPr>
      <w:bookmarkStart w:id="6" w:name="_Toc344927147"/>
      <w:r w:rsidRPr="00976BFF">
        <w:rPr>
          <w:lang w:val="es-ES_tradnl"/>
        </w:rPr>
        <w:t>Rela</w:t>
      </w:r>
      <w:r w:rsidR="006B47B3" w:rsidRPr="00976BFF">
        <w:rPr>
          <w:lang w:val="es-ES_tradnl"/>
        </w:rPr>
        <w:t xml:space="preserve">ción con la estrategia de asistencia al país/estrategia de alianza con el país y </w:t>
      </w:r>
      <w:r w:rsidR="00BE51E8">
        <w:rPr>
          <w:lang w:val="es-ES_tradnl"/>
        </w:rPr>
        <w:t>fundamentos d</w:t>
      </w:r>
      <w:r w:rsidR="006B47B3" w:rsidRPr="00976BFF">
        <w:rPr>
          <w:lang w:val="es-ES_tradnl"/>
        </w:rPr>
        <w:t>el uso del instrumento</w:t>
      </w:r>
      <w:bookmarkEnd w:id="6"/>
    </w:p>
    <w:p w:rsidR="00077AC9" w:rsidRPr="00976BFF" w:rsidRDefault="006B47B3" w:rsidP="00A22658">
      <w:pPr>
        <w:pStyle w:val="MainPara"/>
        <w:autoSpaceDE w:val="0"/>
        <w:rPr>
          <w:lang w:val="es-ES_tradnl"/>
        </w:rPr>
      </w:pPr>
      <w:r w:rsidRPr="00976BFF">
        <w:rPr>
          <w:lang w:val="es-ES_tradnl"/>
        </w:rPr>
        <w:t xml:space="preserve">El segundo pilar de la estrategia de alianza con el país (EAP) 2010-15 entre el </w:t>
      </w:r>
      <w:r w:rsidRPr="00766354">
        <w:rPr>
          <w:lang w:val="es-ES_tradnl"/>
        </w:rPr>
        <w:t>Grupo del Banco Mundial</w:t>
      </w:r>
      <w:r w:rsidRPr="00976BFF">
        <w:rPr>
          <w:lang w:val="es-ES_tradnl"/>
        </w:rPr>
        <w:t xml:space="preserve"> y Uruguay </w:t>
      </w:r>
      <w:r w:rsidR="00DF62FD" w:rsidRPr="00976BFF">
        <w:rPr>
          <w:lang w:val="es-ES_tradnl"/>
        </w:rPr>
        <w:t>se centra en mejorar la competitividad y la infraestructura</w:t>
      </w:r>
      <w:r w:rsidR="00A22658" w:rsidRPr="00976BFF">
        <w:rPr>
          <w:rFonts w:ascii="ZWAdobeF" w:hAnsi="ZWAdobeF" w:cs="ZWAdobeF"/>
          <w:sz w:val="2"/>
          <w:szCs w:val="2"/>
          <w:lang w:val="es-ES_tradnl"/>
        </w:rPr>
        <w:t>5F</w:t>
      </w:r>
      <w:r w:rsidR="008A5189" w:rsidRPr="00976BFF">
        <w:rPr>
          <w:rStyle w:val="FootnoteReference"/>
          <w:lang w:val="es-ES_tradnl"/>
        </w:rPr>
        <w:footnoteReference w:id="6"/>
      </w:r>
      <w:r w:rsidR="00DF62FD" w:rsidRPr="00976BFF">
        <w:rPr>
          <w:rFonts w:ascii="ZWAdobeF" w:hAnsi="ZWAdobeF" w:cs="ZWAdobeF"/>
          <w:sz w:val="2"/>
          <w:szCs w:val="2"/>
          <w:lang w:val="es-ES_tradnl"/>
        </w:rPr>
        <w:t>.</w:t>
      </w:r>
      <w:r w:rsidR="00DF62FD" w:rsidRPr="00976BFF">
        <w:rPr>
          <w:lang w:val="es-ES_tradnl"/>
        </w:rPr>
        <w:t xml:space="preserve">. En este pilar se tiene en cuenta la prioridad asignada por el Gobierno al fortalecimiento de la competitividad a través del aumento de la cobertura y la calidad de la infraestructura y la creación de condiciones más propicias para los negocios. </w:t>
      </w:r>
      <w:r w:rsidR="00716004" w:rsidRPr="00976BFF">
        <w:rPr>
          <w:lang w:val="es-ES_tradnl"/>
        </w:rPr>
        <w:t xml:space="preserve">En América Latina, los costos de logística son elevados y oscilan entre el 16% y el 26% del PIB, en comparación con un promedio del 9% del PIB en la </w:t>
      </w:r>
      <w:r w:rsidR="00E57E6E" w:rsidRPr="00976BFF">
        <w:rPr>
          <w:lang w:val="es-ES_tradnl"/>
        </w:rPr>
        <w:t>Organización para la Cooperación y el Desarrollo Económicos</w:t>
      </w:r>
      <w:r w:rsidR="00716004" w:rsidRPr="00976BFF">
        <w:rPr>
          <w:lang w:val="es-ES_tradnl"/>
        </w:rPr>
        <w:t xml:space="preserve">. Según el estudio </w:t>
      </w:r>
      <w:r w:rsidR="009E06F4" w:rsidRPr="00976BFF">
        <w:rPr>
          <w:i/>
          <w:lang w:val="es-ES_tradnl"/>
        </w:rPr>
        <w:t>Uruguay. Comerc</w:t>
      </w:r>
      <w:r w:rsidR="00716004" w:rsidRPr="00976BFF">
        <w:rPr>
          <w:i/>
          <w:lang w:val="es-ES_tradnl"/>
        </w:rPr>
        <w:t>io y logística: Una oportunidad</w:t>
      </w:r>
      <w:r w:rsidR="009E06F4" w:rsidRPr="00976BFF">
        <w:rPr>
          <w:lang w:val="es-ES_tradnl"/>
        </w:rPr>
        <w:t>,</w:t>
      </w:r>
      <w:r w:rsidR="00716004" w:rsidRPr="00976BFF">
        <w:rPr>
          <w:lang w:val="es-ES_tradnl"/>
        </w:rPr>
        <w:t xml:space="preserve"> realizado por el Banco en 2010, </w:t>
      </w:r>
      <w:r w:rsidR="00290683" w:rsidRPr="00976BFF">
        <w:rPr>
          <w:lang w:val="es-ES_tradnl"/>
        </w:rPr>
        <w:t>el transporte a 300 kilómetros de distancia de una carga de 28 toneladas en un camión cuesta alrededor de US$720 en Uruguay, mientras que el mismo recorrido costaría US$522 en Argentina y solo US$321 en</w:t>
      </w:r>
      <w:r w:rsidR="009E06F4" w:rsidRPr="00976BFF">
        <w:rPr>
          <w:lang w:val="es-ES_tradnl"/>
        </w:rPr>
        <w:t xml:space="preserve"> Bra</w:t>
      </w:r>
      <w:r w:rsidR="00290683" w:rsidRPr="00976BFF">
        <w:rPr>
          <w:lang w:val="es-ES_tradnl"/>
        </w:rPr>
        <w:t>s</w:t>
      </w:r>
      <w:r w:rsidR="009E06F4" w:rsidRPr="00976BFF">
        <w:rPr>
          <w:lang w:val="es-ES_tradnl"/>
        </w:rPr>
        <w:t xml:space="preserve">il. </w:t>
      </w:r>
      <w:r w:rsidR="004C6CD5" w:rsidRPr="00976BFF">
        <w:rPr>
          <w:lang w:val="es-ES_tradnl"/>
        </w:rPr>
        <w:t xml:space="preserve">Asimismo, el empeoramiento del estado de los caminos ocasionaría un aumento del tiempo de viaje y de los costos de mantenimiento de los vehículos, y las consiguientes interrupciones del flujo de bienes </w:t>
      </w:r>
      <w:r w:rsidR="003F6A40" w:rsidRPr="00976BFF">
        <w:rPr>
          <w:lang w:val="es-ES_tradnl"/>
        </w:rPr>
        <w:t>contribuirían marcadamente al aumento de los costos comerciales</w:t>
      </w:r>
      <w:r w:rsidR="005552E6" w:rsidRPr="00976BFF">
        <w:rPr>
          <w:lang w:val="es-ES_tradnl"/>
        </w:rPr>
        <w:t>.</w:t>
      </w:r>
    </w:p>
    <w:p w:rsidR="0007594F" w:rsidRPr="00976BFF" w:rsidRDefault="00035EAA" w:rsidP="00625FD2">
      <w:pPr>
        <w:pStyle w:val="MainPara"/>
        <w:rPr>
          <w:lang w:val="es-ES_tradnl"/>
        </w:rPr>
      </w:pPr>
      <w:r w:rsidRPr="00976BFF">
        <w:rPr>
          <w:lang w:val="es-ES_tradnl"/>
        </w:rPr>
        <w:t xml:space="preserve">Para esta operación se propone el instrumento de financiamiento </w:t>
      </w:r>
      <w:r w:rsidR="00251017" w:rsidRPr="00976BFF">
        <w:rPr>
          <w:lang w:val="es-ES_tradnl"/>
        </w:rPr>
        <w:t xml:space="preserve">de </w:t>
      </w:r>
      <w:r w:rsidR="006D44FB">
        <w:rPr>
          <w:lang w:val="es-ES_tradnl"/>
        </w:rPr>
        <w:t>programas</w:t>
      </w:r>
      <w:r w:rsidR="00251017" w:rsidRPr="00976BFF">
        <w:rPr>
          <w:lang w:val="es-ES_tradnl"/>
        </w:rPr>
        <w:t xml:space="preserve"> por resu</w:t>
      </w:r>
      <w:r w:rsidRPr="00976BFF">
        <w:rPr>
          <w:lang w:val="es-ES_tradnl"/>
        </w:rPr>
        <w:t>l</w:t>
      </w:r>
      <w:r w:rsidR="00251017" w:rsidRPr="00976BFF">
        <w:rPr>
          <w:lang w:val="es-ES_tradnl"/>
        </w:rPr>
        <w:t>t</w:t>
      </w:r>
      <w:r w:rsidRPr="00976BFF">
        <w:rPr>
          <w:lang w:val="es-ES_tradnl"/>
        </w:rPr>
        <w:t>ados, por las siguientes razones</w:t>
      </w:r>
      <w:r w:rsidR="00AD6349" w:rsidRPr="00976BFF">
        <w:rPr>
          <w:lang w:val="es-ES_tradnl"/>
        </w:rPr>
        <w:t>:</w:t>
      </w:r>
    </w:p>
    <w:p w:rsidR="0007594F" w:rsidRPr="00976BFF" w:rsidRDefault="00445BF5" w:rsidP="00A22658">
      <w:pPr>
        <w:pStyle w:val="Bullet"/>
        <w:autoSpaceDE w:val="0"/>
        <w:rPr>
          <w:lang w:val="es-ES_tradnl"/>
        </w:rPr>
      </w:pPr>
      <w:r w:rsidRPr="00976BFF">
        <w:rPr>
          <w:lang w:val="es-ES_tradnl"/>
        </w:rPr>
        <w:t>E</w:t>
      </w:r>
      <w:r w:rsidR="00113AE7" w:rsidRPr="00976BFF">
        <w:rPr>
          <w:lang w:val="es-ES_tradnl"/>
        </w:rPr>
        <w:t>ste</w:t>
      </w:r>
      <w:r w:rsidRPr="00976BFF">
        <w:rPr>
          <w:lang w:val="es-ES_tradnl"/>
        </w:rPr>
        <w:t xml:space="preserve"> instrumento es una solución eficaz para responder a la solicitud de apoyo formulada por el Gobierno de Uruguay para el </w:t>
      </w:r>
      <w:r w:rsidR="006D44FB">
        <w:rPr>
          <w:lang w:val="es-ES_tradnl"/>
        </w:rPr>
        <w:t>p</w:t>
      </w:r>
      <w:r w:rsidR="009B073D" w:rsidRPr="00976BFF">
        <w:rPr>
          <w:lang w:val="es-ES_tradnl"/>
        </w:rPr>
        <w:t>rograma</w:t>
      </w:r>
      <w:r w:rsidRPr="00976BFF">
        <w:rPr>
          <w:lang w:val="es-ES_tradnl"/>
        </w:rPr>
        <w:t xml:space="preserve"> existente de rehabilitación y mantenimiento vial. El enfoque programático y basado en </w:t>
      </w:r>
      <w:r w:rsidRPr="00766354">
        <w:rPr>
          <w:lang w:val="es-ES_tradnl"/>
        </w:rPr>
        <w:t>los</w:t>
      </w:r>
      <w:r w:rsidRPr="00976BFF">
        <w:rPr>
          <w:lang w:val="es-ES_tradnl"/>
        </w:rPr>
        <w:t xml:space="preserve"> resultados incorporado en el financiamiento de </w:t>
      </w:r>
      <w:r w:rsidR="006D44FB">
        <w:rPr>
          <w:lang w:val="es-ES_tradnl"/>
        </w:rPr>
        <w:t>programas</w:t>
      </w:r>
      <w:r w:rsidRPr="00976BFF">
        <w:rPr>
          <w:lang w:val="es-ES_tradnl"/>
        </w:rPr>
        <w:t xml:space="preserve"> por resultados concuerda con el enfoque de la Ley de Presupuesto. Las lecciones aprendidas a través del reciente Proyecto de </w:t>
      </w:r>
      <w:r w:rsidR="005F35F5" w:rsidRPr="00976BFF">
        <w:rPr>
          <w:lang w:val="es-ES_tradnl"/>
        </w:rPr>
        <w:t>M</w:t>
      </w:r>
      <w:r w:rsidRPr="00976BFF">
        <w:rPr>
          <w:lang w:val="es-ES_tradnl"/>
        </w:rPr>
        <w:t xml:space="preserve">antenimiento de la </w:t>
      </w:r>
      <w:r w:rsidR="005F35F5" w:rsidRPr="00976BFF">
        <w:rPr>
          <w:lang w:val="es-ES_tradnl"/>
        </w:rPr>
        <w:t>I</w:t>
      </w:r>
      <w:r w:rsidRPr="00976BFF">
        <w:rPr>
          <w:lang w:val="es-ES_tradnl"/>
        </w:rPr>
        <w:t xml:space="preserve">nfraestructura del </w:t>
      </w:r>
      <w:r w:rsidR="005F35F5" w:rsidRPr="00976BFF">
        <w:rPr>
          <w:lang w:val="es-ES_tradnl"/>
        </w:rPr>
        <w:t>T</w:t>
      </w:r>
      <w:r w:rsidRPr="00976BFF">
        <w:rPr>
          <w:lang w:val="es-ES_tradnl"/>
        </w:rPr>
        <w:t xml:space="preserve">ransporte y el </w:t>
      </w:r>
      <w:r w:rsidR="005F35F5" w:rsidRPr="00976BFF">
        <w:rPr>
          <w:lang w:val="es-ES_tradnl"/>
        </w:rPr>
        <w:t>A</w:t>
      </w:r>
      <w:r w:rsidRPr="00976BFF">
        <w:rPr>
          <w:lang w:val="es-ES_tradnl"/>
        </w:rPr>
        <w:t xml:space="preserve">cceso </w:t>
      </w:r>
      <w:r w:rsidR="005F35F5" w:rsidRPr="00976BFF">
        <w:rPr>
          <w:lang w:val="es-ES_tradnl"/>
        </w:rPr>
        <w:t>R</w:t>
      </w:r>
      <w:r w:rsidRPr="00976BFF">
        <w:rPr>
          <w:lang w:val="es-ES_tradnl"/>
        </w:rPr>
        <w:t>ural</w:t>
      </w:r>
      <w:r w:rsidR="00A22658" w:rsidRPr="00976BFF">
        <w:rPr>
          <w:rFonts w:ascii="ZWAdobeF" w:hAnsi="ZWAdobeF" w:cs="ZWAdobeF"/>
          <w:sz w:val="2"/>
          <w:szCs w:val="2"/>
          <w:lang w:val="es-ES_tradnl"/>
        </w:rPr>
        <w:t>6F</w:t>
      </w:r>
      <w:r w:rsidR="00C41F5D" w:rsidRPr="00976BFF">
        <w:rPr>
          <w:vertAlign w:val="superscript"/>
          <w:lang w:val="es-ES_tradnl"/>
        </w:rPr>
        <w:footnoteReference w:id="7"/>
      </w:r>
      <w:r w:rsidR="001C47AE">
        <w:rPr>
          <w:rFonts w:ascii="ZWAdobeF" w:hAnsi="ZWAdobeF" w:cs="ZWAdobeF"/>
          <w:sz w:val="2"/>
          <w:szCs w:val="2"/>
          <w:lang w:val="es-ES_tradnl"/>
        </w:rPr>
        <w:t xml:space="preserve"> </w:t>
      </w:r>
      <w:r w:rsidR="005930D3" w:rsidRPr="00976BFF">
        <w:rPr>
          <w:lang w:val="es-ES_tradnl"/>
        </w:rPr>
        <w:t xml:space="preserve">ponen de relieve los beneficios de aplicar un enfoque programático en el contexto de la infraestructura vial de Uruguay: en el marco de la ejecución del </w:t>
      </w:r>
      <w:r w:rsidR="006D44FB">
        <w:rPr>
          <w:lang w:val="es-ES_tradnl"/>
        </w:rPr>
        <w:t>p</w:t>
      </w:r>
      <w:r w:rsidR="009B073D" w:rsidRPr="00976BFF">
        <w:rPr>
          <w:lang w:val="es-ES_tradnl"/>
        </w:rPr>
        <w:t>rograma</w:t>
      </w:r>
      <w:r w:rsidR="005930D3" w:rsidRPr="00976BFF">
        <w:rPr>
          <w:lang w:val="es-ES_tradnl"/>
        </w:rPr>
        <w:t xml:space="preserve"> de rehabilitación y mantenimiento vial, la </w:t>
      </w:r>
      <w:r w:rsidR="007A4DF7" w:rsidRPr="00976BFF">
        <w:rPr>
          <w:lang w:val="es-ES_tradnl"/>
        </w:rPr>
        <w:t xml:space="preserve">DNV </w:t>
      </w:r>
      <w:r w:rsidR="005930D3" w:rsidRPr="00976BFF">
        <w:rPr>
          <w:lang w:val="es-ES_tradnl"/>
        </w:rPr>
        <w:t>necesita más flexibilidad y la posibilidad de asignar prioridad o modificar las prioridades en materia de inversión, a medida que cambien las condiciones</w:t>
      </w:r>
      <w:r w:rsidR="007A4DF7" w:rsidRPr="00976BFF">
        <w:rPr>
          <w:lang w:val="es-ES_tradnl"/>
        </w:rPr>
        <w:t>.</w:t>
      </w:r>
    </w:p>
    <w:p w:rsidR="0007594F" w:rsidRPr="00976BFF" w:rsidRDefault="00B6772D" w:rsidP="00625FB3">
      <w:pPr>
        <w:pStyle w:val="Bullet"/>
        <w:rPr>
          <w:lang w:val="es-ES_tradnl"/>
        </w:rPr>
      </w:pPr>
      <w:r w:rsidRPr="00976BFF">
        <w:rPr>
          <w:lang w:val="es-ES_tradnl"/>
        </w:rPr>
        <w:t xml:space="preserve">El financiamiento de </w:t>
      </w:r>
      <w:r w:rsidR="006D44FB">
        <w:rPr>
          <w:lang w:val="es-ES_tradnl"/>
        </w:rPr>
        <w:t>programas</w:t>
      </w:r>
      <w:r w:rsidRPr="00976BFF">
        <w:rPr>
          <w:lang w:val="es-ES_tradnl"/>
        </w:rPr>
        <w:t xml:space="preserve"> por resultados permite adoptar un enfoque holístico de los problemas del sector vial</w:t>
      </w:r>
      <w:r w:rsidR="00792755" w:rsidRPr="00976BFF">
        <w:rPr>
          <w:lang w:val="es-ES_tradnl"/>
        </w:rPr>
        <w:t xml:space="preserve"> en cuyo marco el </w:t>
      </w:r>
      <w:r w:rsidR="006D44FB">
        <w:rPr>
          <w:lang w:val="es-ES_tradnl"/>
        </w:rPr>
        <w:t>p</w:t>
      </w:r>
      <w:r w:rsidR="009B073D" w:rsidRPr="00976BFF">
        <w:rPr>
          <w:lang w:val="es-ES_tradnl"/>
        </w:rPr>
        <w:t>rograma</w:t>
      </w:r>
      <w:r w:rsidR="00792755" w:rsidRPr="00976BFF">
        <w:rPr>
          <w:lang w:val="es-ES_tradnl"/>
        </w:rPr>
        <w:t xml:space="preserve"> de inversiones viales se integra totalmente con un plan polifacético de fortalecimiento institucional. </w:t>
      </w:r>
      <w:r w:rsidR="000E401D" w:rsidRPr="00976BFF">
        <w:rPr>
          <w:lang w:val="es-ES_tradnl"/>
        </w:rPr>
        <w:t>Este instrumento brinda la posibilidad de lograr un mayor grado de armonización con los objetivos del Gobierno en materia de fortalecimiento de los sistemas, en las esferas de planificación de la rehabilitación y el mantenimiento vial, diseño, supervisión, gestión ambiental y social, y seguimiento y evaluación, lo que permite mejorar todo el ciclo de los proyectos y los procesos dentro del sector vial.</w:t>
      </w:r>
    </w:p>
    <w:p w:rsidR="0007594F" w:rsidRPr="00976BFF" w:rsidRDefault="00C3668F" w:rsidP="00625FB3">
      <w:pPr>
        <w:pStyle w:val="Bullet"/>
        <w:rPr>
          <w:lang w:val="es-ES_tradnl"/>
        </w:rPr>
      </w:pPr>
      <w:r w:rsidRPr="00976BFF">
        <w:rPr>
          <w:lang w:val="es-ES_tradnl"/>
        </w:rPr>
        <w:t xml:space="preserve">El Gobierno de Uruguay considera que los desembolsos basados en </w:t>
      </w:r>
      <w:r w:rsidR="006D44FB" w:rsidRPr="00766354">
        <w:rPr>
          <w:lang w:val="es-ES_tradnl"/>
        </w:rPr>
        <w:t xml:space="preserve">los </w:t>
      </w:r>
      <w:r w:rsidRPr="00766354">
        <w:rPr>
          <w:lang w:val="es-ES_tradnl"/>
        </w:rPr>
        <w:t>resultados constituyen un gran incentivo para que exista un mayor grado de rendición de cuentas y para alcanzar los objetivos; en última instancia, la rendición de cuentas por los</w:t>
      </w:r>
      <w:r w:rsidRPr="00976BFF">
        <w:rPr>
          <w:lang w:val="es-ES_tradnl"/>
        </w:rPr>
        <w:t xml:space="preserve"> resultados</w:t>
      </w:r>
      <w:r w:rsidR="00E16365" w:rsidRPr="00976BFF">
        <w:rPr>
          <w:lang w:val="es-ES_tradnl"/>
        </w:rPr>
        <w:t xml:space="preserve"> contribuye a mejorar la eficiencia del gasto público en el sector. </w:t>
      </w:r>
      <w:r w:rsidR="00A82733" w:rsidRPr="00976BFF">
        <w:rPr>
          <w:lang w:val="es-ES_tradnl"/>
        </w:rPr>
        <w:t>Este aspecto forma parte del compromiso general de avanzar gradualmente hacia la ejecución de operaciones basadas en los resultados en el marco de su colaboración con el Banco Mundial, como se establece en la EAP</w:t>
      </w:r>
      <w:r w:rsidR="009C68F7" w:rsidRPr="00976BFF">
        <w:rPr>
          <w:lang w:val="es-ES_tradnl"/>
        </w:rPr>
        <w:t xml:space="preserve">. </w:t>
      </w:r>
    </w:p>
    <w:p w:rsidR="00A764A2" w:rsidRPr="00976BFF" w:rsidRDefault="00A82733" w:rsidP="00625FD2">
      <w:pPr>
        <w:pStyle w:val="MainPara"/>
        <w:rPr>
          <w:lang w:val="es-ES_tradnl"/>
        </w:rPr>
      </w:pPr>
      <w:r w:rsidRPr="00976BFF">
        <w:rPr>
          <w:lang w:val="es-ES_tradnl"/>
        </w:rPr>
        <w:t xml:space="preserve">En esta operación propuesta, </w:t>
      </w:r>
      <w:r w:rsidR="007C64B4" w:rsidRPr="00976BFF">
        <w:rPr>
          <w:lang w:val="es-ES_tradnl"/>
        </w:rPr>
        <w:t xml:space="preserve">el </w:t>
      </w:r>
      <w:r w:rsidRPr="00976BFF">
        <w:rPr>
          <w:lang w:val="es-ES_tradnl"/>
        </w:rPr>
        <w:t xml:space="preserve">Banco Mundial aportará valor agregado a través de: a) </w:t>
      </w:r>
      <w:r w:rsidR="007C64B4" w:rsidRPr="00976BFF">
        <w:rPr>
          <w:lang w:val="es-ES_tradnl"/>
        </w:rPr>
        <w:t xml:space="preserve">sus </w:t>
      </w:r>
      <w:r w:rsidRPr="00976BFF">
        <w:rPr>
          <w:lang w:val="es-ES_tradnl"/>
        </w:rPr>
        <w:t xml:space="preserve">conocimientos técnicos especializados en el sector de infraestructura de transporte, especialmente en materia de contratos de mantenimiento vial basados en </w:t>
      </w:r>
      <w:r w:rsidRPr="00766354">
        <w:rPr>
          <w:lang w:val="es-ES_tradnl"/>
        </w:rPr>
        <w:t>el desempeño;</w:t>
      </w:r>
      <w:r w:rsidRPr="00976BFF">
        <w:rPr>
          <w:lang w:val="es-ES_tradnl"/>
        </w:rPr>
        <w:t xml:space="preserve"> b) </w:t>
      </w:r>
      <w:r w:rsidR="007C64B4" w:rsidRPr="00976BFF">
        <w:rPr>
          <w:lang w:val="es-ES_tradnl"/>
        </w:rPr>
        <w:t xml:space="preserve">sus </w:t>
      </w:r>
      <w:r w:rsidRPr="00976BFF">
        <w:rPr>
          <w:lang w:val="es-ES_tradnl"/>
        </w:rPr>
        <w:t xml:space="preserve">conocimientos especializados sobre gestión del sector público, y c) </w:t>
      </w:r>
      <w:r w:rsidR="007C64B4" w:rsidRPr="00976BFF">
        <w:rPr>
          <w:lang w:val="es-ES_tradnl"/>
        </w:rPr>
        <w:t xml:space="preserve">su capacidad para movilizar los conocimientos globales </w:t>
      </w:r>
      <w:r w:rsidR="00554024" w:rsidRPr="00976BFF">
        <w:rPr>
          <w:lang w:val="es-ES_tradnl"/>
        </w:rPr>
        <w:t xml:space="preserve">y para incorporar </w:t>
      </w:r>
      <w:r w:rsidR="006D44FB" w:rsidRPr="00976BFF">
        <w:rPr>
          <w:lang w:val="es-ES_tradnl"/>
        </w:rPr>
        <w:t xml:space="preserve">en el contexto uruguayo </w:t>
      </w:r>
      <w:r w:rsidR="00554024" w:rsidRPr="00976BFF">
        <w:rPr>
          <w:lang w:val="es-ES_tradnl"/>
        </w:rPr>
        <w:t xml:space="preserve">las experiencias óptimas recogidas en el sector a nivel regional o mundial. En este respecto, el </w:t>
      </w:r>
      <w:r w:rsidR="007A653A" w:rsidRPr="00976BFF">
        <w:rPr>
          <w:lang w:val="es-ES_tradnl"/>
        </w:rPr>
        <w:t xml:space="preserve">Plan de Acción del </w:t>
      </w:r>
      <w:r w:rsidR="00650A31">
        <w:rPr>
          <w:lang w:val="es-ES_tradnl"/>
        </w:rPr>
        <w:t>programa</w:t>
      </w:r>
      <w:r w:rsidR="00554024" w:rsidRPr="00976BFF">
        <w:rPr>
          <w:lang w:val="es-ES_tradnl"/>
        </w:rPr>
        <w:t xml:space="preserve">, </w:t>
      </w:r>
      <w:r w:rsidR="00367B6E" w:rsidRPr="00976BFF">
        <w:rPr>
          <w:lang w:val="es-ES_tradnl"/>
        </w:rPr>
        <w:t xml:space="preserve">que se formuló sobre la base de las evaluaciones técnica, fiduciaria y ambiental y social realizadas en la etapa de preparación, está totalmente integrado en el diseño de la operación y aborda las cuestiones de fortalecimiento institucional de manera integral. El </w:t>
      </w:r>
      <w:r w:rsidR="007A653A" w:rsidRPr="00976BFF">
        <w:rPr>
          <w:lang w:val="es-ES_tradnl"/>
        </w:rPr>
        <w:t xml:space="preserve">Plan de Acción del </w:t>
      </w:r>
      <w:r w:rsidR="00650A31">
        <w:rPr>
          <w:lang w:val="es-ES_tradnl"/>
        </w:rPr>
        <w:t>programa</w:t>
      </w:r>
      <w:r w:rsidR="00367B6E" w:rsidRPr="00976BFF">
        <w:rPr>
          <w:lang w:val="es-ES_tradnl"/>
        </w:rPr>
        <w:t xml:space="preserve"> se describe en detalle en el anexo 8</w:t>
      </w:r>
      <w:r w:rsidR="00EA0FD2" w:rsidRPr="00976BFF">
        <w:rPr>
          <w:lang w:val="es-ES_tradnl"/>
        </w:rPr>
        <w:t>.</w:t>
      </w:r>
    </w:p>
    <w:p w:rsidR="001535B3" w:rsidRPr="00976BFF" w:rsidRDefault="001535B3" w:rsidP="004E4895">
      <w:pPr>
        <w:pStyle w:val="NoSpacing"/>
        <w:ind w:left="360"/>
        <w:rPr>
          <w:rFonts w:ascii="Times New Roman" w:hAnsi="Times New Roman" w:cs="Times New Roman"/>
          <w:lang w:val="es-ES_tradnl"/>
        </w:rPr>
      </w:pPr>
    </w:p>
    <w:p w:rsidR="001535B3" w:rsidRPr="00976BFF" w:rsidRDefault="001535B3" w:rsidP="004E4895">
      <w:pPr>
        <w:pStyle w:val="NoSpacing"/>
        <w:ind w:left="360"/>
        <w:rPr>
          <w:rFonts w:ascii="Times New Roman" w:hAnsi="Times New Roman" w:cs="Times New Roman"/>
          <w:lang w:val="es-ES_tradnl"/>
        </w:rPr>
      </w:pPr>
    </w:p>
    <w:p w:rsidR="004E4895" w:rsidRPr="00976BFF" w:rsidRDefault="00367B6E" w:rsidP="006068D8">
      <w:pPr>
        <w:pStyle w:val="Heading1"/>
        <w:rPr>
          <w:lang w:val="es-ES_tradnl"/>
        </w:rPr>
      </w:pPr>
      <w:bookmarkStart w:id="7" w:name="_Toc344927148"/>
      <w:r w:rsidRPr="00976BFF">
        <w:rPr>
          <w:lang w:val="es-ES_tradnl"/>
        </w:rPr>
        <w:t xml:space="preserve">DESCRIPCIÓN DEL </w:t>
      </w:r>
      <w:r w:rsidR="001D2940" w:rsidRPr="00976BFF">
        <w:rPr>
          <w:lang w:val="es-ES_tradnl"/>
        </w:rPr>
        <w:t>PROGRAM</w:t>
      </w:r>
      <w:r w:rsidRPr="00976BFF">
        <w:rPr>
          <w:lang w:val="es-ES_tradnl"/>
        </w:rPr>
        <w:t>A</w:t>
      </w:r>
      <w:bookmarkEnd w:id="7"/>
    </w:p>
    <w:p w:rsidR="000C4985" w:rsidRPr="00976BFF" w:rsidRDefault="00367B6E" w:rsidP="006068D8">
      <w:pPr>
        <w:pStyle w:val="Heading2"/>
        <w:rPr>
          <w:lang w:val="es-ES_tradnl"/>
        </w:rPr>
      </w:pPr>
      <w:bookmarkStart w:id="8" w:name="_Toc344927149"/>
      <w:r w:rsidRPr="00976BFF">
        <w:rPr>
          <w:lang w:val="es-ES_tradnl"/>
        </w:rPr>
        <w:t xml:space="preserve">Alcance del </w:t>
      </w:r>
      <w:bookmarkEnd w:id="8"/>
      <w:r w:rsidR="00650A31">
        <w:rPr>
          <w:lang w:val="es-ES_tradnl"/>
        </w:rPr>
        <w:t>programa</w:t>
      </w:r>
    </w:p>
    <w:p w:rsidR="00C47D88" w:rsidRPr="00976BFF" w:rsidRDefault="00367B6E" w:rsidP="00625FD2">
      <w:pPr>
        <w:pStyle w:val="MainPara"/>
        <w:rPr>
          <w:lang w:val="es-ES_tradnl"/>
        </w:rPr>
      </w:pPr>
      <w:r w:rsidRPr="00976BFF">
        <w:rPr>
          <w:lang w:val="es-ES_tradnl"/>
        </w:rPr>
        <w:t xml:space="preserve">El </w:t>
      </w:r>
      <w:r w:rsidR="00650A31">
        <w:rPr>
          <w:lang w:val="es-ES_tradnl"/>
        </w:rPr>
        <w:t>programa</w:t>
      </w:r>
      <w:r w:rsidRPr="00976BFF">
        <w:rPr>
          <w:lang w:val="es-ES_tradnl"/>
        </w:rPr>
        <w:t xml:space="preserve"> consta de las siguientes actividades, que el MTOP y CVU llevarán a cabo en la </w:t>
      </w:r>
      <w:r w:rsidR="00834929" w:rsidRPr="00976BFF">
        <w:rPr>
          <w:lang w:val="es-ES_tradnl"/>
        </w:rPr>
        <w:t>r</w:t>
      </w:r>
      <w:r w:rsidRPr="00976BFF">
        <w:rPr>
          <w:lang w:val="es-ES_tradnl"/>
        </w:rPr>
        <w:t xml:space="preserve">ed </w:t>
      </w:r>
      <w:r w:rsidR="00834929" w:rsidRPr="00976BFF">
        <w:rPr>
          <w:lang w:val="es-ES_tradnl"/>
        </w:rPr>
        <w:t>vial n</w:t>
      </w:r>
      <w:r w:rsidRPr="00976BFF">
        <w:rPr>
          <w:lang w:val="es-ES_tradnl"/>
        </w:rPr>
        <w:t xml:space="preserve">acional de Uruguay, desde el 1 de enero de 2013 hasta el 31 de diciembre de </w:t>
      </w:r>
      <w:r w:rsidR="003C3FC8" w:rsidRPr="00976BFF">
        <w:rPr>
          <w:lang w:val="es-ES_tradnl"/>
        </w:rPr>
        <w:t>2015:</w:t>
      </w:r>
    </w:p>
    <w:p w:rsidR="00897FF7" w:rsidRPr="00976BFF" w:rsidRDefault="00367B6E" w:rsidP="00F4177E">
      <w:pPr>
        <w:pStyle w:val="Bullet"/>
        <w:numPr>
          <w:ilvl w:val="0"/>
          <w:numId w:val="21"/>
        </w:numPr>
        <w:ind w:left="720"/>
        <w:rPr>
          <w:lang w:val="es-ES_tradnl"/>
        </w:rPr>
      </w:pPr>
      <w:r w:rsidRPr="00976BFF">
        <w:rPr>
          <w:lang w:val="es-ES_tradnl"/>
        </w:rPr>
        <w:t>Obras de rehabilitación o mantenimiento vial, que incluyen, entre otras, las siguientes</w:t>
      </w:r>
      <w:r w:rsidR="00C47D88" w:rsidRPr="00976BFF">
        <w:rPr>
          <w:lang w:val="es-ES_tradnl"/>
        </w:rPr>
        <w:t xml:space="preserve">: i) </w:t>
      </w:r>
      <w:r w:rsidRPr="00976BFF">
        <w:rPr>
          <w:lang w:val="es-ES_tradnl"/>
        </w:rPr>
        <w:t xml:space="preserve">rehabilitación de </w:t>
      </w:r>
      <w:r w:rsidR="00E2745F" w:rsidRPr="00976BFF">
        <w:rPr>
          <w:lang w:val="es-ES_tradnl"/>
        </w:rPr>
        <w:t xml:space="preserve">pavimentos; ii) renovación de la superficie de pavimentos; </w:t>
      </w:r>
      <w:r w:rsidR="00C47D88" w:rsidRPr="00976BFF">
        <w:rPr>
          <w:lang w:val="es-ES_tradnl"/>
        </w:rPr>
        <w:t xml:space="preserve">iii) </w:t>
      </w:r>
      <w:r w:rsidR="00E2745F" w:rsidRPr="00976BFF">
        <w:rPr>
          <w:lang w:val="es-ES_tradnl"/>
        </w:rPr>
        <w:t xml:space="preserve">rehabilitación o </w:t>
      </w:r>
      <w:r w:rsidR="00C61C8D" w:rsidRPr="00976BFF">
        <w:rPr>
          <w:lang w:val="es-ES_tradnl"/>
        </w:rPr>
        <w:t>pavimentación</w:t>
      </w:r>
      <w:r w:rsidR="00E2745F" w:rsidRPr="00976BFF">
        <w:rPr>
          <w:lang w:val="es-ES_tradnl"/>
        </w:rPr>
        <w:t xml:space="preserve"> de banquinas</w:t>
      </w:r>
      <w:r w:rsidR="00C47D88" w:rsidRPr="00976BFF">
        <w:rPr>
          <w:lang w:val="es-ES_tradnl"/>
        </w:rPr>
        <w:t>; iv) repa</w:t>
      </w:r>
      <w:r w:rsidR="00E2745F" w:rsidRPr="00976BFF">
        <w:rPr>
          <w:lang w:val="es-ES_tradnl"/>
        </w:rPr>
        <w:t>ración o mejoramiento de sistemas de drenaje, y v) rehabilitación y mantenimiento de la señalización vial tanto vertical como horizontal</w:t>
      </w:r>
      <w:r w:rsidR="00C47D88" w:rsidRPr="00976BFF">
        <w:rPr>
          <w:lang w:val="es-ES_tradnl"/>
        </w:rPr>
        <w:t>.</w:t>
      </w:r>
    </w:p>
    <w:p w:rsidR="00897FF7" w:rsidRPr="00976BFF" w:rsidRDefault="00E2745F" w:rsidP="00F4177E">
      <w:pPr>
        <w:pStyle w:val="Bullet"/>
        <w:numPr>
          <w:ilvl w:val="0"/>
          <w:numId w:val="21"/>
        </w:numPr>
        <w:ind w:left="720"/>
        <w:rPr>
          <w:lang w:val="es-ES_tradnl"/>
        </w:rPr>
      </w:pPr>
      <w:r w:rsidRPr="00976BFF">
        <w:rPr>
          <w:lang w:val="es-ES_tradnl"/>
        </w:rPr>
        <w:t>Obras de rehabilitación y mantenimiento de puentes, que incluyen, entre otras, las siguientes</w:t>
      </w:r>
      <w:r w:rsidR="00C47D88" w:rsidRPr="00976BFF">
        <w:rPr>
          <w:lang w:val="es-ES_tradnl"/>
        </w:rPr>
        <w:t xml:space="preserve">: i) </w:t>
      </w:r>
      <w:r w:rsidR="00F5746F" w:rsidRPr="00976BFF">
        <w:rPr>
          <w:lang w:val="es-ES_tradnl"/>
        </w:rPr>
        <w:t>reparación de la estructura de tableros, estribos, pilares y cimientos, y ii) mejoramiento de las características funcionales de los puentes, como por ejemplo aumentar la longitud, ensanchar el tablero y aumentar la capacidad de carga de un puente</w:t>
      </w:r>
      <w:r w:rsidR="00C47D88" w:rsidRPr="00976BFF">
        <w:rPr>
          <w:lang w:val="es-ES_tradnl"/>
        </w:rPr>
        <w:t>.</w:t>
      </w:r>
    </w:p>
    <w:p w:rsidR="00897FF7" w:rsidRPr="00976BFF" w:rsidRDefault="00F5746F" w:rsidP="00F4177E">
      <w:pPr>
        <w:pStyle w:val="Bullet"/>
        <w:numPr>
          <w:ilvl w:val="0"/>
          <w:numId w:val="21"/>
        </w:numPr>
        <w:ind w:left="720"/>
        <w:rPr>
          <w:lang w:val="es-ES_tradnl"/>
        </w:rPr>
      </w:pPr>
      <w:r w:rsidRPr="00976BFF">
        <w:rPr>
          <w:lang w:val="es-ES_tradnl"/>
        </w:rPr>
        <w:t>Obras de reconstrucción de puentes, que consisten en la construcción de una nueva estructura y sus caminos de acceso contiguos, para reemplazar un puente existente en el mismo lugar o en sus alrededores</w:t>
      </w:r>
      <w:r w:rsidR="00C47D88" w:rsidRPr="00976BFF">
        <w:rPr>
          <w:lang w:val="es-ES_tradnl"/>
        </w:rPr>
        <w:t>.</w:t>
      </w:r>
    </w:p>
    <w:p w:rsidR="00897FF7" w:rsidRPr="00976BFF" w:rsidRDefault="00C47D88" w:rsidP="00F4177E">
      <w:pPr>
        <w:pStyle w:val="Bullet"/>
        <w:numPr>
          <w:ilvl w:val="0"/>
          <w:numId w:val="21"/>
        </w:numPr>
        <w:ind w:left="720"/>
        <w:rPr>
          <w:lang w:val="es-ES_tradnl"/>
        </w:rPr>
      </w:pPr>
      <w:r w:rsidRPr="00976BFF">
        <w:rPr>
          <w:lang w:val="es-ES_tradnl"/>
        </w:rPr>
        <w:t>A</w:t>
      </w:r>
      <w:r w:rsidR="00F5746F" w:rsidRPr="00976BFF">
        <w:rPr>
          <w:lang w:val="es-ES_tradnl"/>
        </w:rPr>
        <w:t>dquisición, instalación y mantenimiento de equipos de seguridad vial</w:t>
      </w:r>
      <w:r w:rsidRPr="00976BFF">
        <w:rPr>
          <w:lang w:val="es-ES_tradnl"/>
        </w:rPr>
        <w:t>.</w:t>
      </w:r>
    </w:p>
    <w:p w:rsidR="00897FF7" w:rsidRPr="00976BFF" w:rsidRDefault="003C6F41" w:rsidP="00A22658">
      <w:pPr>
        <w:pStyle w:val="Bullet"/>
        <w:numPr>
          <w:ilvl w:val="0"/>
          <w:numId w:val="21"/>
        </w:numPr>
        <w:autoSpaceDE w:val="0"/>
        <w:ind w:left="720"/>
        <w:rPr>
          <w:lang w:val="es-ES_tradnl"/>
        </w:rPr>
      </w:pPr>
      <w:r w:rsidRPr="00976BFF">
        <w:rPr>
          <w:lang w:val="es-ES_tradnl"/>
        </w:rPr>
        <w:t>Suministro de asistencia técnica a la DNV, la Dirección Nacional de Topografía (</w:t>
      </w:r>
      <w:r w:rsidR="00C47D88" w:rsidRPr="00976BFF">
        <w:rPr>
          <w:lang w:val="es-ES_tradnl"/>
        </w:rPr>
        <w:t>DNTop</w:t>
      </w:r>
      <w:r w:rsidRPr="00976BFF">
        <w:rPr>
          <w:lang w:val="es-ES_tradnl"/>
        </w:rPr>
        <w:t>)</w:t>
      </w:r>
      <w:r w:rsidR="00A22658" w:rsidRPr="00976BFF">
        <w:rPr>
          <w:rFonts w:ascii="ZWAdobeF" w:hAnsi="ZWAdobeF" w:cs="ZWAdobeF"/>
          <w:sz w:val="2"/>
          <w:szCs w:val="2"/>
          <w:lang w:val="es-ES_tradnl"/>
        </w:rPr>
        <w:t>7F</w:t>
      </w:r>
      <w:r w:rsidR="008D54B9" w:rsidRPr="00976BFF">
        <w:rPr>
          <w:rStyle w:val="FootnoteReference"/>
          <w:lang w:val="es-ES_tradnl"/>
        </w:rPr>
        <w:footnoteReference w:id="8"/>
      </w:r>
      <w:r w:rsidR="00C47D88" w:rsidRPr="00976BFF">
        <w:rPr>
          <w:lang w:val="es-ES_tradnl"/>
        </w:rPr>
        <w:t xml:space="preserve"> </w:t>
      </w:r>
      <w:r w:rsidRPr="00976BFF">
        <w:rPr>
          <w:lang w:val="es-ES_tradnl"/>
        </w:rPr>
        <w:t>y</w:t>
      </w:r>
      <w:r w:rsidR="00C47D88" w:rsidRPr="00976BFF">
        <w:rPr>
          <w:lang w:val="es-ES_tradnl"/>
        </w:rPr>
        <w:t xml:space="preserve"> </w:t>
      </w:r>
      <w:r w:rsidRPr="00976BFF">
        <w:rPr>
          <w:lang w:val="es-ES_tradnl"/>
        </w:rPr>
        <w:t>la Dirección Nacional de Planificación y Logística (</w:t>
      </w:r>
      <w:r w:rsidR="00C47D88" w:rsidRPr="00976BFF">
        <w:rPr>
          <w:lang w:val="es-ES_tradnl"/>
        </w:rPr>
        <w:t>DINAPLO</w:t>
      </w:r>
      <w:r w:rsidRPr="00976BFF">
        <w:rPr>
          <w:lang w:val="es-ES_tradnl"/>
        </w:rPr>
        <w:t>)</w:t>
      </w:r>
      <w:r w:rsidR="00A22658" w:rsidRPr="00976BFF">
        <w:rPr>
          <w:rFonts w:ascii="ZWAdobeF" w:hAnsi="ZWAdobeF" w:cs="ZWAdobeF"/>
          <w:sz w:val="2"/>
          <w:szCs w:val="2"/>
          <w:lang w:val="es-ES_tradnl"/>
        </w:rPr>
        <w:t>8F</w:t>
      </w:r>
      <w:r w:rsidR="008D54B9" w:rsidRPr="00976BFF">
        <w:rPr>
          <w:rStyle w:val="FootnoteReference"/>
          <w:lang w:val="es-ES_tradnl"/>
        </w:rPr>
        <w:footnoteReference w:id="9"/>
      </w:r>
      <w:r w:rsidR="00C47D88" w:rsidRPr="00976BFF">
        <w:rPr>
          <w:lang w:val="es-ES_tradnl"/>
        </w:rPr>
        <w:t>,</w:t>
      </w:r>
      <w:r w:rsidRPr="00976BFF">
        <w:rPr>
          <w:lang w:val="es-ES_tradnl"/>
        </w:rPr>
        <w:t xml:space="preserve"> que incluye</w:t>
      </w:r>
      <w:r w:rsidR="00AE3581">
        <w:rPr>
          <w:lang w:val="es-ES_tradnl"/>
        </w:rPr>
        <w:t xml:space="preserve"> realizar</w:t>
      </w:r>
      <w:r w:rsidRPr="00976BFF">
        <w:rPr>
          <w:lang w:val="es-ES_tradnl"/>
        </w:rPr>
        <w:t xml:space="preserve">, </w:t>
      </w:r>
      <w:r w:rsidR="00913B5D" w:rsidRPr="00913B5D">
        <w:rPr>
          <w:i/>
          <w:lang w:val="es-ES_tradnl"/>
        </w:rPr>
        <w:t>inter alia</w:t>
      </w:r>
      <w:r w:rsidRPr="00976BFF">
        <w:rPr>
          <w:lang w:val="es-ES_tradnl"/>
        </w:rPr>
        <w:t>, l</w:t>
      </w:r>
      <w:r w:rsidR="00913B5D">
        <w:rPr>
          <w:lang w:val="es-ES_tradnl"/>
        </w:rPr>
        <w:t>o</w:t>
      </w:r>
      <w:r w:rsidRPr="00976BFF">
        <w:rPr>
          <w:lang w:val="es-ES_tradnl"/>
        </w:rPr>
        <w:t xml:space="preserve"> siguiente</w:t>
      </w:r>
      <w:r w:rsidR="00C47D88" w:rsidRPr="00976BFF">
        <w:rPr>
          <w:lang w:val="es-ES_tradnl"/>
        </w:rPr>
        <w:t xml:space="preserve">: i) </w:t>
      </w:r>
      <w:r w:rsidRPr="00976BFF">
        <w:rPr>
          <w:lang w:val="es-ES_tradnl"/>
        </w:rPr>
        <w:t xml:space="preserve">relevamientos del estado de los caminos; ii) actividades de capacitación y fortalecimiento de la capacidad, y iii) los estudios necesarios para ejecutar el </w:t>
      </w:r>
      <w:r w:rsidR="00650A31">
        <w:rPr>
          <w:lang w:val="es-ES_tradnl"/>
        </w:rPr>
        <w:t>programa</w:t>
      </w:r>
      <w:r w:rsidR="00C47D88" w:rsidRPr="00976BFF">
        <w:rPr>
          <w:lang w:val="es-ES_tradnl"/>
        </w:rPr>
        <w:t>.</w:t>
      </w:r>
    </w:p>
    <w:p w:rsidR="00A764A2" w:rsidRPr="00976BFF" w:rsidRDefault="00F1148A" w:rsidP="00625FD2">
      <w:pPr>
        <w:pStyle w:val="MainPara"/>
        <w:rPr>
          <w:lang w:val="es-ES_tradnl"/>
        </w:rPr>
      </w:pPr>
      <w:bookmarkStart w:id="9" w:name="_Ref324866940"/>
      <w:r w:rsidRPr="00976BFF">
        <w:rPr>
          <w:b/>
          <w:lang w:val="es-ES_tradnl"/>
        </w:rPr>
        <w:t>Actividades de alto riesgo</w:t>
      </w:r>
      <w:r w:rsidR="00BE28DC" w:rsidRPr="000B5989">
        <w:rPr>
          <w:b/>
          <w:lang w:val="es-ES_tradnl"/>
        </w:rPr>
        <w:t>.</w:t>
      </w:r>
      <w:r w:rsidR="00BE28DC" w:rsidRPr="00976BFF">
        <w:rPr>
          <w:lang w:val="es-ES_tradnl"/>
        </w:rPr>
        <w:t xml:space="preserve"> </w:t>
      </w:r>
      <w:r w:rsidR="002F7CF2" w:rsidRPr="00976BFF">
        <w:rPr>
          <w:lang w:val="es-ES_tradnl"/>
        </w:rPr>
        <w:t>Como se confirm</w:t>
      </w:r>
      <w:r w:rsidR="00360D87">
        <w:rPr>
          <w:lang w:val="es-ES_tradnl"/>
        </w:rPr>
        <w:t>ó</w:t>
      </w:r>
      <w:r w:rsidR="002F7CF2" w:rsidRPr="00976BFF">
        <w:rPr>
          <w:lang w:val="es-ES_tradnl"/>
        </w:rPr>
        <w:t xml:space="preserve"> durante la evaluación inicial, el </w:t>
      </w:r>
      <w:r w:rsidR="00650A31">
        <w:rPr>
          <w:lang w:val="es-ES_tradnl"/>
        </w:rPr>
        <w:t>programa</w:t>
      </w:r>
      <w:r w:rsidR="002F7CF2" w:rsidRPr="00976BFF">
        <w:rPr>
          <w:lang w:val="es-ES_tradnl"/>
        </w:rPr>
        <w:t xml:space="preserve"> no incluye actividades que </w:t>
      </w:r>
      <w:r w:rsidR="00346DEE">
        <w:rPr>
          <w:lang w:val="es-ES_tradnl"/>
        </w:rPr>
        <w:t>podrían tener</w:t>
      </w:r>
      <w:r w:rsidR="002F7CF2" w:rsidRPr="00976BFF">
        <w:rPr>
          <w:lang w:val="es-ES_tradnl"/>
        </w:rPr>
        <w:t xml:space="preserve"> un impacto negativo significativo en el medio ambiente o las personas</w:t>
      </w:r>
      <w:r w:rsidR="006D44FB">
        <w:rPr>
          <w:lang w:val="es-ES_tradnl"/>
        </w:rPr>
        <w:t xml:space="preserve"> afectadas</w:t>
      </w:r>
      <w:r w:rsidR="002F7CF2" w:rsidRPr="00976BFF">
        <w:rPr>
          <w:lang w:val="es-ES_tradnl"/>
        </w:rPr>
        <w:t xml:space="preserve">, como se define en la </w:t>
      </w:r>
      <w:r w:rsidR="00FD0088">
        <w:rPr>
          <w:lang w:val="es-ES_tradnl"/>
        </w:rPr>
        <w:t>p</w:t>
      </w:r>
      <w:r w:rsidR="00FD0088" w:rsidRPr="00976BFF">
        <w:rPr>
          <w:lang w:val="es-ES_tradnl"/>
        </w:rPr>
        <w:t xml:space="preserve">olítica </w:t>
      </w:r>
      <w:r w:rsidR="00FD0088">
        <w:rPr>
          <w:lang w:val="es-ES_tradnl"/>
        </w:rPr>
        <w:t>o</w:t>
      </w:r>
      <w:r w:rsidR="00FD0088" w:rsidRPr="00976BFF">
        <w:rPr>
          <w:lang w:val="es-ES_tradnl"/>
        </w:rPr>
        <w:t xml:space="preserve">peracional </w:t>
      </w:r>
      <w:r w:rsidR="00D1058D" w:rsidRPr="00822E46">
        <w:rPr>
          <w:lang w:val="es-ES_tradnl"/>
        </w:rPr>
        <w:t>(</w:t>
      </w:r>
      <w:r w:rsidR="003506CF" w:rsidRPr="00822E46">
        <w:rPr>
          <w:lang w:val="es-ES_tradnl"/>
        </w:rPr>
        <w:t>OP</w:t>
      </w:r>
      <w:r w:rsidR="00D1058D" w:rsidRPr="00822E46">
        <w:rPr>
          <w:lang w:val="es-ES_tradnl"/>
        </w:rPr>
        <w:t>)</w:t>
      </w:r>
      <w:r w:rsidR="003506CF" w:rsidRPr="00822E46">
        <w:rPr>
          <w:lang w:val="es-ES_tradnl"/>
        </w:rPr>
        <w:t xml:space="preserve"> 9.00</w:t>
      </w:r>
      <w:r w:rsidR="00676626" w:rsidRPr="00822E46">
        <w:rPr>
          <w:lang w:val="es-ES_tradnl"/>
        </w:rPr>
        <w:t>,</w:t>
      </w:r>
      <w:r w:rsidR="00676626" w:rsidRPr="00976BFF">
        <w:rPr>
          <w:lang w:val="es-ES_tradnl"/>
        </w:rPr>
        <w:t xml:space="preserve"> </w:t>
      </w:r>
      <w:r w:rsidR="00360D87">
        <w:rPr>
          <w:lang w:val="es-ES_tradnl"/>
        </w:rPr>
        <w:t>ni</w:t>
      </w:r>
      <w:r w:rsidR="002F7CF2" w:rsidRPr="00976BFF">
        <w:rPr>
          <w:lang w:val="es-ES_tradnl"/>
        </w:rPr>
        <w:t xml:space="preserve"> tampoco contratos por obras, bienes o servicios de consultoría que superen los umbrales establecidos por el </w:t>
      </w:r>
      <w:r w:rsidR="006D44FB" w:rsidRPr="00766354">
        <w:rPr>
          <w:color w:val="000000"/>
          <w:lang w:val="es-ES_tradnl"/>
        </w:rPr>
        <w:t>Comité de E</w:t>
      </w:r>
      <w:r w:rsidR="002F7CF2" w:rsidRPr="00766354">
        <w:rPr>
          <w:color w:val="000000"/>
          <w:lang w:val="es-ES_tradnl"/>
        </w:rPr>
        <w:t xml:space="preserve">xamen de las </w:t>
      </w:r>
      <w:r w:rsidR="006D44FB" w:rsidRPr="00766354">
        <w:rPr>
          <w:color w:val="000000"/>
          <w:lang w:val="es-ES_tradnl"/>
        </w:rPr>
        <w:t>A</w:t>
      </w:r>
      <w:r w:rsidR="002F7CF2" w:rsidRPr="00766354">
        <w:rPr>
          <w:color w:val="000000"/>
          <w:lang w:val="es-ES_tradnl"/>
        </w:rPr>
        <w:t xml:space="preserve">dquisiciones para las </w:t>
      </w:r>
      <w:r w:rsidR="006D44FB" w:rsidRPr="00766354">
        <w:rPr>
          <w:color w:val="000000"/>
          <w:lang w:val="es-ES_tradnl"/>
        </w:rPr>
        <w:t>O</w:t>
      </w:r>
      <w:r w:rsidR="002F7CF2" w:rsidRPr="00766354">
        <w:rPr>
          <w:color w:val="000000"/>
          <w:lang w:val="es-ES_tradnl"/>
        </w:rPr>
        <w:t>peraciones.</w:t>
      </w:r>
      <w:r w:rsidR="002F7CF2" w:rsidRPr="00976BFF">
        <w:rPr>
          <w:color w:val="000000"/>
          <w:lang w:val="es-ES_tradnl"/>
        </w:rPr>
        <w:t xml:space="preserve"> Como parte del apoyo a la ejecución, el Banco Mundial examinará la ejecución del </w:t>
      </w:r>
      <w:r w:rsidR="00650A31">
        <w:rPr>
          <w:color w:val="000000"/>
          <w:lang w:val="es-ES_tradnl"/>
        </w:rPr>
        <w:t>programa</w:t>
      </w:r>
      <w:r w:rsidR="002F7CF2" w:rsidRPr="00976BFF">
        <w:rPr>
          <w:color w:val="000000"/>
          <w:lang w:val="es-ES_tradnl"/>
        </w:rPr>
        <w:t xml:space="preserve"> para verificar que no se emprendan actividades de alto riesgo en su marco</w:t>
      </w:r>
      <w:r w:rsidR="009C498B" w:rsidRPr="00976BFF">
        <w:rPr>
          <w:lang w:val="es-ES_tradnl"/>
        </w:rPr>
        <w:t>.</w:t>
      </w:r>
      <w:bookmarkEnd w:id="9"/>
    </w:p>
    <w:p w:rsidR="0007594F" w:rsidRPr="00976BFF" w:rsidRDefault="002F7CF2" w:rsidP="00625FD2">
      <w:pPr>
        <w:pStyle w:val="MainPara"/>
        <w:rPr>
          <w:lang w:val="es-ES_tradnl"/>
        </w:rPr>
      </w:pPr>
      <w:r w:rsidRPr="00976BFF">
        <w:rPr>
          <w:b/>
          <w:lang w:val="es-ES_tradnl"/>
        </w:rPr>
        <w:t xml:space="preserve">Resultados del </w:t>
      </w:r>
      <w:r w:rsidR="00650A31">
        <w:rPr>
          <w:b/>
          <w:lang w:val="es-ES_tradnl"/>
        </w:rPr>
        <w:t>programa</w:t>
      </w:r>
      <w:r w:rsidR="00BE28DC" w:rsidRPr="000B5989">
        <w:rPr>
          <w:b/>
          <w:lang w:val="es-ES_tradnl"/>
        </w:rPr>
        <w:t>.</w:t>
      </w:r>
      <w:r w:rsidR="00BE28DC" w:rsidRPr="00976BFF">
        <w:rPr>
          <w:lang w:val="es-ES_tradnl"/>
        </w:rPr>
        <w:t xml:space="preserve"> </w:t>
      </w:r>
      <w:r w:rsidR="00DE20FE" w:rsidRPr="00976BFF">
        <w:rPr>
          <w:lang w:val="es-ES_tradnl"/>
        </w:rPr>
        <w:t xml:space="preserve">A través del </w:t>
      </w:r>
      <w:r w:rsidR="00650A31">
        <w:rPr>
          <w:lang w:val="es-ES_tradnl"/>
        </w:rPr>
        <w:t>programa</w:t>
      </w:r>
      <w:r w:rsidR="00DE20FE" w:rsidRPr="00976BFF">
        <w:rPr>
          <w:lang w:val="es-ES_tradnl"/>
        </w:rPr>
        <w:t xml:space="preserve"> se respaldarán las siguientes actividades</w:t>
      </w:r>
      <w:r w:rsidR="0058434B" w:rsidRPr="00976BFF">
        <w:rPr>
          <w:bCs/>
          <w:iCs/>
          <w:lang w:val="es-ES_tradnl"/>
        </w:rPr>
        <w:t xml:space="preserve">: </w:t>
      </w:r>
    </w:p>
    <w:p w:rsidR="00A764A2" w:rsidRPr="00976BFF" w:rsidRDefault="00DE20FE" w:rsidP="00625FB3">
      <w:pPr>
        <w:pStyle w:val="Bullet"/>
        <w:rPr>
          <w:lang w:val="es-ES_tradnl"/>
        </w:rPr>
      </w:pPr>
      <w:r w:rsidRPr="00976BFF">
        <w:rPr>
          <w:b/>
          <w:i/>
          <w:lang w:val="es-ES_tradnl"/>
        </w:rPr>
        <w:t>Mejoramiento del estado de la infraestructura vial y lo</w:t>
      </w:r>
      <w:r w:rsidR="002074B1" w:rsidRPr="00976BFF">
        <w:rPr>
          <w:b/>
          <w:i/>
          <w:lang w:val="es-ES_tradnl"/>
        </w:rPr>
        <w:t>s puentes</w:t>
      </w:r>
      <w:r w:rsidR="002074B1" w:rsidRPr="000B5989">
        <w:rPr>
          <w:i/>
          <w:lang w:val="es-ES_tradnl"/>
        </w:rPr>
        <w:t>,</w:t>
      </w:r>
      <w:r w:rsidR="0058434B" w:rsidRPr="00976BFF">
        <w:rPr>
          <w:lang w:val="es-ES_tradnl"/>
        </w:rPr>
        <w:t xml:space="preserve"> </w:t>
      </w:r>
      <w:r w:rsidR="002074B1" w:rsidRPr="00976BFF">
        <w:rPr>
          <w:lang w:val="es-ES_tradnl"/>
        </w:rPr>
        <w:t xml:space="preserve">a través de la adecuada rehabilitación de los tramos seleccionados de la </w:t>
      </w:r>
      <w:r w:rsidR="00834929" w:rsidRPr="00976BFF">
        <w:rPr>
          <w:lang w:val="es-ES_tradnl"/>
        </w:rPr>
        <w:t>r</w:t>
      </w:r>
      <w:r w:rsidR="002074B1" w:rsidRPr="00976BFF">
        <w:rPr>
          <w:lang w:val="es-ES_tradnl"/>
        </w:rPr>
        <w:t xml:space="preserve">ed </w:t>
      </w:r>
      <w:r w:rsidR="00834929" w:rsidRPr="00976BFF">
        <w:rPr>
          <w:lang w:val="es-ES_tradnl"/>
        </w:rPr>
        <w:t>vial n</w:t>
      </w:r>
      <w:r w:rsidR="002074B1" w:rsidRPr="00976BFF">
        <w:rPr>
          <w:lang w:val="es-ES_tradnl"/>
        </w:rPr>
        <w:t xml:space="preserve">acional de Uruguay. Se estima que </w:t>
      </w:r>
      <w:r w:rsidR="006D44FB" w:rsidRPr="00976BFF">
        <w:rPr>
          <w:lang w:val="es-ES_tradnl"/>
        </w:rPr>
        <w:t xml:space="preserve">para </w:t>
      </w:r>
      <w:r w:rsidR="002074B1" w:rsidRPr="00976BFF">
        <w:rPr>
          <w:lang w:val="es-ES_tradnl"/>
        </w:rPr>
        <w:t xml:space="preserve">2015 se habrán rehabilitado unos </w:t>
      </w:r>
      <w:r w:rsidR="009977E9" w:rsidRPr="00976BFF">
        <w:rPr>
          <w:lang w:val="es-ES_tradnl"/>
        </w:rPr>
        <w:t>524</w:t>
      </w:r>
      <w:r w:rsidR="00CC138F" w:rsidRPr="00976BFF">
        <w:rPr>
          <w:lang w:val="es-ES_tradnl"/>
        </w:rPr>
        <w:t xml:space="preserve"> </w:t>
      </w:r>
      <w:r w:rsidR="001F6651">
        <w:rPr>
          <w:lang w:val="es-ES_tradnl"/>
        </w:rPr>
        <w:t>kilómetros</w:t>
      </w:r>
      <w:r w:rsidR="0058434B" w:rsidRPr="00976BFF">
        <w:rPr>
          <w:lang w:val="es-ES_tradnl"/>
        </w:rPr>
        <w:t xml:space="preserve"> </w:t>
      </w:r>
      <w:r w:rsidR="002074B1" w:rsidRPr="00976BFF">
        <w:rPr>
          <w:lang w:val="es-ES_tradnl"/>
        </w:rPr>
        <w:t xml:space="preserve">de caminos en el marco del </w:t>
      </w:r>
      <w:r w:rsidR="00650A31">
        <w:rPr>
          <w:lang w:val="es-ES_tradnl"/>
        </w:rPr>
        <w:t>programa</w:t>
      </w:r>
      <w:r w:rsidR="00FA07CD" w:rsidRPr="00976BFF">
        <w:rPr>
          <w:lang w:val="es-ES_tradnl"/>
        </w:rPr>
        <w:t xml:space="preserve">. </w:t>
      </w:r>
    </w:p>
    <w:p w:rsidR="00A764A2" w:rsidRPr="00976BFF" w:rsidRDefault="00C41F5D" w:rsidP="00625FB3">
      <w:pPr>
        <w:pStyle w:val="Bullet"/>
        <w:rPr>
          <w:lang w:val="es-ES_tradnl"/>
        </w:rPr>
      </w:pPr>
      <w:r w:rsidRPr="00976BFF">
        <w:rPr>
          <w:lang w:val="es-ES_tradnl"/>
        </w:rPr>
        <w:t>Mant</w:t>
      </w:r>
      <w:r w:rsidR="002074B1" w:rsidRPr="00976BFF">
        <w:rPr>
          <w:lang w:val="es-ES_tradnl"/>
        </w:rPr>
        <w:t xml:space="preserve">enimiento de </w:t>
      </w:r>
      <w:r w:rsidRPr="00976BFF">
        <w:rPr>
          <w:lang w:val="es-ES_tradnl"/>
        </w:rPr>
        <w:t xml:space="preserve">8875 </w:t>
      </w:r>
      <w:r w:rsidR="001F6651">
        <w:rPr>
          <w:lang w:val="es-ES_tradnl"/>
        </w:rPr>
        <w:t>kilómetros</w:t>
      </w:r>
      <w:r w:rsidRPr="00976BFF">
        <w:rPr>
          <w:lang w:val="es-ES_tradnl"/>
        </w:rPr>
        <w:t xml:space="preserve"> </w:t>
      </w:r>
      <w:r w:rsidR="002074B1" w:rsidRPr="00976BFF">
        <w:rPr>
          <w:lang w:val="es-ES_tradnl"/>
        </w:rPr>
        <w:t xml:space="preserve">de la </w:t>
      </w:r>
      <w:r w:rsidR="00834929" w:rsidRPr="00976BFF">
        <w:rPr>
          <w:lang w:val="es-ES_tradnl"/>
        </w:rPr>
        <w:t>r</w:t>
      </w:r>
      <w:r w:rsidR="002074B1" w:rsidRPr="00976BFF">
        <w:rPr>
          <w:lang w:val="es-ES_tradnl"/>
        </w:rPr>
        <w:t xml:space="preserve">ed </w:t>
      </w:r>
      <w:r w:rsidR="00834929" w:rsidRPr="00976BFF">
        <w:rPr>
          <w:lang w:val="es-ES_tradnl"/>
        </w:rPr>
        <w:t>vial n</w:t>
      </w:r>
      <w:r w:rsidR="002074B1" w:rsidRPr="00976BFF">
        <w:rPr>
          <w:lang w:val="es-ES_tradnl"/>
        </w:rPr>
        <w:t>acional, a través de actividades de mantenimiento de rutina</w:t>
      </w:r>
      <w:r w:rsidR="006935B9" w:rsidRPr="00976BFF">
        <w:rPr>
          <w:lang w:val="es-ES_tradnl"/>
        </w:rPr>
        <w:t>.</w:t>
      </w:r>
      <w:r w:rsidR="008F1C54" w:rsidRPr="00976BFF">
        <w:rPr>
          <w:lang w:val="es-ES_tradnl"/>
        </w:rPr>
        <w:t xml:space="preserve"> </w:t>
      </w:r>
    </w:p>
    <w:p w:rsidR="00A764A2" w:rsidRPr="00976BFF" w:rsidRDefault="002074B1" w:rsidP="00625FB3">
      <w:pPr>
        <w:pStyle w:val="Bullet"/>
        <w:rPr>
          <w:lang w:val="es-ES_tradnl"/>
        </w:rPr>
      </w:pPr>
      <w:r w:rsidRPr="00976BFF">
        <w:rPr>
          <w:b/>
          <w:i/>
          <w:lang w:val="es-ES_tradnl"/>
        </w:rPr>
        <w:t>Mejoramiento de la gestión del sector vial</w:t>
      </w:r>
      <w:r w:rsidR="0058434B" w:rsidRPr="00976BFF">
        <w:rPr>
          <w:lang w:val="es-ES_tradnl"/>
        </w:rPr>
        <w:t xml:space="preserve">, </w:t>
      </w:r>
      <w:r w:rsidRPr="00976BFF">
        <w:rPr>
          <w:lang w:val="es-ES_tradnl"/>
        </w:rPr>
        <w:t>a través del mejoramiento de los sistemas técnicos, fiduciarios y de salvaguarda conexos</w:t>
      </w:r>
      <w:r w:rsidR="0058434B" w:rsidRPr="00976BFF">
        <w:rPr>
          <w:lang w:val="es-ES_tradnl"/>
        </w:rPr>
        <w:t>.</w:t>
      </w:r>
    </w:p>
    <w:p w:rsidR="0007594F" w:rsidRPr="00976BFF" w:rsidRDefault="00AD60BA" w:rsidP="00625FD2">
      <w:pPr>
        <w:pStyle w:val="MainPara"/>
        <w:rPr>
          <w:lang w:val="es-ES_tradnl"/>
        </w:rPr>
      </w:pPr>
      <w:r w:rsidRPr="00976BFF">
        <w:rPr>
          <w:b/>
          <w:lang w:val="es-ES_tradnl"/>
        </w:rPr>
        <w:t xml:space="preserve">Financiamiento del </w:t>
      </w:r>
      <w:r w:rsidR="00650A31">
        <w:rPr>
          <w:b/>
          <w:lang w:val="es-ES_tradnl"/>
        </w:rPr>
        <w:t>programa</w:t>
      </w:r>
      <w:r w:rsidR="00BE28DC" w:rsidRPr="000B5989">
        <w:rPr>
          <w:b/>
          <w:lang w:val="es-ES_tradnl"/>
        </w:rPr>
        <w:t>.</w:t>
      </w:r>
      <w:r w:rsidR="00BE28DC" w:rsidRPr="00976BFF">
        <w:rPr>
          <w:lang w:val="es-ES_tradnl"/>
        </w:rPr>
        <w:t xml:space="preserve"> </w:t>
      </w:r>
      <w:r w:rsidR="00F90223" w:rsidRPr="00976BFF">
        <w:rPr>
          <w:lang w:val="es-ES_tradnl"/>
        </w:rPr>
        <w:t xml:space="preserve">El marco de gastos del </w:t>
      </w:r>
      <w:r w:rsidR="00650A31">
        <w:rPr>
          <w:lang w:val="es-ES_tradnl"/>
        </w:rPr>
        <w:t>programa</w:t>
      </w:r>
      <w:r w:rsidR="00F90223" w:rsidRPr="00976BFF">
        <w:rPr>
          <w:lang w:val="es-ES_tradnl"/>
        </w:rPr>
        <w:t xml:space="preserve"> se basa en la Ley de Presupuesto. El </w:t>
      </w:r>
      <w:r w:rsidR="00650A31">
        <w:rPr>
          <w:lang w:val="es-ES_tradnl"/>
        </w:rPr>
        <w:t>programa</w:t>
      </w:r>
      <w:r w:rsidR="00F90223" w:rsidRPr="00976BFF">
        <w:rPr>
          <w:lang w:val="es-ES_tradnl"/>
        </w:rPr>
        <w:t xml:space="preserve"> tiene un costo total </w:t>
      </w:r>
      <w:r w:rsidR="00C41335" w:rsidRPr="00976BFF">
        <w:rPr>
          <w:lang w:val="es-ES_tradnl"/>
        </w:rPr>
        <w:t xml:space="preserve">estimado </w:t>
      </w:r>
      <w:r w:rsidR="00F90223" w:rsidRPr="00976BFF">
        <w:rPr>
          <w:lang w:val="es-ES_tradnl"/>
        </w:rPr>
        <w:t xml:space="preserve">equivalente a </w:t>
      </w:r>
      <w:r w:rsidR="009E06F4" w:rsidRPr="00976BFF">
        <w:rPr>
          <w:lang w:val="es-ES_tradnl"/>
        </w:rPr>
        <w:t>US$</w:t>
      </w:r>
      <w:r w:rsidR="00AE6511" w:rsidRPr="00976BFF">
        <w:rPr>
          <w:lang w:val="es-ES_tradnl"/>
        </w:rPr>
        <w:t>510</w:t>
      </w:r>
      <w:r w:rsidR="00F90223" w:rsidRPr="00976BFF">
        <w:rPr>
          <w:lang w:val="es-ES_tradnl"/>
        </w:rPr>
        <w:t>,</w:t>
      </w:r>
      <w:r w:rsidR="009E06F4" w:rsidRPr="00976BFF">
        <w:rPr>
          <w:lang w:val="es-ES_tradnl"/>
        </w:rPr>
        <w:t>0 millon</w:t>
      </w:r>
      <w:r w:rsidR="00F90223" w:rsidRPr="00976BFF">
        <w:rPr>
          <w:lang w:val="es-ES_tradnl"/>
        </w:rPr>
        <w:t>es durante el período</w:t>
      </w:r>
      <w:r w:rsidR="0058434B" w:rsidRPr="00976BFF">
        <w:rPr>
          <w:lang w:val="es-ES_tradnl"/>
        </w:rPr>
        <w:t xml:space="preserve"> </w:t>
      </w:r>
      <w:r w:rsidR="00151F76" w:rsidRPr="00976BFF">
        <w:rPr>
          <w:lang w:val="es-ES_tradnl"/>
        </w:rPr>
        <w:t>2013</w:t>
      </w:r>
      <w:r w:rsidR="009C564E" w:rsidRPr="00976BFF">
        <w:rPr>
          <w:lang w:val="es-ES_tradnl"/>
        </w:rPr>
        <w:t>-15</w:t>
      </w:r>
      <w:r w:rsidR="0058434B" w:rsidRPr="00976BFF">
        <w:rPr>
          <w:lang w:val="es-ES_tradnl"/>
        </w:rPr>
        <w:t xml:space="preserve">. </w:t>
      </w:r>
      <w:r w:rsidR="00F90223" w:rsidRPr="00976BFF">
        <w:rPr>
          <w:lang w:val="es-ES_tradnl"/>
        </w:rPr>
        <w:t xml:space="preserve">El </w:t>
      </w:r>
      <w:r w:rsidR="00650A31">
        <w:rPr>
          <w:lang w:val="es-ES_tradnl"/>
        </w:rPr>
        <w:t>programa</w:t>
      </w:r>
      <w:r w:rsidR="00F90223" w:rsidRPr="00976BFF">
        <w:rPr>
          <w:lang w:val="es-ES_tradnl"/>
        </w:rPr>
        <w:t xml:space="preserve"> se financiará con recursos fiscales del Gobierno de Uruguay, así como con préstamos del BID, el </w:t>
      </w:r>
      <w:r w:rsidR="00CC2DEF" w:rsidRPr="00976BFF">
        <w:rPr>
          <w:lang w:val="es-ES_tradnl"/>
        </w:rPr>
        <w:t xml:space="preserve">FONPLATA </w:t>
      </w:r>
      <w:r w:rsidR="00F90223" w:rsidRPr="00976BFF">
        <w:rPr>
          <w:lang w:val="es-ES_tradnl"/>
        </w:rPr>
        <w:t>y el Banco Mundial</w:t>
      </w:r>
      <w:r w:rsidR="00FD4CE1" w:rsidRPr="00976BFF">
        <w:rPr>
          <w:lang w:val="es-ES_tradnl"/>
        </w:rPr>
        <w:t xml:space="preserve">. </w:t>
      </w:r>
      <w:r w:rsidR="00F90223" w:rsidRPr="00976BFF">
        <w:rPr>
          <w:lang w:val="es-ES_tradnl"/>
        </w:rPr>
        <w:t xml:space="preserve">El BID y el </w:t>
      </w:r>
      <w:r w:rsidR="00465F1C" w:rsidRPr="00976BFF">
        <w:rPr>
          <w:lang w:val="es-ES_tradnl"/>
        </w:rPr>
        <w:t xml:space="preserve">FONPLATA </w:t>
      </w:r>
      <w:r w:rsidR="00F90223" w:rsidRPr="00976BFF">
        <w:rPr>
          <w:lang w:val="es-ES_tradnl"/>
        </w:rPr>
        <w:t xml:space="preserve">financiarán, en cada caso, un conjunto de contratos específicos, con un cierto nivel de financiamiento de contrapartida. </w:t>
      </w:r>
      <w:r w:rsidR="00F90223" w:rsidRPr="00766354">
        <w:rPr>
          <w:lang w:val="es-ES_tradnl"/>
        </w:rPr>
        <w:t xml:space="preserve">Se estima que en el caso del préstamo del BID, </w:t>
      </w:r>
      <w:r w:rsidR="00766354" w:rsidRPr="00766354">
        <w:rPr>
          <w:lang w:val="es-AR"/>
        </w:rPr>
        <w:t>los niveles de aportes de contrapartida ascenderían a</w:t>
      </w:r>
      <w:r w:rsidR="00F90223" w:rsidRPr="00766354">
        <w:rPr>
          <w:lang w:val="es-ES_tradnl"/>
        </w:rPr>
        <w:t xml:space="preserve"> US$15,2 millones y, en el caso del préstamo del</w:t>
      </w:r>
      <w:r w:rsidR="00FD4CE1" w:rsidRPr="00766354">
        <w:rPr>
          <w:lang w:val="es-ES_tradnl"/>
        </w:rPr>
        <w:t xml:space="preserve"> FONPLATA</w:t>
      </w:r>
      <w:r w:rsidR="00F90223" w:rsidRPr="00766354">
        <w:rPr>
          <w:lang w:val="es-ES_tradnl"/>
        </w:rPr>
        <w:t xml:space="preserve">, a </w:t>
      </w:r>
      <w:r w:rsidR="00465F1C" w:rsidRPr="00766354">
        <w:rPr>
          <w:lang w:val="es-ES_tradnl"/>
        </w:rPr>
        <w:t>US$</w:t>
      </w:r>
      <w:r w:rsidR="008778BB" w:rsidRPr="00766354">
        <w:rPr>
          <w:lang w:val="es-ES_tradnl"/>
        </w:rPr>
        <w:t>13</w:t>
      </w:r>
      <w:r w:rsidR="00F90223" w:rsidRPr="00766354">
        <w:rPr>
          <w:lang w:val="es-ES_tradnl"/>
        </w:rPr>
        <w:t>,</w:t>
      </w:r>
      <w:r w:rsidR="008778BB" w:rsidRPr="00766354">
        <w:rPr>
          <w:lang w:val="es-ES_tradnl"/>
        </w:rPr>
        <w:t>1</w:t>
      </w:r>
      <w:r w:rsidR="00AE6511" w:rsidRPr="00766354">
        <w:rPr>
          <w:lang w:val="es-ES_tradnl"/>
        </w:rPr>
        <w:t xml:space="preserve"> </w:t>
      </w:r>
      <w:r w:rsidR="002D6FA8" w:rsidRPr="00766354">
        <w:rPr>
          <w:lang w:val="es-ES_tradnl"/>
        </w:rPr>
        <w:t>millon</w:t>
      </w:r>
      <w:r w:rsidR="00F90223" w:rsidRPr="00766354">
        <w:rPr>
          <w:lang w:val="es-ES_tradnl"/>
        </w:rPr>
        <w:t xml:space="preserve">es, durante el período </w:t>
      </w:r>
      <w:r w:rsidR="00AE6511" w:rsidRPr="00766354">
        <w:rPr>
          <w:lang w:val="es-ES_tradnl"/>
        </w:rPr>
        <w:t>2013-15</w:t>
      </w:r>
      <w:r w:rsidR="00FD4CE1" w:rsidRPr="00766354">
        <w:rPr>
          <w:lang w:val="es-ES_tradnl"/>
        </w:rPr>
        <w:t>.</w:t>
      </w:r>
      <w:r w:rsidR="00FD4CE1" w:rsidRPr="00976BFF">
        <w:rPr>
          <w:lang w:val="es-ES_tradnl"/>
        </w:rPr>
        <w:t xml:space="preserve"> </w:t>
      </w:r>
      <w:r w:rsidR="00F90223" w:rsidRPr="00976BFF">
        <w:rPr>
          <w:lang w:val="es-ES_tradnl"/>
        </w:rPr>
        <w:t>E</w:t>
      </w:r>
      <w:r w:rsidR="00A70C04" w:rsidRPr="00976BFF">
        <w:rPr>
          <w:lang w:val="es-ES_tradnl"/>
        </w:rPr>
        <w:t>n e</w:t>
      </w:r>
      <w:r w:rsidR="00F90223" w:rsidRPr="00976BFF">
        <w:rPr>
          <w:lang w:val="es-ES_tradnl"/>
        </w:rPr>
        <w:t xml:space="preserve">l cuadro </w:t>
      </w:r>
      <w:r w:rsidR="00837912" w:rsidRPr="00976BFF">
        <w:rPr>
          <w:lang w:val="es-ES_tradnl"/>
        </w:rPr>
        <w:t>1</w:t>
      </w:r>
      <w:r w:rsidR="00A70C04" w:rsidRPr="00976BFF">
        <w:rPr>
          <w:lang w:val="es-ES_tradnl"/>
        </w:rPr>
        <w:t xml:space="preserve"> se indican los gastos planificados para los tres años de ejecución, teniendo en cuenta los </w:t>
      </w:r>
      <w:r w:rsidR="002658FA" w:rsidRPr="00976BFF">
        <w:rPr>
          <w:lang w:val="es-ES_tradnl"/>
        </w:rPr>
        <w:t>topes</w:t>
      </w:r>
      <w:r w:rsidR="00A70C04" w:rsidRPr="00976BFF">
        <w:rPr>
          <w:lang w:val="es-ES_tradnl"/>
        </w:rPr>
        <w:t xml:space="preserve"> </w:t>
      </w:r>
      <w:r w:rsidR="006D44FB" w:rsidRPr="00976BFF">
        <w:rPr>
          <w:lang w:val="es-ES_tradnl"/>
        </w:rPr>
        <w:t xml:space="preserve">previstos </w:t>
      </w:r>
      <w:r w:rsidR="00A70C04" w:rsidRPr="00976BFF">
        <w:rPr>
          <w:lang w:val="es-ES_tradnl"/>
        </w:rPr>
        <w:t>del gasto presupuestario disponible</w:t>
      </w:r>
      <w:r w:rsidR="002658FA" w:rsidRPr="00976BFF">
        <w:rPr>
          <w:lang w:val="es-ES_tradnl"/>
        </w:rPr>
        <w:t xml:space="preserve"> </w:t>
      </w:r>
      <w:r w:rsidR="00A70C04" w:rsidRPr="00976BFF">
        <w:rPr>
          <w:lang w:val="es-ES_tradnl"/>
        </w:rPr>
        <w:t xml:space="preserve">y la contratación/avance de las obras. </w:t>
      </w:r>
      <w:r w:rsidR="000E4698" w:rsidRPr="00976BFF">
        <w:rPr>
          <w:lang w:val="es-ES_tradnl"/>
        </w:rPr>
        <w:t xml:space="preserve">El Ministerio de Economía y Finanzas aseguró que el </w:t>
      </w:r>
      <w:r w:rsidR="006D44FB">
        <w:rPr>
          <w:lang w:val="es-ES_tradnl"/>
        </w:rPr>
        <w:t>tope</w:t>
      </w:r>
      <w:r w:rsidR="000E4698" w:rsidRPr="00976BFF">
        <w:rPr>
          <w:lang w:val="es-ES_tradnl"/>
        </w:rPr>
        <w:t xml:space="preserve"> de gastos </w:t>
      </w:r>
      <w:r w:rsidR="00B46123" w:rsidRPr="00976BFF">
        <w:rPr>
          <w:lang w:val="es-ES_tradnl"/>
        </w:rPr>
        <w:t xml:space="preserve">estará a disposición del </w:t>
      </w:r>
      <w:r w:rsidR="0058434B" w:rsidRPr="00976BFF">
        <w:rPr>
          <w:lang w:val="es-ES_tradnl"/>
        </w:rPr>
        <w:t>MTOP</w:t>
      </w:r>
      <w:r w:rsidR="00B46123" w:rsidRPr="00976BFF">
        <w:rPr>
          <w:lang w:val="es-ES_tradnl"/>
        </w:rPr>
        <w:t xml:space="preserve"> para implementar su </w:t>
      </w:r>
      <w:r w:rsidR="006D44FB">
        <w:rPr>
          <w:lang w:val="es-ES_tradnl"/>
        </w:rPr>
        <w:t>p</w:t>
      </w:r>
      <w:r w:rsidR="009B073D" w:rsidRPr="00976BFF">
        <w:rPr>
          <w:lang w:val="es-ES_tradnl"/>
        </w:rPr>
        <w:t>rograma</w:t>
      </w:r>
      <w:r w:rsidR="00B46123" w:rsidRPr="00976BFF">
        <w:rPr>
          <w:lang w:val="es-ES_tradnl"/>
        </w:rPr>
        <w:t xml:space="preserve"> de trabajo, incluidas las actividades del </w:t>
      </w:r>
      <w:r w:rsidR="00650A31">
        <w:rPr>
          <w:lang w:val="es-ES_tradnl"/>
        </w:rPr>
        <w:t>programa</w:t>
      </w:r>
      <w:r w:rsidR="0058434B" w:rsidRPr="00976BFF">
        <w:rPr>
          <w:lang w:val="es-ES_tradnl"/>
        </w:rPr>
        <w:t xml:space="preserve">. </w:t>
      </w:r>
    </w:p>
    <w:p w:rsidR="009F5F8A" w:rsidRPr="00976BFF" w:rsidRDefault="009F5F8A">
      <w:pPr>
        <w:rPr>
          <w:lang w:val="es-ES_tradnl"/>
        </w:rPr>
      </w:pPr>
    </w:p>
    <w:p w:rsidR="006D5EF1" w:rsidRPr="00976BFF" w:rsidRDefault="0004392D" w:rsidP="006D5EF1">
      <w:pPr>
        <w:pStyle w:val="NoSpacing"/>
        <w:ind w:left="360"/>
        <w:jc w:val="center"/>
        <w:rPr>
          <w:rFonts w:ascii="Times New Roman" w:hAnsi="Times New Roman" w:cs="Times New Roman"/>
          <w:b/>
          <w:sz w:val="20"/>
          <w:lang w:val="es-ES_tradnl"/>
        </w:rPr>
      </w:pPr>
      <w:r w:rsidRPr="00976BFF">
        <w:rPr>
          <w:rFonts w:ascii="Times New Roman" w:hAnsi="Times New Roman" w:cs="Times New Roman"/>
          <w:b/>
          <w:sz w:val="20"/>
          <w:lang w:val="es-ES_tradnl"/>
        </w:rPr>
        <w:t>Cuadro</w:t>
      </w:r>
      <w:r w:rsidR="00C41F5D" w:rsidRPr="00976BFF">
        <w:rPr>
          <w:rFonts w:ascii="Times New Roman" w:hAnsi="Times New Roman" w:cs="Times New Roman"/>
          <w:b/>
          <w:sz w:val="20"/>
          <w:lang w:val="es-ES_tradnl"/>
        </w:rPr>
        <w:t xml:space="preserve"> </w:t>
      </w:r>
      <w:r w:rsidR="008D5436" w:rsidRPr="00976BFF">
        <w:rPr>
          <w:rFonts w:ascii="Times New Roman" w:hAnsi="Times New Roman" w:cs="Times New Roman"/>
          <w:b/>
          <w:sz w:val="20"/>
          <w:lang w:val="es-ES_tradnl"/>
        </w:rPr>
        <w:t>1</w:t>
      </w:r>
      <w:r w:rsidR="00C41F5D" w:rsidRPr="00976BFF">
        <w:rPr>
          <w:rFonts w:ascii="Times New Roman" w:hAnsi="Times New Roman" w:cs="Times New Roman"/>
          <w:b/>
          <w:sz w:val="20"/>
          <w:lang w:val="es-ES_tradnl"/>
        </w:rPr>
        <w:t xml:space="preserve">. </w:t>
      </w:r>
      <w:r w:rsidRPr="00976BFF">
        <w:rPr>
          <w:rFonts w:ascii="Times New Roman" w:hAnsi="Times New Roman" w:cs="Times New Roman"/>
          <w:b/>
          <w:sz w:val="20"/>
          <w:lang w:val="es-ES_tradnl"/>
        </w:rPr>
        <w:t xml:space="preserve">Financiamiento del </w:t>
      </w:r>
      <w:r w:rsidR="00650A31">
        <w:rPr>
          <w:rFonts w:ascii="Times New Roman" w:hAnsi="Times New Roman" w:cs="Times New Roman"/>
          <w:b/>
          <w:sz w:val="20"/>
          <w:lang w:val="es-ES_tradnl"/>
        </w:rPr>
        <w:t>programa</w:t>
      </w:r>
      <w:r w:rsidR="00C41F5D" w:rsidRPr="00976BFF">
        <w:rPr>
          <w:rFonts w:ascii="Times New Roman" w:hAnsi="Times New Roman" w:cs="Times New Roman"/>
          <w:b/>
          <w:sz w:val="20"/>
          <w:lang w:val="es-ES_tradnl"/>
        </w:rPr>
        <w:t xml:space="preserve"> (</w:t>
      </w:r>
      <w:r w:rsidRPr="00976BFF">
        <w:rPr>
          <w:rFonts w:ascii="Times New Roman" w:hAnsi="Times New Roman" w:cs="Times New Roman"/>
          <w:b/>
          <w:sz w:val="20"/>
          <w:lang w:val="es-ES_tradnl"/>
        </w:rPr>
        <w:t xml:space="preserve">millones de </w:t>
      </w:r>
      <w:r w:rsidR="00C41F5D" w:rsidRPr="00976BFF">
        <w:rPr>
          <w:rFonts w:ascii="Times New Roman" w:hAnsi="Times New Roman" w:cs="Times New Roman"/>
          <w:b/>
          <w:sz w:val="20"/>
          <w:lang w:val="es-ES_tradnl"/>
        </w:rPr>
        <w:t>US$)</w:t>
      </w:r>
    </w:p>
    <w:p w:rsidR="009F5F8A" w:rsidRPr="00976BFF" w:rsidRDefault="009F5F8A" w:rsidP="006D5EF1">
      <w:pPr>
        <w:pStyle w:val="NoSpacing"/>
        <w:ind w:left="360"/>
        <w:jc w:val="center"/>
        <w:rPr>
          <w:rFonts w:ascii="Times New Roman" w:hAnsi="Times New Roman" w:cs="Times New Roman"/>
          <w:b/>
          <w:sz w:val="20"/>
          <w:lang w:val="es-ES_tradnl"/>
        </w:rPr>
      </w:pPr>
    </w:p>
    <w:tbl>
      <w:tblPr>
        <w:tblStyle w:val="TableGrid"/>
        <w:tblW w:w="0" w:type="auto"/>
        <w:tblInd w:w="360" w:type="dxa"/>
        <w:tblLook w:val="04A0" w:firstRow="1" w:lastRow="0" w:firstColumn="1" w:lastColumn="0" w:noHBand="0" w:noVBand="1"/>
      </w:tblPr>
      <w:tblGrid>
        <w:gridCol w:w="3125"/>
        <w:gridCol w:w="3054"/>
        <w:gridCol w:w="3037"/>
      </w:tblGrid>
      <w:tr w:rsidR="0058434B" w:rsidRPr="00976BFF">
        <w:tc>
          <w:tcPr>
            <w:tcW w:w="3125" w:type="dxa"/>
            <w:vAlign w:val="center"/>
          </w:tcPr>
          <w:p w:rsidR="00A764A2" w:rsidRPr="00976BFF" w:rsidRDefault="0004392D">
            <w:pPr>
              <w:pStyle w:val="NoSpacing"/>
              <w:jc w:val="center"/>
              <w:rPr>
                <w:rFonts w:ascii="Times New Roman" w:hAnsi="Times New Roman" w:cs="Times New Roman"/>
                <w:b/>
                <w:i/>
                <w:sz w:val="20"/>
                <w:lang w:val="es-ES_tradnl"/>
              </w:rPr>
            </w:pPr>
            <w:r w:rsidRPr="00976BFF">
              <w:rPr>
                <w:rFonts w:ascii="Times New Roman" w:hAnsi="Times New Roman" w:cs="Times New Roman"/>
                <w:b/>
                <w:i/>
                <w:sz w:val="20"/>
                <w:lang w:val="es-ES_tradnl"/>
              </w:rPr>
              <w:t>Fuente</w:t>
            </w:r>
          </w:p>
        </w:tc>
        <w:tc>
          <w:tcPr>
            <w:tcW w:w="3054" w:type="dxa"/>
            <w:vAlign w:val="center"/>
          </w:tcPr>
          <w:p w:rsidR="00A764A2" w:rsidRPr="00976BFF" w:rsidRDefault="0004392D">
            <w:pPr>
              <w:pStyle w:val="NoSpacing"/>
              <w:jc w:val="center"/>
              <w:rPr>
                <w:rFonts w:ascii="Times New Roman" w:hAnsi="Times New Roman" w:cs="Times New Roman"/>
                <w:b/>
                <w:i/>
                <w:sz w:val="20"/>
                <w:lang w:val="es-ES_tradnl"/>
              </w:rPr>
            </w:pPr>
            <w:r w:rsidRPr="00976BFF">
              <w:rPr>
                <w:rFonts w:ascii="Times New Roman" w:hAnsi="Times New Roman" w:cs="Times New Roman"/>
                <w:b/>
                <w:i/>
                <w:sz w:val="20"/>
                <w:lang w:val="es-ES_tradnl"/>
              </w:rPr>
              <w:t>Monto</w:t>
            </w:r>
          </w:p>
          <w:p w:rsidR="00A764A2" w:rsidRPr="00976BFF" w:rsidRDefault="009E06F4" w:rsidP="0004392D">
            <w:pPr>
              <w:pStyle w:val="NoSpacing"/>
              <w:jc w:val="center"/>
              <w:rPr>
                <w:rFonts w:ascii="Times New Roman" w:hAnsi="Times New Roman" w:cs="Times New Roman"/>
                <w:b/>
                <w:i/>
                <w:sz w:val="20"/>
                <w:lang w:val="es-ES_tradnl"/>
              </w:rPr>
            </w:pPr>
            <w:r w:rsidRPr="00976BFF">
              <w:rPr>
                <w:rFonts w:ascii="Times New Roman" w:hAnsi="Times New Roman" w:cs="Times New Roman"/>
                <w:b/>
                <w:i/>
                <w:sz w:val="20"/>
                <w:lang w:val="es-ES_tradnl"/>
              </w:rPr>
              <w:t>(</w:t>
            </w:r>
            <w:r w:rsidR="0004392D" w:rsidRPr="00976BFF">
              <w:rPr>
                <w:rFonts w:ascii="Times New Roman" w:hAnsi="Times New Roman" w:cs="Times New Roman"/>
                <w:b/>
                <w:i/>
                <w:sz w:val="20"/>
                <w:lang w:val="es-ES_tradnl"/>
              </w:rPr>
              <w:t xml:space="preserve">millones de </w:t>
            </w:r>
            <w:r w:rsidRPr="00976BFF">
              <w:rPr>
                <w:rFonts w:ascii="Times New Roman" w:hAnsi="Times New Roman" w:cs="Times New Roman"/>
                <w:b/>
                <w:i/>
                <w:sz w:val="20"/>
                <w:lang w:val="es-ES_tradnl"/>
              </w:rPr>
              <w:t>US$)</w:t>
            </w:r>
          </w:p>
        </w:tc>
        <w:tc>
          <w:tcPr>
            <w:tcW w:w="3037" w:type="dxa"/>
            <w:vAlign w:val="center"/>
          </w:tcPr>
          <w:p w:rsidR="00A764A2" w:rsidRPr="00976BFF" w:rsidRDefault="0004392D">
            <w:pPr>
              <w:pStyle w:val="NoSpacing"/>
              <w:jc w:val="center"/>
              <w:rPr>
                <w:rFonts w:ascii="Times New Roman" w:hAnsi="Times New Roman" w:cs="Times New Roman"/>
                <w:b/>
                <w:i/>
                <w:sz w:val="20"/>
                <w:lang w:val="es-ES_tradnl"/>
              </w:rPr>
            </w:pPr>
            <w:r w:rsidRPr="00976BFF">
              <w:rPr>
                <w:rFonts w:ascii="Times New Roman" w:hAnsi="Times New Roman" w:cs="Times New Roman"/>
                <w:b/>
                <w:i/>
                <w:sz w:val="20"/>
                <w:lang w:val="es-ES_tradnl"/>
              </w:rPr>
              <w:t>Porcentaje del total</w:t>
            </w:r>
          </w:p>
        </w:tc>
      </w:tr>
      <w:tr w:rsidR="001556C4" w:rsidRPr="00976BFF">
        <w:tc>
          <w:tcPr>
            <w:tcW w:w="3125" w:type="dxa"/>
          </w:tcPr>
          <w:p w:rsidR="001556C4" w:rsidRPr="00976BFF" w:rsidRDefault="009E06F4" w:rsidP="0004392D">
            <w:pPr>
              <w:pStyle w:val="NoSpacing"/>
              <w:jc w:val="both"/>
              <w:rPr>
                <w:rFonts w:ascii="Times New Roman" w:hAnsi="Times New Roman" w:cs="Times New Roman"/>
                <w:sz w:val="20"/>
                <w:lang w:val="es-ES_tradnl"/>
              </w:rPr>
            </w:pPr>
            <w:r w:rsidRPr="00976BFF">
              <w:rPr>
                <w:rFonts w:ascii="Times New Roman" w:hAnsi="Times New Roman" w:cs="Times New Roman"/>
                <w:sz w:val="20"/>
                <w:lang w:val="es-ES_tradnl"/>
              </w:rPr>
              <w:t>G</w:t>
            </w:r>
            <w:r w:rsidR="0004392D" w:rsidRPr="00976BFF">
              <w:rPr>
                <w:rFonts w:ascii="Times New Roman" w:hAnsi="Times New Roman" w:cs="Times New Roman"/>
                <w:sz w:val="20"/>
                <w:lang w:val="es-ES_tradnl"/>
              </w:rPr>
              <w:t>obierno</w:t>
            </w:r>
            <w:r w:rsidR="00465F1C" w:rsidRPr="00976BFF">
              <w:rPr>
                <w:rFonts w:ascii="Times New Roman" w:hAnsi="Times New Roman" w:cs="Times New Roman"/>
                <w:sz w:val="20"/>
                <w:lang w:val="es-ES_tradnl"/>
              </w:rPr>
              <w:t>*</w:t>
            </w:r>
          </w:p>
        </w:tc>
        <w:tc>
          <w:tcPr>
            <w:tcW w:w="3054" w:type="dxa"/>
          </w:tcPr>
          <w:p w:rsidR="001556C4" w:rsidRPr="00976BFF" w:rsidRDefault="00F43671" w:rsidP="0004392D">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283</w:t>
            </w:r>
            <w:r w:rsidR="0004392D" w:rsidRPr="00976BFF">
              <w:rPr>
                <w:rFonts w:ascii="Times New Roman" w:hAnsi="Times New Roman" w:cs="Times New Roman"/>
                <w:bCs/>
                <w:color w:val="000000"/>
                <w:sz w:val="20"/>
                <w:lang w:val="es-ES_tradnl"/>
              </w:rPr>
              <w:t>,</w:t>
            </w:r>
            <w:r w:rsidRPr="00976BFF">
              <w:rPr>
                <w:rFonts w:ascii="Times New Roman" w:hAnsi="Times New Roman" w:cs="Times New Roman"/>
                <w:bCs/>
                <w:color w:val="000000"/>
                <w:sz w:val="20"/>
                <w:lang w:val="es-ES_tradnl"/>
              </w:rPr>
              <w:t>5</w:t>
            </w:r>
          </w:p>
        </w:tc>
        <w:tc>
          <w:tcPr>
            <w:tcW w:w="3037" w:type="dxa"/>
          </w:tcPr>
          <w:p w:rsidR="001556C4" w:rsidRPr="00976BFF" w:rsidRDefault="00F43671">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56%</w:t>
            </w:r>
          </w:p>
        </w:tc>
      </w:tr>
      <w:tr w:rsidR="001556C4" w:rsidRPr="00976BFF">
        <w:tc>
          <w:tcPr>
            <w:tcW w:w="3125" w:type="dxa"/>
          </w:tcPr>
          <w:p w:rsidR="001556C4" w:rsidRPr="00976BFF" w:rsidRDefault="0004392D" w:rsidP="0012141E">
            <w:pPr>
              <w:pStyle w:val="NoSpacing"/>
              <w:rPr>
                <w:rFonts w:ascii="Times New Roman" w:hAnsi="Times New Roman" w:cs="Times New Roman"/>
                <w:sz w:val="20"/>
                <w:lang w:val="es-ES_tradnl"/>
              </w:rPr>
            </w:pPr>
            <w:r w:rsidRPr="00976BFF">
              <w:rPr>
                <w:rFonts w:ascii="Times New Roman" w:hAnsi="Times New Roman" w:cs="Times New Roman"/>
                <w:sz w:val="20"/>
                <w:lang w:val="es-ES_tradnl"/>
              </w:rPr>
              <w:t>BIRF</w:t>
            </w:r>
          </w:p>
        </w:tc>
        <w:tc>
          <w:tcPr>
            <w:tcW w:w="3054" w:type="dxa"/>
          </w:tcPr>
          <w:p w:rsidR="001556C4" w:rsidRPr="00976BFF" w:rsidRDefault="009E06F4" w:rsidP="0004392D">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66</w:t>
            </w:r>
            <w:r w:rsidR="0004392D" w:rsidRPr="00976BFF">
              <w:rPr>
                <w:rFonts w:ascii="Times New Roman" w:hAnsi="Times New Roman" w:cs="Times New Roman"/>
                <w:bCs/>
                <w:color w:val="000000"/>
                <w:sz w:val="20"/>
                <w:lang w:val="es-ES_tradnl"/>
              </w:rPr>
              <w:t>,</w:t>
            </w:r>
            <w:r w:rsidRPr="00976BFF">
              <w:rPr>
                <w:rFonts w:ascii="Times New Roman" w:hAnsi="Times New Roman" w:cs="Times New Roman"/>
                <w:bCs/>
                <w:color w:val="000000"/>
                <w:sz w:val="20"/>
                <w:lang w:val="es-ES_tradnl"/>
              </w:rPr>
              <w:t>0</w:t>
            </w:r>
          </w:p>
        </w:tc>
        <w:tc>
          <w:tcPr>
            <w:tcW w:w="3037" w:type="dxa"/>
          </w:tcPr>
          <w:p w:rsidR="001556C4" w:rsidRPr="00976BFF" w:rsidRDefault="00F43671">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13%</w:t>
            </w:r>
          </w:p>
        </w:tc>
      </w:tr>
      <w:tr w:rsidR="001556C4" w:rsidRPr="00976BFF">
        <w:tc>
          <w:tcPr>
            <w:tcW w:w="3125" w:type="dxa"/>
          </w:tcPr>
          <w:p w:rsidR="001556C4" w:rsidRPr="00976BFF" w:rsidRDefault="0004392D" w:rsidP="0012141E">
            <w:pPr>
              <w:pStyle w:val="NoSpacing"/>
              <w:rPr>
                <w:rFonts w:ascii="Times New Roman" w:hAnsi="Times New Roman" w:cs="Times New Roman"/>
                <w:sz w:val="20"/>
                <w:lang w:val="es-ES_tradnl"/>
              </w:rPr>
            </w:pPr>
            <w:r w:rsidRPr="00976BFF">
              <w:rPr>
                <w:rFonts w:ascii="Times New Roman" w:hAnsi="Times New Roman" w:cs="Times New Roman"/>
                <w:sz w:val="20"/>
                <w:lang w:val="es-ES_tradnl"/>
              </w:rPr>
              <w:t>BID</w:t>
            </w:r>
          </w:p>
        </w:tc>
        <w:tc>
          <w:tcPr>
            <w:tcW w:w="3054" w:type="dxa"/>
          </w:tcPr>
          <w:p w:rsidR="001556C4" w:rsidRPr="00976BFF" w:rsidRDefault="00AE6511" w:rsidP="0004392D">
            <w:pPr>
              <w:pStyle w:val="NoSpacing"/>
              <w:autoSpaceDE w:val="0"/>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67</w:t>
            </w:r>
            <w:r w:rsidR="0004392D" w:rsidRPr="00976BFF">
              <w:rPr>
                <w:rFonts w:ascii="Times New Roman" w:hAnsi="Times New Roman" w:cs="Times New Roman"/>
                <w:bCs/>
                <w:color w:val="000000"/>
                <w:sz w:val="20"/>
                <w:lang w:val="es-ES_tradnl"/>
              </w:rPr>
              <w:t>,</w:t>
            </w:r>
            <w:r w:rsidR="00F43671" w:rsidRPr="00976BFF">
              <w:rPr>
                <w:rFonts w:ascii="Times New Roman" w:hAnsi="Times New Roman" w:cs="Times New Roman"/>
                <w:bCs/>
                <w:color w:val="000000"/>
                <w:sz w:val="20"/>
                <w:lang w:val="es-ES_tradnl"/>
              </w:rPr>
              <w:t>7</w:t>
            </w:r>
            <w:r w:rsidR="00A22658" w:rsidRPr="00976BFF">
              <w:rPr>
                <w:rFonts w:ascii="ZWAdobeF" w:hAnsi="ZWAdobeF" w:cs="ZWAdobeF"/>
                <w:bCs/>
                <w:sz w:val="2"/>
                <w:szCs w:val="2"/>
                <w:lang w:val="es-ES_tradnl"/>
              </w:rPr>
              <w:t>9F</w:t>
            </w:r>
            <w:r w:rsidR="009E06F4" w:rsidRPr="00976BFF">
              <w:rPr>
                <w:rStyle w:val="FootnoteReference"/>
                <w:rFonts w:ascii="Times New Roman" w:hAnsi="Times New Roman" w:cs="Times New Roman"/>
                <w:bCs/>
                <w:color w:val="000000"/>
                <w:sz w:val="20"/>
                <w:lang w:val="es-ES_tradnl"/>
              </w:rPr>
              <w:footnoteReference w:id="10"/>
            </w:r>
          </w:p>
        </w:tc>
        <w:tc>
          <w:tcPr>
            <w:tcW w:w="3037" w:type="dxa"/>
          </w:tcPr>
          <w:p w:rsidR="001556C4" w:rsidRPr="00976BFF" w:rsidRDefault="00AE6511" w:rsidP="00AE6511">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13</w:t>
            </w:r>
            <w:r w:rsidR="00F43671" w:rsidRPr="00976BFF">
              <w:rPr>
                <w:rFonts w:ascii="Times New Roman" w:hAnsi="Times New Roman" w:cs="Times New Roman"/>
                <w:bCs/>
                <w:color w:val="000000"/>
                <w:sz w:val="20"/>
                <w:lang w:val="es-ES_tradnl"/>
              </w:rPr>
              <w:t>%</w:t>
            </w:r>
          </w:p>
        </w:tc>
      </w:tr>
      <w:tr w:rsidR="009977E9" w:rsidRPr="00976BFF">
        <w:tc>
          <w:tcPr>
            <w:tcW w:w="3125" w:type="dxa"/>
          </w:tcPr>
          <w:p w:rsidR="009977E9" w:rsidRPr="00976BFF" w:rsidRDefault="001255A3" w:rsidP="0012141E">
            <w:pPr>
              <w:pStyle w:val="NoSpacing"/>
              <w:rPr>
                <w:rFonts w:ascii="Times New Roman" w:hAnsi="Times New Roman" w:cs="Times New Roman"/>
                <w:sz w:val="20"/>
                <w:lang w:val="es-ES_tradnl"/>
              </w:rPr>
            </w:pPr>
            <w:r w:rsidRPr="00976BFF">
              <w:rPr>
                <w:rFonts w:ascii="Times New Roman" w:hAnsi="Times New Roman" w:cs="Times New Roman"/>
                <w:sz w:val="20"/>
                <w:lang w:val="es-ES_tradnl"/>
              </w:rPr>
              <w:t>FONPLATA</w:t>
            </w:r>
          </w:p>
        </w:tc>
        <w:tc>
          <w:tcPr>
            <w:tcW w:w="3054" w:type="dxa"/>
          </w:tcPr>
          <w:p w:rsidR="009977E9" w:rsidRPr="00976BFF" w:rsidRDefault="001A09EB" w:rsidP="0004392D">
            <w:pPr>
              <w:pStyle w:val="NoSpacing"/>
              <w:autoSpaceDE w:val="0"/>
              <w:jc w:val="center"/>
              <w:rPr>
                <w:rFonts w:ascii="Times New Roman" w:hAnsi="Times New Roman" w:cs="Times New Roman"/>
                <w:bCs/>
                <w:color w:val="000000"/>
                <w:sz w:val="20"/>
                <w:lang w:val="es-ES_tradnl"/>
              </w:rPr>
            </w:pPr>
            <w:r w:rsidRPr="00976BFF">
              <w:rPr>
                <w:rFonts w:ascii="Times New Roman" w:hAnsi="Times New Roman" w:cs="Times New Roman"/>
                <w:bCs/>
                <w:color w:val="000000"/>
                <w:sz w:val="20"/>
                <w:lang w:val="es-ES_tradnl"/>
              </w:rPr>
              <w:t>92</w:t>
            </w:r>
            <w:r w:rsidR="0004392D" w:rsidRPr="00976BFF">
              <w:rPr>
                <w:rFonts w:ascii="Times New Roman" w:hAnsi="Times New Roman" w:cs="Times New Roman"/>
                <w:bCs/>
                <w:color w:val="000000"/>
                <w:sz w:val="20"/>
                <w:lang w:val="es-ES_tradnl"/>
              </w:rPr>
              <w:t>,</w:t>
            </w:r>
            <w:r w:rsidRPr="00976BFF">
              <w:rPr>
                <w:rFonts w:ascii="Times New Roman" w:hAnsi="Times New Roman" w:cs="Times New Roman"/>
                <w:bCs/>
                <w:color w:val="000000"/>
                <w:sz w:val="20"/>
                <w:lang w:val="es-ES_tradnl"/>
              </w:rPr>
              <w:t>8</w:t>
            </w:r>
            <w:r w:rsidR="00A22658" w:rsidRPr="00976BFF">
              <w:rPr>
                <w:rFonts w:ascii="ZWAdobeF" w:hAnsi="ZWAdobeF" w:cs="ZWAdobeF"/>
                <w:bCs/>
                <w:sz w:val="2"/>
                <w:szCs w:val="2"/>
                <w:lang w:val="es-ES_tradnl"/>
              </w:rPr>
              <w:t>10F</w:t>
            </w:r>
            <w:r w:rsidR="00AE6511" w:rsidRPr="00976BFF">
              <w:rPr>
                <w:rFonts w:ascii="Times New Roman" w:hAnsi="Times New Roman" w:cs="Times New Roman"/>
                <w:bCs/>
                <w:color w:val="000000"/>
                <w:sz w:val="20"/>
                <w:vertAlign w:val="superscript"/>
                <w:lang w:val="es-ES_tradnl"/>
              </w:rPr>
              <w:footnoteReference w:id="11"/>
            </w:r>
          </w:p>
        </w:tc>
        <w:tc>
          <w:tcPr>
            <w:tcW w:w="3037" w:type="dxa"/>
          </w:tcPr>
          <w:p w:rsidR="009977E9" w:rsidRPr="00976BFF" w:rsidRDefault="001A09EB" w:rsidP="001A09EB">
            <w:pPr>
              <w:pStyle w:val="NoSpacing"/>
              <w:jc w:val="center"/>
              <w:rPr>
                <w:rFonts w:ascii="Times New Roman" w:hAnsi="Times New Roman" w:cs="Times New Roman"/>
                <w:bCs/>
                <w:color w:val="000000"/>
                <w:sz w:val="20"/>
                <w:lang w:val="es-ES_tradnl"/>
              </w:rPr>
            </w:pPr>
            <w:r w:rsidRPr="00976BFF">
              <w:rPr>
                <w:rFonts w:ascii="Times New Roman" w:hAnsi="Times New Roman" w:cs="Times New Roman"/>
                <w:bCs/>
                <w:color w:val="000000"/>
                <w:sz w:val="20"/>
                <w:lang w:val="es-ES_tradnl"/>
              </w:rPr>
              <w:t>18%</w:t>
            </w:r>
          </w:p>
        </w:tc>
      </w:tr>
      <w:tr w:rsidR="001556C4" w:rsidRPr="00976BFF">
        <w:tc>
          <w:tcPr>
            <w:tcW w:w="3125" w:type="dxa"/>
          </w:tcPr>
          <w:p w:rsidR="001556C4" w:rsidRPr="00976BFF" w:rsidRDefault="009E06F4" w:rsidP="0004392D">
            <w:pPr>
              <w:pStyle w:val="NoSpacing"/>
              <w:rPr>
                <w:rFonts w:ascii="Times New Roman" w:hAnsi="Times New Roman" w:cs="Times New Roman"/>
                <w:b/>
                <w:sz w:val="20"/>
                <w:lang w:val="es-ES_tradnl"/>
              </w:rPr>
            </w:pPr>
            <w:r w:rsidRPr="00976BFF">
              <w:rPr>
                <w:rFonts w:ascii="Times New Roman" w:hAnsi="Times New Roman" w:cs="Times New Roman"/>
                <w:b/>
                <w:sz w:val="20"/>
                <w:lang w:val="es-ES_tradnl"/>
              </w:rPr>
              <w:t>Total</w:t>
            </w:r>
            <w:r w:rsidR="0004392D" w:rsidRPr="00976BFF">
              <w:rPr>
                <w:rFonts w:ascii="Times New Roman" w:hAnsi="Times New Roman" w:cs="Times New Roman"/>
                <w:b/>
                <w:sz w:val="20"/>
                <w:lang w:val="es-ES_tradnl"/>
              </w:rPr>
              <w:t xml:space="preserve"> de financiamiento del </w:t>
            </w:r>
            <w:r w:rsidR="00650A31">
              <w:rPr>
                <w:rFonts w:ascii="Times New Roman" w:hAnsi="Times New Roman" w:cs="Times New Roman"/>
                <w:b/>
                <w:sz w:val="20"/>
                <w:lang w:val="es-ES_tradnl"/>
              </w:rPr>
              <w:t>programa</w:t>
            </w:r>
          </w:p>
        </w:tc>
        <w:tc>
          <w:tcPr>
            <w:tcW w:w="3054" w:type="dxa"/>
          </w:tcPr>
          <w:p w:rsidR="001556C4" w:rsidRPr="00976BFF" w:rsidRDefault="00AE6511" w:rsidP="0004392D">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510</w:t>
            </w:r>
            <w:r w:rsidR="0004392D" w:rsidRPr="00976BFF">
              <w:rPr>
                <w:rFonts w:ascii="Times New Roman" w:hAnsi="Times New Roman" w:cs="Times New Roman"/>
                <w:bCs/>
                <w:color w:val="000000"/>
                <w:sz w:val="20"/>
                <w:lang w:val="es-ES_tradnl"/>
              </w:rPr>
              <w:t>,</w:t>
            </w:r>
            <w:r w:rsidR="009E06F4" w:rsidRPr="00976BFF">
              <w:rPr>
                <w:rFonts w:ascii="Times New Roman" w:hAnsi="Times New Roman" w:cs="Times New Roman"/>
                <w:bCs/>
                <w:color w:val="000000"/>
                <w:sz w:val="20"/>
                <w:lang w:val="es-ES_tradnl"/>
              </w:rPr>
              <w:t>0</w:t>
            </w:r>
          </w:p>
        </w:tc>
        <w:tc>
          <w:tcPr>
            <w:tcW w:w="3037" w:type="dxa"/>
          </w:tcPr>
          <w:p w:rsidR="001556C4" w:rsidRPr="00976BFF" w:rsidRDefault="009E06F4" w:rsidP="0012141E">
            <w:pPr>
              <w:pStyle w:val="NoSpacing"/>
              <w:jc w:val="center"/>
              <w:rPr>
                <w:rFonts w:ascii="Times New Roman" w:hAnsi="Times New Roman" w:cs="Times New Roman"/>
                <w:sz w:val="20"/>
                <w:lang w:val="es-ES_tradnl"/>
              </w:rPr>
            </w:pPr>
            <w:r w:rsidRPr="00976BFF">
              <w:rPr>
                <w:rFonts w:ascii="Times New Roman" w:hAnsi="Times New Roman" w:cs="Times New Roman"/>
                <w:bCs/>
                <w:color w:val="000000"/>
                <w:sz w:val="20"/>
                <w:lang w:val="es-ES_tradnl"/>
              </w:rPr>
              <w:t>100</w:t>
            </w:r>
            <w:r w:rsidR="001A09EB" w:rsidRPr="00976BFF">
              <w:rPr>
                <w:rFonts w:ascii="Times New Roman" w:hAnsi="Times New Roman" w:cs="Times New Roman"/>
                <w:bCs/>
                <w:color w:val="000000"/>
                <w:sz w:val="20"/>
                <w:lang w:val="es-ES_tradnl"/>
              </w:rPr>
              <w:t>%</w:t>
            </w:r>
          </w:p>
        </w:tc>
      </w:tr>
    </w:tbl>
    <w:p w:rsidR="00EA40B5" w:rsidRPr="000B5989" w:rsidRDefault="00852D76" w:rsidP="00B66636">
      <w:pPr>
        <w:pStyle w:val="NoSpacing"/>
        <w:ind w:left="360"/>
        <w:rPr>
          <w:rFonts w:ascii="Times New Roman" w:hAnsi="Times New Roman" w:cs="Times New Roman"/>
          <w:sz w:val="18"/>
          <w:szCs w:val="18"/>
          <w:lang w:val="es-ES_tradnl"/>
        </w:rPr>
      </w:pPr>
      <w:r w:rsidRPr="000B5989">
        <w:rPr>
          <w:rFonts w:ascii="Times New Roman" w:hAnsi="Times New Roman" w:cs="Times New Roman"/>
          <w:sz w:val="18"/>
          <w:szCs w:val="18"/>
          <w:lang w:val="es-ES_tradnl"/>
        </w:rPr>
        <w:t xml:space="preserve">* </w:t>
      </w:r>
      <w:r w:rsidR="009914EF" w:rsidRPr="000B5989">
        <w:rPr>
          <w:rFonts w:ascii="Times New Roman" w:hAnsi="Times New Roman" w:cs="Times New Roman"/>
          <w:sz w:val="18"/>
          <w:szCs w:val="18"/>
          <w:lang w:val="es-ES_tradnl"/>
        </w:rPr>
        <w:t>Incluye</w:t>
      </w:r>
      <w:r w:rsidR="0004392D" w:rsidRPr="000B5989">
        <w:rPr>
          <w:rFonts w:ascii="Times New Roman" w:hAnsi="Times New Roman" w:cs="Times New Roman"/>
          <w:sz w:val="18"/>
          <w:szCs w:val="18"/>
          <w:lang w:val="es-ES_tradnl"/>
        </w:rPr>
        <w:t xml:space="preserve"> el financiamiento de contrapartida de los préstamos del BID y el </w:t>
      </w:r>
      <w:r w:rsidRPr="000B5989">
        <w:rPr>
          <w:rFonts w:ascii="Times New Roman" w:hAnsi="Times New Roman" w:cs="Times New Roman"/>
          <w:sz w:val="18"/>
          <w:szCs w:val="18"/>
          <w:lang w:val="es-ES_tradnl"/>
        </w:rPr>
        <w:t>FONPLATA</w:t>
      </w:r>
      <w:r w:rsidR="0004392D" w:rsidRPr="000B5989">
        <w:rPr>
          <w:rFonts w:ascii="Times New Roman" w:hAnsi="Times New Roman" w:cs="Times New Roman"/>
          <w:sz w:val="18"/>
          <w:szCs w:val="18"/>
          <w:lang w:val="es-ES_tradnl"/>
        </w:rPr>
        <w:t>.</w:t>
      </w:r>
    </w:p>
    <w:p w:rsidR="009F5F8A" w:rsidRPr="00976BFF" w:rsidRDefault="009F5F8A" w:rsidP="00B66636">
      <w:pPr>
        <w:pStyle w:val="NoSpacing"/>
        <w:ind w:left="360"/>
        <w:rPr>
          <w:rFonts w:ascii="Times New Roman" w:hAnsi="Times New Roman" w:cs="Times New Roman"/>
          <w:i/>
          <w:sz w:val="18"/>
          <w:szCs w:val="18"/>
          <w:lang w:val="es-ES_tradnl"/>
        </w:rPr>
      </w:pPr>
    </w:p>
    <w:p w:rsidR="00A764A2" w:rsidRPr="00976BFF" w:rsidRDefault="00AD3BEA" w:rsidP="00625FD2">
      <w:pPr>
        <w:pStyle w:val="MainPara"/>
        <w:rPr>
          <w:lang w:val="es-ES_tradnl"/>
        </w:rPr>
      </w:pPr>
      <w:r w:rsidRPr="00976BFF">
        <w:rPr>
          <w:b/>
          <w:lang w:val="es-ES_tradnl"/>
        </w:rPr>
        <w:t xml:space="preserve">Beneficiarios del </w:t>
      </w:r>
      <w:r w:rsidR="00650A31">
        <w:rPr>
          <w:b/>
          <w:lang w:val="es-ES_tradnl"/>
        </w:rPr>
        <w:t>programa</w:t>
      </w:r>
      <w:r w:rsidR="00BE28DC" w:rsidRPr="000B5989">
        <w:rPr>
          <w:b/>
          <w:lang w:val="es-ES_tradnl"/>
        </w:rPr>
        <w:t>.</w:t>
      </w:r>
      <w:r w:rsidR="00BE28DC" w:rsidRPr="00976BFF">
        <w:rPr>
          <w:lang w:val="es-ES_tradnl"/>
        </w:rPr>
        <w:t xml:space="preserve"> </w:t>
      </w:r>
      <w:r w:rsidR="00676044" w:rsidRPr="00976BFF">
        <w:rPr>
          <w:lang w:val="es-ES_tradnl"/>
        </w:rPr>
        <w:t xml:space="preserve">El </w:t>
      </w:r>
      <w:r w:rsidR="00650A31">
        <w:rPr>
          <w:lang w:val="es-ES_tradnl"/>
        </w:rPr>
        <w:t>programa</w:t>
      </w:r>
      <w:r w:rsidR="00676044" w:rsidRPr="00976BFF">
        <w:rPr>
          <w:lang w:val="es-ES_tradnl"/>
        </w:rPr>
        <w:t xml:space="preserve"> tiene cinco grupos de beneficiarios: usuarios viales, empresas de transporte y consumidores finales, </w:t>
      </w:r>
      <w:r w:rsidR="00156180" w:rsidRPr="00976BFF">
        <w:rPr>
          <w:lang w:val="es-ES_tradnl"/>
        </w:rPr>
        <w:t xml:space="preserve">empresas constructoras de carreteras, habitantes en general, y el Estado. </w:t>
      </w:r>
      <w:r w:rsidR="00AC1899" w:rsidRPr="00976BFF">
        <w:rPr>
          <w:lang w:val="es-ES_tradnl"/>
        </w:rPr>
        <w:t xml:space="preserve">Primero y principalmente, los </w:t>
      </w:r>
      <w:r w:rsidR="006D44FB" w:rsidRPr="00976BFF">
        <w:rPr>
          <w:lang w:val="es-ES_tradnl"/>
        </w:rPr>
        <w:t xml:space="preserve">gastos de mantenimiento de </w:t>
      </w:r>
      <w:r w:rsidR="006D44FB">
        <w:rPr>
          <w:lang w:val="es-ES_tradnl"/>
        </w:rPr>
        <w:t>lo</w:t>
      </w:r>
      <w:r w:rsidR="006D44FB" w:rsidRPr="00976BFF">
        <w:rPr>
          <w:lang w:val="es-ES_tradnl"/>
        </w:rPr>
        <w:t xml:space="preserve">s vehículos y </w:t>
      </w:r>
      <w:r w:rsidR="006D44FB">
        <w:rPr>
          <w:lang w:val="es-ES_tradnl"/>
        </w:rPr>
        <w:t xml:space="preserve">los </w:t>
      </w:r>
      <w:r w:rsidR="006D44FB" w:rsidRPr="00976BFF">
        <w:rPr>
          <w:lang w:val="es-ES_tradnl"/>
        </w:rPr>
        <w:t xml:space="preserve">costos operativos </w:t>
      </w:r>
      <w:r w:rsidR="006D44FB">
        <w:rPr>
          <w:lang w:val="es-ES_tradnl"/>
        </w:rPr>
        <w:t xml:space="preserve">de los </w:t>
      </w:r>
      <w:r w:rsidR="00AC1899" w:rsidRPr="00976BFF">
        <w:rPr>
          <w:lang w:val="es-ES_tradnl"/>
        </w:rPr>
        <w:t xml:space="preserve">usuarios viales </w:t>
      </w:r>
      <w:r w:rsidR="006D44FB">
        <w:rPr>
          <w:lang w:val="es-ES_tradnl"/>
        </w:rPr>
        <w:t>se reducirán</w:t>
      </w:r>
      <w:r w:rsidR="00AC1899" w:rsidRPr="00976BFF">
        <w:rPr>
          <w:lang w:val="es-ES_tradnl"/>
        </w:rPr>
        <w:t xml:space="preserve"> gracias al mejor estado de los caminos y pavimentos. Se estima que los resultados del </w:t>
      </w:r>
      <w:r w:rsidR="00650A31">
        <w:rPr>
          <w:lang w:val="es-ES_tradnl"/>
        </w:rPr>
        <w:t>programa</w:t>
      </w:r>
      <w:r w:rsidR="00AC1899" w:rsidRPr="00976BFF">
        <w:rPr>
          <w:lang w:val="es-ES_tradnl"/>
        </w:rPr>
        <w:t xml:space="preserve"> se traducirán en beneficios para </w:t>
      </w:r>
      <w:r w:rsidR="00FD0088">
        <w:rPr>
          <w:lang w:val="es-ES_tradnl"/>
        </w:rPr>
        <w:t xml:space="preserve">3 </w:t>
      </w:r>
      <w:r w:rsidR="00AC1899" w:rsidRPr="00976BFF">
        <w:rPr>
          <w:lang w:val="es-ES_tradnl"/>
        </w:rPr>
        <w:t xml:space="preserve">millones de personas que realizan aproximadamente 175 millones de viajes al año por la </w:t>
      </w:r>
      <w:r w:rsidR="00834929" w:rsidRPr="00976BFF">
        <w:rPr>
          <w:lang w:val="es-ES_tradnl"/>
        </w:rPr>
        <w:t>r</w:t>
      </w:r>
      <w:r w:rsidR="00AC1899" w:rsidRPr="00976BFF">
        <w:rPr>
          <w:lang w:val="es-ES_tradnl"/>
        </w:rPr>
        <w:t xml:space="preserve">ed </w:t>
      </w:r>
      <w:r w:rsidR="00834929" w:rsidRPr="00976BFF">
        <w:rPr>
          <w:lang w:val="es-ES_tradnl"/>
        </w:rPr>
        <w:t>vial n</w:t>
      </w:r>
      <w:r w:rsidR="00AC1899" w:rsidRPr="00976BFF">
        <w:rPr>
          <w:lang w:val="es-ES_tradnl"/>
        </w:rPr>
        <w:t>acional;</w:t>
      </w:r>
      <w:r w:rsidR="002D4E70">
        <w:rPr>
          <w:lang w:val="es-ES_tradnl"/>
        </w:rPr>
        <w:t xml:space="preserve"> el </w:t>
      </w:r>
      <w:r w:rsidR="00650A31">
        <w:rPr>
          <w:lang w:val="es-ES_tradnl"/>
        </w:rPr>
        <w:t>programa</w:t>
      </w:r>
      <w:r w:rsidR="002D4E70">
        <w:rPr>
          <w:lang w:val="es-ES_tradnl"/>
        </w:rPr>
        <w:t xml:space="preserve"> está orientado por igual a </w:t>
      </w:r>
      <w:r w:rsidR="00C57667" w:rsidRPr="00976BFF">
        <w:rPr>
          <w:lang w:val="es-ES_tradnl"/>
        </w:rPr>
        <w:t xml:space="preserve">usuarios viales y beneficiarios </w:t>
      </w:r>
      <w:r w:rsidR="002D4E70">
        <w:rPr>
          <w:lang w:val="es-ES_tradnl"/>
        </w:rPr>
        <w:t>de ambos géneros</w:t>
      </w:r>
      <w:r w:rsidR="00C57667" w:rsidRPr="00976BFF">
        <w:rPr>
          <w:lang w:val="es-ES_tradnl"/>
        </w:rPr>
        <w:t>. Segundo, las empresas de transporte de bienes y los consumidores finales tendrán menos gastos de transporte y logística y, por consiguiente, una situación competitiva en la que el aumento de la eficiencia en la cadena de logística se traducirá en una disminución de los precios de los bienes de consumo. Tercero, la industria de la construcción de carreteras se beneficiará debido al aumento de las actividades y las oportunidades de mercado. Cuarto, el</w:t>
      </w:r>
      <w:r w:rsidR="00BB3278" w:rsidRPr="00976BFF">
        <w:rPr>
          <w:lang w:val="es-ES_tradnl"/>
        </w:rPr>
        <w:t xml:space="preserve"> mejor estado de la </w:t>
      </w:r>
      <w:r w:rsidR="00834929" w:rsidRPr="00976BFF">
        <w:rPr>
          <w:lang w:val="es-ES_tradnl"/>
        </w:rPr>
        <w:t>r</w:t>
      </w:r>
      <w:r w:rsidR="00BB3278" w:rsidRPr="00976BFF">
        <w:rPr>
          <w:lang w:val="es-ES_tradnl"/>
        </w:rPr>
        <w:t xml:space="preserve">ed </w:t>
      </w:r>
      <w:r w:rsidR="00834929" w:rsidRPr="00976BFF">
        <w:rPr>
          <w:lang w:val="es-ES_tradnl"/>
        </w:rPr>
        <w:t>vial n</w:t>
      </w:r>
      <w:r w:rsidR="00BB3278" w:rsidRPr="00976BFF">
        <w:rPr>
          <w:lang w:val="es-ES_tradnl"/>
        </w:rPr>
        <w:t xml:space="preserve">acional redundará en beneficio </w:t>
      </w:r>
      <w:r w:rsidR="00FD0088">
        <w:rPr>
          <w:lang w:val="es-ES_tradnl"/>
        </w:rPr>
        <w:t xml:space="preserve">de los </w:t>
      </w:r>
      <w:r w:rsidR="00C57667" w:rsidRPr="00976BFF">
        <w:rPr>
          <w:lang w:val="es-ES_tradnl"/>
        </w:rPr>
        <w:t>uruguayo</w:t>
      </w:r>
      <w:r w:rsidR="00FD0088">
        <w:rPr>
          <w:lang w:val="es-ES_tradnl"/>
        </w:rPr>
        <w:t>s</w:t>
      </w:r>
      <w:r w:rsidR="00C57667" w:rsidRPr="00976BFF">
        <w:rPr>
          <w:lang w:val="es-ES_tradnl"/>
        </w:rPr>
        <w:t xml:space="preserve"> en general</w:t>
      </w:r>
      <w:r w:rsidR="00BB3278" w:rsidRPr="00976BFF">
        <w:rPr>
          <w:lang w:val="es-ES_tradnl"/>
        </w:rPr>
        <w:t xml:space="preserve"> pues propiciará la movilidad y el acceso a empleos, </w:t>
      </w:r>
      <w:r w:rsidR="006D44FB">
        <w:rPr>
          <w:lang w:val="es-ES_tradnl"/>
        </w:rPr>
        <w:t xml:space="preserve">los </w:t>
      </w:r>
      <w:r w:rsidR="00BB3278" w:rsidRPr="00976BFF">
        <w:rPr>
          <w:lang w:val="es-ES_tradnl"/>
        </w:rPr>
        <w:t xml:space="preserve">mercados, </w:t>
      </w:r>
      <w:r w:rsidR="006D44FB">
        <w:rPr>
          <w:lang w:val="es-ES_tradnl"/>
        </w:rPr>
        <w:t xml:space="preserve">las </w:t>
      </w:r>
      <w:r w:rsidR="00BB3278" w:rsidRPr="00976BFF">
        <w:rPr>
          <w:lang w:val="es-ES_tradnl"/>
        </w:rPr>
        <w:t>redes de protección social</w:t>
      </w:r>
      <w:r w:rsidR="00C57667" w:rsidRPr="00976BFF">
        <w:rPr>
          <w:lang w:val="es-ES_tradnl"/>
        </w:rPr>
        <w:t xml:space="preserve"> </w:t>
      </w:r>
      <w:r w:rsidR="00BB3278" w:rsidRPr="00976BFF">
        <w:rPr>
          <w:lang w:val="es-ES_tradnl"/>
        </w:rPr>
        <w:t xml:space="preserve">y una mayor seguridad vial. Por último, como se indica en la evaluación económica del </w:t>
      </w:r>
      <w:r w:rsidR="00650A31">
        <w:rPr>
          <w:lang w:val="es-ES_tradnl"/>
        </w:rPr>
        <w:t>programa</w:t>
      </w:r>
      <w:r w:rsidR="00BB3278" w:rsidRPr="00976BFF">
        <w:rPr>
          <w:lang w:val="es-ES_tradnl"/>
        </w:rPr>
        <w:t>, los mejores resultados en materia de mantenimiento vial preventivo constituyen un ahorro neto para el Estado, a través de la DNV, durante la vida útil del pavimento: el adecuado mantenimiento de rutina del pavimento y su oportuna rehabilitación resultan más baratos que su reconstrucción</w:t>
      </w:r>
      <w:r w:rsidR="00643CDE" w:rsidRPr="00976BFF">
        <w:rPr>
          <w:lang w:val="es-ES_tradnl"/>
        </w:rPr>
        <w:t>.</w:t>
      </w:r>
      <w:r w:rsidR="0078609C" w:rsidRPr="00976BFF">
        <w:rPr>
          <w:lang w:val="es-ES_tradnl"/>
        </w:rPr>
        <w:t xml:space="preserve"> </w:t>
      </w:r>
    </w:p>
    <w:p w:rsidR="00C45B85" w:rsidRPr="00976BFF" w:rsidRDefault="00BB3278" w:rsidP="00625FD2">
      <w:pPr>
        <w:pStyle w:val="MainPara"/>
        <w:rPr>
          <w:lang w:val="es-ES_tradnl"/>
        </w:rPr>
      </w:pPr>
      <w:r w:rsidRPr="00976BFF">
        <w:rPr>
          <w:b/>
          <w:lang w:val="es-ES_tradnl"/>
        </w:rPr>
        <w:t>Función de los asociados en el desarrollo</w:t>
      </w:r>
      <w:r w:rsidR="00BE28DC" w:rsidRPr="000B5989">
        <w:rPr>
          <w:b/>
          <w:lang w:val="es-ES_tradnl"/>
        </w:rPr>
        <w:t>.</w:t>
      </w:r>
      <w:r w:rsidR="00BE28DC" w:rsidRPr="00976BFF">
        <w:rPr>
          <w:lang w:val="es-ES_tradnl"/>
        </w:rPr>
        <w:t xml:space="preserve"> </w:t>
      </w:r>
      <w:r w:rsidR="000A1FF8" w:rsidRPr="00976BFF">
        <w:rPr>
          <w:lang w:val="es-ES_tradnl"/>
        </w:rPr>
        <w:t xml:space="preserve">Se prevé que la inclusión de los préstamos del BID y el </w:t>
      </w:r>
      <w:r w:rsidR="001A09EB" w:rsidRPr="00976BFF">
        <w:rPr>
          <w:lang w:val="es-ES_tradnl"/>
        </w:rPr>
        <w:t>FONPLATA</w:t>
      </w:r>
      <w:r w:rsidR="000A1FF8" w:rsidRPr="00976BFF">
        <w:rPr>
          <w:lang w:val="es-ES_tradnl"/>
        </w:rPr>
        <w:t xml:space="preserve"> en el </w:t>
      </w:r>
      <w:r w:rsidR="00650A31">
        <w:rPr>
          <w:lang w:val="es-ES_tradnl"/>
        </w:rPr>
        <w:t>programa</w:t>
      </w:r>
      <w:r w:rsidR="000A1FF8" w:rsidRPr="00976BFF">
        <w:rPr>
          <w:lang w:val="es-ES_tradnl"/>
        </w:rPr>
        <w:t xml:space="preserve"> generará grandes beneficios y oportunidades para su ejecución, derivados principalmente de sinergia</w:t>
      </w:r>
      <w:r w:rsidR="002620C8">
        <w:rPr>
          <w:lang w:val="es-ES_tradnl"/>
        </w:rPr>
        <w:t>s</w:t>
      </w:r>
      <w:r w:rsidR="000A1FF8" w:rsidRPr="00976BFF">
        <w:rPr>
          <w:lang w:val="es-ES_tradnl"/>
        </w:rPr>
        <w:t>, la armonización de las actividades de las instituciones financieras internacionales y la identificación del Gobierno de Uruguay con un enfoque programático del sector</w:t>
      </w:r>
      <w:r w:rsidR="00AB7964">
        <w:rPr>
          <w:lang w:val="es-ES_tradnl"/>
        </w:rPr>
        <w:t>.</w:t>
      </w:r>
    </w:p>
    <w:p w:rsidR="00164304" w:rsidRPr="00976BFF" w:rsidRDefault="000A1FF8" w:rsidP="00625FD2">
      <w:pPr>
        <w:pStyle w:val="MainPara"/>
        <w:rPr>
          <w:lang w:val="es-ES_tradnl"/>
        </w:rPr>
      </w:pPr>
      <w:r w:rsidRPr="00976BFF">
        <w:rPr>
          <w:lang w:val="es-ES_tradnl"/>
        </w:rPr>
        <w:t xml:space="preserve">En </w:t>
      </w:r>
      <w:r w:rsidR="00185EFF" w:rsidRPr="00976BFF">
        <w:rPr>
          <w:lang w:val="es-ES_tradnl"/>
        </w:rPr>
        <w:t>lo referente a las</w:t>
      </w:r>
      <w:r w:rsidRPr="00976BFF">
        <w:rPr>
          <w:lang w:val="es-ES_tradnl"/>
        </w:rPr>
        <w:t xml:space="preserve"> obras, los préstamos del BID y el </w:t>
      </w:r>
      <w:r w:rsidR="001A09EB" w:rsidRPr="00976BFF">
        <w:rPr>
          <w:lang w:val="es-ES_tradnl"/>
        </w:rPr>
        <w:t xml:space="preserve">FONPLATA </w:t>
      </w:r>
      <w:r w:rsidRPr="00976BFF">
        <w:rPr>
          <w:lang w:val="es-ES_tradnl"/>
        </w:rPr>
        <w:t xml:space="preserve">también financian inversiones en rehabilitación y mantenimiento vial centradas en la </w:t>
      </w:r>
      <w:r w:rsidR="00834929" w:rsidRPr="00976BFF">
        <w:rPr>
          <w:lang w:val="es-ES_tradnl"/>
        </w:rPr>
        <w:t>r</w:t>
      </w:r>
      <w:r w:rsidRPr="00976BFF">
        <w:rPr>
          <w:lang w:val="es-ES_tradnl"/>
        </w:rPr>
        <w:t xml:space="preserve">ed </w:t>
      </w:r>
      <w:r w:rsidR="00834929" w:rsidRPr="00976BFF">
        <w:rPr>
          <w:lang w:val="es-ES_tradnl"/>
        </w:rPr>
        <w:t>vial n</w:t>
      </w:r>
      <w:r w:rsidRPr="00976BFF">
        <w:rPr>
          <w:lang w:val="es-ES_tradnl"/>
        </w:rPr>
        <w:t xml:space="preserve">acional. El Gobierno de Uruguay, el BID y el Banco Mundial </w:t>
      </w:r>
      <w:r w:rsidR="00185EFF" w:rsidRPr="00976BFF">
        <w:rPr>
          <w:lang w:val="es-ES_tradnl"/>
        </w:rPr>
        <w:t xml:space="preserve">comparten un análisis común de la importancia crucial de invertir en mantenimiento vial. Los organismos de ejecución del </w:t>
      </w:r>
      <w:r w:rsidR="00650A31">
        <w:rPr>
          <w:lang w:val="es-ES_tradnl"/>
        </w:rPr>
        <w:t>programa</w:t>
      </w:r>
      <w:r w:rsidR="00185EFF" w:rsidRPr="00976BFF">
        <w:rPr>
          <w:lang w:val="es-ES_tradnl"/>
        </w:rPr>
        <w:t xml:space="preserve"> velarán por la oportuna complementariedad y la sinergia </w:t>
      </w:r>
      <w:r w:rsidR="00FD0088">
        <w:rPr>
          <w:lang w:val="es-ES_tradnl"/>
        </w:rPr>
        <w:t>de</w:t>
      </w:r>
      <w:r w:rsidR="00FD0088" w:rsidRPr="00976BFF">
        <w:rPr>
          <w:lang w:val="es-ES_tradnl"/>
        </w:rPr>
        <w:t xml:space="preserve"> </w:t>
      </w:r>
      <w:r w:rsidR="00185EFF" w:rsidRPr="00976BFF">
        <w:rPr>
          <w:lang w:val="es-ES_tradnl"/>
        </w:rPr>
        <w:t xml:space="preserve">las inversiones incluidas en el </w:t>
      </w:r>
      <w:r w:rsidR="00650A31">
        <w:rPr>
          <w:lang w:val="es-ES_tradnl"/>
        </w:rPr>
        <w:t>programa</w:t>
      </w:r>
      <w:r w:rsidR="00F420A9" w:rsidRPr="00976BFF">
        <w:rPr>
          <w:lang w:val="es-ES_tradnl"/>
        </w:rPr>
        <w:t xml:space="preserve">. </w:t>
      </w:r>
    </w:p>
    <w:p w:rsidR="00A764A2" w:rsidRPr="00976BFF" w:rsidRDefault="004C66F8" w:rsidP="00625FD2">
      <w:pPr>
        <w:pStyle w:val="MainPara"/>
        <w:rPr>
          <w:lang w:val="es-ES_tradnl"/>
        </w:rPr>
      </w:pPr>
      <w:r w:rsidRPr="00976BFF">
        <w:rPr>
          <w:lang w:val="es-ES_tradnl"/>
        </w:rPr>
        <w:t xml:space="preserve"> </w:t>
      </w:r>
      <w:r w:rsidR="00185EFF" w:rsidRPr="00976BFF">
        <w:rPr>
          <w:lang w:val="es-ES_tradnl"/>
        </w:rPr>
        <w:t xml:space="preserve">En lo referente a las actividades de fortalecimiento institucional, los préstamos del BID y el Banco Mundial también están armonizados, sobre la base de las opiniones comunes respecto de las cuestiones clave que deben abordarse. El préstamo del </w:t>
      </w:r>
      <w:r w:rsidR="001A09EB" w:rsidRPr="00976BFF">
        <w:rPr>
          <w:lang w:val="es-ES_tradnl"/>
        </w:rPr>
        <w:t>FONPLATA</w:t>
      </w:r>
      <w:r w:rsidR="00185EFF" w:rsidRPr="00976BFF">
        <w:rPr>
          <w:lang w:val="es-ES_tradnl"/>
        </w:rPr>
        <w:t xml:space="preserve"> no incluiría </w:t>
      </w:r>
      <w:r w:rsidR="009914EF" w:rsidRPr="00976BFF">
        <w:rPr>
          <w:lang w:val="es-ES_tradnl"/>
        </w:rPr>
        <w:t>actividades</w:t>
      </w:r>
      <w:r w:rsidR="00185EFF" w:rsidRPr="00976BFF">
        <w:rPr>
          <w:lang w:val="es-ES_tradnl"/>
        </w:rPr>
        <w:t xml:space="preserve"> de fortalecimiento institucional. El Gobierno de Uruguay, el BID y el Banco Mundial establecerán un alto grado de coordinación de las medidas para promover sinergias y evitar duplicaciones, y se asegurarán de que estas actividades complementen las descritas en el </w:t>
      </w:r>
      <w:r w:rsidR="007A653A" w:rsidRPr="00976BFF">
        <w:rPr>
          <w:lang w:val="es-ES_tradnl"/>
        </w:rPr>
        <w:t xml:space="preserve">Plan de Acción del </w:t>
      </w:r>
      <w:r w:rsidR="00650A31">
        <w:rPr>
          <w:lang w:val="es-ES_tradnl"/>
        </w:rPr>
        <w:t>programa</w:t>
      </w:r>
      <w:r w:rsidR="00185EFF" w:rsidRPr="00976BFF">
        <w:rPr>
          <w:lang w:val="es-ES_tradnl"/>
        </w:rPr>
        <w:t xml:space="preserve">. En la sección </w:t>
      </w:r>
      <w:r w:rsidR="001C6E44" w:rsidRPr="00976BFF">
        <w:rPr>
          <w:lang w:val="es-ES_tradnl"/>
        </w:rPr>
        <w:t xml:space="preserve">IV-E </w:t>
      </w:r>
      <w:r w:rsidR="00185EFF" w:rsidRPr="00976BFF">
        <w:rPr>
          <w:lang w:val="es-ES_tradnl"/>
        </w:rPr>
        <w:t xml:space="preserve">se describe en detalle la manera en que el </w:t>
      </w:r>
      <w:r w:rsidR="007A653A" w:rsidRPr="00976BFF">
        <w:rPr>
          <w:lang w:val="es-ES_tradnl"/>
        </w:rPr>
        <w:t xml:space="preserve">Plan de Acción del </w:t>
      </w:r>
      <w:r w:rsidR="00650A31">
        <w:rPr>
          <w:lang w:val="es-ES_tradnl"/>
        </w:rPr>
        <w:t>programa</w:t>
      </w:r>
      <w:r w:rsidR="00185EFF" w:rsidRPr="00976BFF">
        <w:rPr>
          <w:lang w:val="es-ES_tradnl"/>
        </w:rPr>
        <w:t xml:space="preserve"> y las actividades de fortalecimiento institucional del BID se complementan mutuamente</w:t>
      </w:r>
      <w:r w:rsidR="001C6E44" w:rsidRPr="00976BFF">
        <w:rPr>
          <w:lang w:val="es-ES_tradnl"/>
        </w:rPr>
        <w:t xml:space="preserve">. </w:t>
      </w:r>
    </w:p>
    <w:p w:rsidR="00400B29" w:rsidRPr="00976BFF" w:rsidRDefault="00400B29" w:rsidP="00B66636">
      <w:pPr>
        <w:pStyle w:val="NoSpacing"/>
        <w:ind w:left="360"/>
        <w:rPr>
          <w:rFonts w:ascii="Times New Roman" w:hAnsi="Times New Roman" w:cs="Times New Roman"/>
          <w:lang w:val="es-ES_tradnl"/>
        </w:rPr>
      </w:pPr>
    </w:p>
    <w:p w:rsidR="004E4895" w:rsidRPr="00976BFF" w:rsidRDefault="00185EFF" w:rsidP="006068D8">
      <w:pPr>
        <w:pStyle w:val="Heading2"/>
        <w:rPr>
          <w:lang w:val="es-ES_tradnl"/>
        </w:rPr>
      </w:pPr>
      <w:bookmarkStart w:id="10" w:name="_Toc344927150"/>
      <w:r w:rsidRPr="00976BFF">
        <w:rPr>
          <w:lang w:val="es-ES_tradnl"/>
        </w:rPr>
        <w:t xml:space="preserve">Objetivo de desarrollo del </w:t>
      </w:r>
      <w:bookmarkEnd w:id="10"/>
      <w:r w:rsidR="00650A31">
        <w:rPr>
          <w:lang w:val="es-ES_tradnl"/>
        </w:rPr>
        <w:t>programa</w:t>
      </w:r>
      <w:r w:rsidR="000635E9" w:rsidRPr="00976BFF">
        <w:rPr>
          <w:lang w:val="es-ES_tradnl"/>
        </w:rPr>
        <w:t xml:space="preserve"> </w:t>
      </w:r>
    </w:p>
    <w:p w:rsidR="0007594F" w:rsidRPr="00976BFF" w:rsidRDefault="00CC6E9B" w:rsidP="00625FD2">
      <w:pPr>
        <w:pStyle w:val="MainPara"/>
        <w:rPr>
          <w:lang w:val="es-ES_tradnl"/>
        </w:rPr>
      </w:pPr>
      <w:r w:rsidRPr="00976BFF">
        <w:rPr>
          <w:lang w:val="es-ES_tradnl"/>
        </w:rPr>
        <w:t xml:space="preserve">El objetivo de desarrollo del </w:t>
      </w:r>
      <w:r w:rsidR="00650A31">
        <w:rPr>
          <w:lang w:val="es-ES_tradnl"/>
        </w:rPr>
        <w:t>programa</w:t>
      </w:r>
      <w:r w:rsidRPr="00976BFF">
        <w:rPr>
          <w:lang w:val="es-ES_tradnl"/>
        </w:rPr>
        <w:t xml:space="preserve"> consiste en mantener en buenas o muy buenas condiciones el 35%, como mínimo, de la </w:t>
      </w:r>
      <w:r w:rsidR="00834929" w:rsidRPr="00976BFF">
        <w:rPr>
          <w:lang w:val="es-ES_tradnl"/>
        </w:rPr>
        <w:t>r</w:t>
      </w:r>
      <w:r w:rsidRPr="00976BFF">
        <w:rPr>
          <w:lang w:val="es-ES_tradnl"/>
        </w:rPr>
        <w:t xml:space="preserve">ed </w:t>
      </w:r>
      <w:r w:rsidR="00834929" w:rsidRPr="00976BFF">
        <w:rPr>
          <w:lang w:val="es-ES_tradnl"/>
        </w:rPr>
        <w:t>vial n</w:t>
      </w:r>
      <w:r w:rsidRPr="00976BFF">
        <w:rPr>
          <w:lang w:val="es-ES_tradnl"/>
        </w:rPr>
        <w:t xml:space="preserve">acional de Uruguay y mejorar la gestión del sector vial. Este objetivo coincide ampliamente con el </w:t>
      </w:r>
      <w:r w:rsidR="002620C8">
        <w:rPr>
          <w:lang w:val="es-ES_tradnl"/>
        </w:rPr>
        <w:t>p</w:t>
      </w:r>
      <w:r w:rsidR="009B073D" w:rsidRPr="00976BFF">
        <w:rPr>
          <w:lang w:val="es-ES_tradnl"/>
        </w:rPr>
        <w:t>rograma</w:t>
      </w:r>
      <w:r w:rsidRPr="00976BFF">
        <w:rPr>
          <w:lang w:val="es-ES_tradnl"/>
        </w:rPr>
        <w:t xml:space="preserve"> de rehabilitación y mantenimiento del Gobierno de Uruguay, como se describe en la sección </w:t>
      </w:r>
      <w:r w:rsidR="0037442E" w:rsidRPr="00976BFF">
        <w:rPr>
          <w:lang w:val="es-ES_tradnl"/>
        </w:rPr>
        <w:t xml:space="preserve">I-B. </w:t>
      </w:r>
    </w:p>
    <w:p w:rsidR="00A764A2" w:rsidRPr="00976BFF" w:rsidRDefault="00114347" w:rsidP="00625FD2">
      <w:pPr>
        <w:pStyle w:val="MainPara"/>
        <w:rPr>
          <w:lang w:val="es-ES_tradnl"/>
        </w:rPr>
      </w:pPr>
      <w:r w:rsidRPr="00976BFF">
        <w:rPr>
          <w:lang w:val="es-ES_tradnl"/>
        </w:rPr>
        <w:t xml:space="preserve">El nivel de financiamiento del </w:t>
      </w:r>
      <w:r w:rsidR="00650A31">
        <w:rPr>
          <w:lang w:val="es-ES_tradnl"/>
        </w:rPr>
        <w:t>programa</w:t>
      </w:r>
      <w:r w:rsidRPr="00976BFF">
        <w:rPr>
          <w:lang w:val="es-ES_tradnl"/>
        </w:rPr>
        <w:t xml:space="preserve"> no es suficiente para mejorar, en términos absolutos, el estado de la</w:t>
      </w:r>
      <w:r w:rsidR="002D4E70">
        <w:rPr>
          <w:lang w:val="es-ES_tradnl"/>
        </w:rPr>
        <w:t>s</w:t>
      </w:r>
      <w:r w:rsidRPr="00976BFF">
        <w:rPr>
          <w:lang w:val="es-ES_tradnl"/>
        </w:rPr>
        <w:t xml:space="preserve"> </w:t>
      </w:r>
      <w:r w:rsidR="002D4E70">
        <w:rPr>
          <w:lang w:val="es-ES_tradnl"/>
        </w:rPr>
        <w:t>carreteras de</w:t>
      </w:r>
      <w:r w:rsidRPr="00976BFF">
        <w:rPr>
          <w:lang w:val="es-ES_tradnl"/>
        </w:rPr>
        <w:t xml:space="preserve"> la </w:t>
      </w:r>
      <w:r w:rsidR="00A85267" w:rsidRPr="00976BFF">
        <w:rPr>
          <w:lang w:val="es-ES_tradnl"/>
        </w:rPr>
        <w:t>r</w:t>
      </w:r>
      <w:r w:rsidRPr="00976BFF">
        <w:rPr>
          <w:lang w:val="es-ES_tradnl"/>
        </w:rPr>
        <w:t xml:space="preserve">ed </w:t>
      </w:r>
      <w:r w:rsidR="00A85267" w:rsidRPr="00976BFF">
        <w:rPr>
          <w:lang w:val="es-ES_tradnl"/>
        </w:rPr>
        <w:t>vial n</w:t>
      </w:r>
      <w:r w:rsidRPr="00976BFF">
        <w:rPr>
          <w:lang w:val="es-ES_tradnl"/>
        </w:rPr>
        <w:t xml:space="preserve">acional en su conjunto. En este contexto se prevé que el </w:t>
      </w:r>
      <w:r w:rsidR="00650A31">
        <w:rPr>
          <w:lang w:val="es-ES_tradnl"/>
        </w:rPr>
        <w:t>programa</w:t>
      </w:r>
      <w:r w:rsidRPr="00976BFF">
        <w:rPr>
          <w:lang w:val="es-ES_tradnl"/>
        </w:rPr>
        <w:t xml:space="preserve"> permitirá garantizar que el estado de la </w:t>
      </w:r>
      <w:r w:rsidR="00A85267" w:rsidRPr="00976BFF">
        <w:rPr>
          <w:lang w:val="es-ES_tradnl"/>
        </w:rPr>
        <w:t>r</w:t>
      </w:r>
      <w:r w:rsidRPr="00976BFF">
        <w:rPr>
          <w:lang w:val="es-ES_tradnl"/>
        </w:rPr>
        <w:t xml:space="preserve">ed </w:t>
      </w:r>
      <w:r w:rsidR="00A85267" w:rsidRPr="00976BFF">
        <w:rPr>
          <w:lang w:val="es-ES_tradnl"/>
        </w:rPr>
        <w:t>vial n</w:t>
      </w:r>
      <w:r w:rsidRPr="00976BFF">
        <w:rPr>
          <w:lang w:val="es-ES_tradnl"/>
        </w:rPr>
        <w:t xml:space="preserve">acional se mantenga por encima de un determinado umbral, </w:t>
      </w:r>
      <w:r w:rsidRPr="00822E46">
        <w:rPr>
          <w:lang w:val="es-ES_tradnl"/>
        </w:rPr>
        <w:t>como se refleja en los resultados clave</w:t>
      </w:r>
      <w:r w:rsidRPr="00976BFF">
        <w:rPr>
          <w:lang w:val="es-ES_tradnl"/>
        </w:rPr>
        <w:t xml:space="preserve">. Se considera que esos resultados son los resultados óptimos que se podrían lograr a nivel de la red, </w:t>
      </w:r>
      <w:r w:rsidR="000D2B67" w:rsidRPr="00976BFF">
        <w:rPr>
          <w:lang w:val="es-ES_tradnl"/>
        </w:rPr>
        <w:t xml:space="preserve">no solo </w:t>
      </w:r>
      <w:r w:rsidRPr="00976BFF">
        <w:rPr>
          <w:lang w:val="es-ES_tradnl"/>
        </w:rPr>
        <w:t xml:space="preserve">en comparación con la </w:t>
      </w:r>
      <w:r w:rsidR="000D2B67" w:rsidRPr="00976BFF">
        <w:rPr>
          <w:lang w:val="es-ES_tradnl"/>
        </w:rPr>
        <w:t xml:space="preserve">anterior </w:t>
      </w:r>
      <w:r w:rsidRPr="00976BFF">
        <w:rPr>
          <w:lang w:val="es-ES_tradnl"/>
        </w:rPr>
        <w:t xml:space="preserve">tendencia a la baja </w:t>
      </w:r>
      <w:r w:rsidR="000D2B67" w:rsidRPr="00976BFF">
        <w:rPr>
          <w:lang w:val="es-ES_tradnl"/>
        </w:rPr>
        <w:t xml:space="preserve">que se describe en la sección </w:t>
      </w:r>
      <w:r w:rsidR="007A4DF7" w:rsidRPr="00976BFF">
        <w:rPr>
          <w:lang w:val="es-ES_tradnl"/>
        </w:rPr>
        <w:t xml:space="preserve">I </w:t>
      </w:r>
      <w:r w:rsidR="000D2B67" w:rsidRPr="00766354">
        <w:rPr>
          <w:lang w:val="es-ES_tradnl"/>
        </w:rPr>
        <w:t xml:space="preserve">sino también con la situación </w:t>
      </w:r>
      <w:r w:rsidR="00766354" w:rsidRPr="00766354">
        <w:rPr>
          <w:lang w:val="es-ES_tradnl"/>
        </w:rPr>
        <w:t>contrafáctica</w:t>
      </w:r>
      <w:r w:rsidR="000D2B67" w:rsidRPr="00766354">
        <w:rPr>
          <w:lang w:val="es-ES_tradnl"/>
        </w:rPr>
        <w:t xml:space="preserve"> </w:t>
      </w:r>
      <w:r w:rsidR="002620C8" w:rsidRPr="00766354">
        <w:rPr>
          <w:lang w:val="es-ES_tradnl"/>
        </w:rPr>
        <w:t>que prevalecería si</w:t>
      </w:r>
      <w:r w:rsidR="000D2B67" w:rsidRPr="00766354">
        <w:rPr>
          <w:lang w:val="es-ES_tradnl"/>
        </w:rPr>
        <w:t xml:space="preserve"> no </w:t>
      </w:r>
      <w:r w:rsidR="00FD0088" w:rsidRPr="00766354">
        <w:rPr>
          <w:lang w:val="es-ES_tradnl"/>
        </w:rPr>
        <w:t xml:space="preserve">existiera </w:t>
      </w:r>
      <w:r w:rsidR="000D2B67" w:rsidRPr="00766354">
        <w:rPr>
          <w:lang w:val="es-ES_tradnl"/>
        </w:rPr>
        <w:t xml:space="preserve">el apoyo al </w:t>
      </w:r>
      <w:r w:rsidR="00650A31" w:rsidRPr="00766354">
        <w:rPr>
          <w:lang w:val="es-ES_tradnl"/>
        </w:rPr>
        <w:t>programa</w:t>
      </w:r>
      <w:r w:rsidR="000D2B67" w:rsidRPr="00766354">
        <w:rPr>
          <w:lang w:val="es-ES_tradnl"/>
        </w:rPr>
        <w:t>.</w:t>
      </w:r>
      <w:r w:rsidR="000D2B67" w:rsidRPr="00976BFF">
        <w:rPr>
          <w:lang w:val="es-ES_tradnl"/>
        </w:rPr>
        <w:t xml:space="preserve"> Sin apoyo del Banco Mundial, se reduciría el financiamiento del </w:t>
      </w:r>
      <w:r w:rsidR="00650A31">
        <w:rPr>
          <w:lang w:val="es-ES_tradnl"/>
        </w:rPr>
        <w:t>programa</w:t>
      </w:r>
      <w:r w:rsidR="000D2B67" w:rsidRPr="00976BFF">
        <w:rPr>
          <w:lang w:val="es-ES_tradnl"/>
        </w:rPr>
        <w:t xml:space="preserve"> (en alrededor del 9%) y el aumento de la eficiencia en materia de mantenimiento y rehabilitación sería inferior al</w:t>
      </w:r>
      <w:r w:rsidR="00542E11" w:rsidRPr="00976BFF">
        <w:rPr>
          <w:lang w:val="es-ES_tradnl"/>
        </w:rPr>
        <w:t xml:space="preserve"> que se prevé lograr a través de la ejecución del </w:t>
      </w:r>
      <w:r w:rsidR="007A653A" w:rsidRPr="00976BFF">
        <w:rPr>
          <w:lang w:val="es-ES_tradnl"/>
        </w:rPr>
        <w:t xml:space="preserve">Plan de Acción del </w:t>
      </w:r>
      <w:r w:rsidR="00650A31">
        <w:rPr>
          <w:lang w:val="es-ES_tradnl"/>
        </w:rPr>
        <w:t>programa</w:t>
      </w:r>
      <w:r w:rsidR="00542E11" w:rsidRPr="00976BFF">
        <w:rPr>
          <w:lang w:val="es-ES_tradnl"/>
        </w:rPr>
        <w:t xml:space="preserve">. Como se describe en detalle en el anexo 4, las simulaciones indican que la ejecución del </w:t>
      </w:r>
      <w:r w:rsidR="00650A31">
        <w:rPr>
          <w:lang w:val="es-ES_tradnl"/>
        </w:rPr>
        <w:t>programa</w:t>
      </w:r>
      <w:r w:rsidR="00542E11" w:rsidRPr="00976BFF">
        <w:rPr>
          <w:lang w:val="es-ES_tradnl"/>
        </w:rPr>
        <w:t xml:space="preserve"> con apoyo del Banco permitiría evitar un deterioro adicional del orden del 6% o 7% para 2015 así como estabilizar el estado de la red</w:t>
      </w:r>
      <w:r w:rsidR="007A4DF7" w:rsidRPr="00976BFF">
        <w:rPr>
          <w:lang w:val="es-ES_tradnl"/>
        </w:rPr>
        <w:t>.</w:t>
      </w:r>
    </w:p>
    <w:p w:rsidR="00BE28DC" w:rsidRPr="00976BFF" w:rsidRDefault="00BE28DC" w:rsidP="00BE28DC">
      <w:pPr>
        <w:rPr>
          <w:lang w:val="es-ES_tradnl"/>
        </w:rPr>
      </w:pPr>
    </w:p>
    <w:p w:rsidR="002648FD" w:rsidRPr="00976BFF" w:rsidRDefault="001D2940" w:rsidP="006068D8">
      <w:pPr>
        <w:pStyle w:val="Heading2"/>
        <w:rPr>
          <w:lang w:val="es-ES_tradnl"/>
        </w:rPr>
      </w:pPr>
      <w:bookmarkStart w:id="11" w:name="_Toc344927151"/>
      <w:r w:rsidRPr="00976BFF">
        <w:rPr>
          <w:lang w:val="es-ES_tradnl"/>
        </w:rPr>
        <w:t>P</w:t>
      </w:r>
      <w:r w:rsidR="0052517F" w:rsidRPr="00976BFF">
        <w:rPr>
          <w:lang w:val="es-ES_tradnl"/>
        </w:rPr>
        <w:t xml:space="preserve">rincipales </w:t>
      </w:r>
      <w:r w:rsidR="000D0DEC" w:rsidRPr="00976BFF">
        <w:rPr>
          <w:lang w:val="es-ES_tradnl"/>
        </w:rPr>
        <w:t xml:space="preserve">indicadores de </w:t>
      </w:r>
      <w:r w:rsidR="0052517F" w:rsidRPr="00976BFF">
        <w:rPr>
          <w:lang w:val="es-ES_tradnl"/>
        </w:rPr>
        <w:t xml:space="preserve">resultados e indicadores vinculados </w:t>
      </w:r>
      <w:r w:rsidR="00E57E6E">
        <w:rPr>
          <w:lang w:val="es-ES_tradnl"/>
        </w:rPr>
        <w:t>con</w:t>
      </w:r>
      <w:r w:rsidR="00E57E6E" w:rsidRPr="00976BFF">
        <w:rPr>
          <w:lang w:val="es-ES_tradnl"/>
        </w:rPr>
        <w:t xml:space="preserve"> </w:t>
      </w:r>
      <w:r w:rsidR="0052517F" w:rsidRPr="00976BFF">
        <w:rPr>
          <w:lang w:val="es-ES_tradnl"/>
        </w:rPr>
        <w:t>los desembolsos</w:t>
      </w:r>
      <w:r w:rsidR="000D0DEC" w:rsidRPr="00976BFF">
        <w:rPr>
          <w:lang w:val="es-ES_tradnl"/>
        </w:rPr>
        <w:t xml:space="preserve"> del </w:t>
      </w:r>
      <w:bookmarkEnd w:id="11"/>
      <w:r w:rsidR="00650A31">
        <w:rPr>
          <w:lang w:val="es-ES_tradnl"/>
        </w:rPr>
        <w:t>programa</w:t>
      </w:r>
    </w:p>
    <w:p w:rsidR="00A764A2" w:rsidRPr="00976BFF" w:rsidRDefault="000D0DEC" w:rsidP="00625FD2">
      <w:pPr>
        <w:pStyle w:val="MainPara"/>
        <w:rPr>
          <w:lang w:val="es-ES_tradnl"/>
        </w:rPr>
      </w:pPr>
      <w:r w:rsidRPr="00976BFF">
        <w:rPr>
          <w:lang w:val="es-ES_tradnl"/>
        </w:rPr>
        <w:t xml:space="preserve">Se han seleccionado dos indicadores de resultados para medir el éxito alcanzado en la </w:t>
      </w:r>
      <w:r w:rsidR="009914EF" w:rsidRPr="00976BFF">
        <w:rPr>
          <w:lang w:val="es-ES_tradnl"/>
        </w:rPr>
        <w:t>consecución</w:t>
      </w:r>
      <w:r w:rsidRPr="00976BFF">
        <w:rPr>
          <w:lang w:val="es-ES_tradnl"/>
        </w:rPr>
        <w:t xml:space="preserve"> del objetivo de desarrollo del </w:t>
      </w:r>
      <w:r w:rsidR="00650A31">
        <w:rPr>
          <w:lang w:val="es-ES_tradnl"/>
        </w:rPr>
        <w:t>programa</w:t>
      </w:r>
      <w:r w:rsidRPr="00976BFF">
        <w:rPr>
          <w:lang w:val="es-ES_tradnl"/>
        </w:rPr>
        <w:t xml:space="preserve">. </w:t>
      </w:r>
      <w:r w:rsidR="005D18E8" w:rsidRPr="00976BFF">
        <w:rPr>
          <w:lang w:val="es-ES_tradnl"/>
        </w:rPr>
        <w:t xml:space="preserve">El anexo 2 contiene el marco completo de resultados del </w:t>
      </w:r>
      <w:r w:rsidR="00650A31">
        <w:rPr>
          <w:lang w:val="es-ES_tradnl"/>
        </w:rPr>
        <w:t>programa</w:t>
      </w:r>
      <w:r w:rsidR="0058434B" w:rsidRPr="00976BFF">
        <w:rPr>
          <w:lang w:val="es-ES_tradnl"/>
        </w:rPr>
        <w:t>:</w:t>
      </w:r>
    </w:p>
    <w:p w:rsidR="0007594F" w:rsidRPr="00976BFF" w:rsidRDefault="005D18E8" w:rsidP="00A22658">
      <w:pPr>
        <w:pStyle w:val="Bullet"/>
        <w:autoSpaceDE w:val="0"/>
        <w:rPr>
          <w:lang w:val="es-ES_tradnl"/>
        </w:rPr>
      </w:pPr>
      <w:r w:rsidRPr="00976BFF">
        <w:rPr>
          <w:b/>
          <w:i/>
          <w:lang w:val="es-ES_tradnl"/>
        </w:rPr>
        <w:t xml:space="preserve">La </w:t>
      </w:r>
      <w:r w:rsidR="00A85267" w:rsidRPr="00976BFF">
        <w:rPr>
          <w:b/>
          <w:i/>
          <w:lang w:val="es-ES_tradnl"/>
        </w:rPr>
        <w:t>r</w:t>
      </w:r>
      <w:r w:rsidRPr="00976BFF">
        <w:rPr>
          <w:b/>
          <w:i/>
          <w:lang w:val="es-ES_tradnl"/>
        </w:rPr>
        <w:t xml:space="preserve">ed </w:t>
      </w:r>
      <w:r w:rsidR="00A85267" w:rsidRPr="00976BFF">
        <w:rPr>
          <w:b/>
          <w:i/>
          <w:lang w:val="es-ES_tradnl"/>
        </w:rPr>
        <w:t>vial n</w:t>
      </w:r>
      <w:r w:rsidRPr="00976BFF">
        <w:rPr>
          <w:b/>
          <w:i/>
          <w:lang w:val="es-ES_tradnl"/>
        </w:rPr>
        <w:t xml:space="preserve">acional de </w:t>
      </w:r>
      <w:r w:rsidR="00240EFC" w:rsidRPr="00976BFF">
        <w:rPr>
          <w:b/>
          <w:i/>
          <w:lang w:val="es-ES_tradnl"/>
        </w:rPr>
        <w:t xml:space="preserve">Uruguay </w:t>
      </w:r>
      <w:r w:rsidRPr="00976BFF">
        <w:rPr>
          <w:b/>
          <w:i/>
          <w:lang w:val="es-ES_tradnl"/>
        </w:rPr>
        <w:t>está en buenas o muy buenas condiciones</w:t>
      </w:r>
      <w:r w:rsidR="001B60D5" w:rsidRPr="000B5989">
        <w:rPr>
          <w:b/>
          <w:lang w:val="es-ES_tradnl"/>
        </w:rPr>
        <w:t>.</w:t>
      </w:r>
      <w:r w:rsidR="0058434B" w:rsidRPr="00976BFF">
        <w:rPr>
          <w:lang w:val="es-ES_tradnl"/>
        </w:rPr>
        <w:t xml:space="preserve"> </w:t>
      </w:r>
      <w:r w:rsidR="00326E2C" w:rsidRPr="00976BFF">
        <w:rPr>
          <w:lang w:val="es-ES_tradnl"/>
        </w:rPr>
        <w:t xml:space="preserve">Como mínimo el </w:t>
      </w:r>
      <w:r w:rsidR="00A03891" w:rsidRPr="00976BFF">
        <w:rPr>
          <w:lang w:val="es-ES_tradnl"/>
        </w:rPr>
        <w:t>35</w:t>
      </w:r>
      <w:r w:rsidR="00326E2C" w:rsidRPr="00976BFF">
        <w:rPr>
          <w:lang w:val="es-ES_tradnl"/>
        </w:rPr>
        <w:t xml:space="preserve">% de la </w:t>
      </w:r>
      <w:r w:rsidR="00A85267" w:rsidRPr="00976BFF">
        <w:rPr>
          <w:lang w:val="es-ES_tradnl"/>
        </w:rPr>
        <w:t>r</w:t>
      </w:r>
      <w:r w:rsidR="00326E2C" w:rsidRPr="00976BFF">
        <w:rPr>
          <w:lang w:val="es-ES_tradnl"/>
        </w:rPr>
        <w:t xml:space="preserve">ed </w:t>
      </w:r>
      <w:r w:rsidR="00A85267" w:rsidRPr="00976BFF">
        <w:rPr>
          <w:lang w:val="es-ES_tradnl"/>
        </w:rPr>
        <w:t>vial n</w:t>
      </w:r>
      <w:r w:rsidR="00326E2C" w:rsidRPr="00976BFF">
        <w:rPr>
          <w:lang w:val="es-ES_tradnl"/>
        </w:rPr>
        <w:t>acional está en buenas o muy buenas condiciones</w:t>
      </w:r>
      <w:r w:rsidR="00D6261F" w:rsidRPr="00976BFF">
        <w:rPr>
          <w:rStyle w:val="FootnoteReference"/>
          <w:lang w:val="es-ES_tradnl"/>
        </w:rPr>
        <w:footnoteReference w:id="12"/>
      </w:r>
      <w:r w:rsidR="0037442E" w:rsidRPr="00976BFF">
        <w:rPr>
          <w:lang w:val="es-ES_tradnl"/>
        </w:rPr>
        <w:t xml:space="preserve">, </w:t>
      </w:r>
      <w:r w:rsidR="00326E2C" w:rsidRPr="00976BFF">
        <w:rPr>
          <w:lang w:val="es-ES_tradnl"/>
        </w:rPr>
        <w:t xml:space="preserve">como se establece en el objetivo de desarrollo del </w:t>
      </w:r>
      <w:r w:rsidR="00650A31">
        <w:rPr>
          <w:lang w:val="es-ES_tradnl"/>
        </w:rPr>
        <w:t>programa</w:t>
      </w:r>
      <w:r w:rsidR="00326E2C" w:rsidRPr="00976BFF">
        <w:rPr>
          <w:lang w:val="es-ES_tradnl"/>
        </w:rPr>
        <w:t>. El estado de los caminos se medirá utilizando el</w:t>
      </w:r>
      <w:r w:rsidR="00F71E51" w:rsidRPr="00976BFF">
        <w:rPr>
          <w:lang w:val="es-ES_tradnl"/>
        </w:rPr>
        <w:t xml:space="preserve"> índice de rugosidad internacional</w:t>
      </w:r>
      <w:r w:rsidR="00326E2C" w:rsidRPr="00976BFF">
        <w:rPr>
          <w:lang w:val="es-ES_tradnl"/>
        </w:rPr>
        <w:t xml:space="preserve"> </w:t>
      </w:r>
      <w:r w:rsidR="0058434B" w:rsidRPr="00976BFF">
        <w:rPr>
          <w:lang w:val="es-ES_tradnl"/>
        </w:rPr>
        <w:t>(IRI).</w:t>
      </w:r>
    </w:p>
    <w:p w:rsidR="0007594F" w:rsidRPr="00976BFF" w:rsidRDefault="00C41F5D" w:rsidP="00625FB3">
      <w:pPr>
        <w:pStyle w:val="Bullet"/>
        <w:rPr>
          <w:lang w:val="es-ES_tradnl"/>
        </w:rPr>
      </w:pPr>
      <w:r w:rsidRPr="00976BFF">
        <w:rPr>
          <w:b/>
          <w:i/>
          <w:lang w:val="es-ES_tradnl"/>
        </w:rPr>
        <w:t>P</w:t>
      </w:r>
      <w:r w:rsidR="00F71E51" w:rsidRPr="00976BFF">
        <w:rPr>
          <w:b/>
          <w:i/>
          <w:lang w:val="es-ES_tradnl"/>
        </w:rPr>
        <w:t xml:space="preserve">orcentaje del </w:t>
      </w:r>
      <w:r w:rsidR="007A653A" w:rsidRPr="00976BFF">
        <w:rPr>
          <w:b/>
          <w:i/>
          <w:lang w:val="es-ES_tradnl"/>
        </w:rPr>
        <w:t xml:space="preserve">Plan de Acción del </w:t>
      </w:r>
      <w:r w:rsidR="00650A31">
        <w:rPr>
          <w:b/>
          <w:i/>
          <w:lang w:val="es-ES_tradnl"/>
        </w:rPr>
        <w:t>programa</w:t>
      </w:r>
      <w:r w:rsidR="00E60F61" w:rsidRPr="00976BFF">
        <w:rPr>
          <w:b/>
          <w:i/>
          <w:lang w:val="es-ES_tradnl"/>
        </w:rPr>
        <w:t xml:space="preserve"> que se ha completado</w:t>
      </w:r>
      <w:r w:rsidR="0058434B" w:rsidRPr="000B5989">
        <w:rPr>
          <w:b/>
          <w:lang w:val="es-ES_tradnl"/>
        </w:rPr>
        <w:t>.</w:t>
      </w:r>
      <w:r w:rsidR="0058434B" w:rsidRPr="00976BFF">
        <w:rPr>
          <w:lang w:val="es-ES_tradnl"/>
        </w:rPr>
        <w:t xml:space="preserve"> </w:t>
      </w:r>
      <w:r w:rsidR="00E60F61" w:rsidRPr="00976BFF">
        <w:rPr>
          <w:lang w:val="es-ES_tradnl"/>
        </w:rPr>
        <w:t xml:space="preserve">Este indicador permite captar el aumento de la eficiencia en la gestión del sector vial a través de las actividades finalizadas </w:t>
      </w:r>
      <w:r w:rsidR="002D4E70">
        <w:rPr>
          <w:lang w:val="es-ES_tradnl"/>
        </w:rPr>
        <w:t>d</w:t>
      </w:r>
      <w:r w:rsidR="00E60F61" w:rsidRPr="00976BFF">
        <w:rPr>
          <w:lang w:val="es-ES_tradnl"/>
        </w:rPr>
        <w:t xml:space="preserve">el </w:t>
      </w:r>
      <w:r w:rsidR="007A653A" w:rsidRPr="00976BFF">
        <w:rPr>
          <w:lang w:val="es-ES_tradnl"/>
        </w:rPr>
        <w:t xml:space="preserve">Plan de Acción del </w:t>
      </w:r>
      <w:r w:rsidR="00650A31">
        <w:rPr>
          <w:lang w:val="es-ES_tradnl"/>
        </w:rPr>
        <w:t>programa</w:t>
      </w:r>
      <w:r w:rsidR="00E60F61" w:rsidRPr="00976BFF">
        <w:rPr>
          <w:lang w:val="es-ES_tradnl"/>
        </w:rPr>
        <w:t xml:space="preserve">. En el marco de este plan se abordan las principales deficiencias identificadas a través de diversas evaluaciones y se abarcan todas las esferas cruciales involucradas en el mejoramiento del desempeño de los sistemas. </w:t>
      </w:r>
      <w:r w:rsidR="007D2CB1" w:rsidRPr="00976BFF">
        <w:rPr>
          <w:lang w:val="es-ES_tradnl"/>
        </w:rPr>
        <w:t xml:space="preserve">Dado que para mejorar la gestión del sector vial es preciso trabajar simultáneamente en cuestiones muy diversas, este indicador aproximado permite captar la naturaleza integral del </w:t>
      </w:r>
      <w:r w:rsidR="00650A31">
        <w:rPr>
          <w:lang w:val="es-ES_tradnl"/>
        </w:rPr>
        <w:t>programa</w:t>
      </w:r>
      <w:r w:rsidR="007D2CB1" w:rsidRPr="00976BFF">
        <w:rPr>
          <w:lang w:val="es-ES_tradnl"/>
        </w:rPr>
        <w:t xml:space="preserve"> y, en última instancia, alcanzar el objetivo de desarrollo propuesto</w:t>
      </w:r>
      <w:r w:rsidR="0044277F" w:rsidRPr="00976BFF">
        <w:rPr>
          <w:lang w:val="es-ES_tradnl"/>
        </w:rPr>
        <w:t xml:space="preserve">. </w:t>
      </w:r>
    </w:p>
    <w:p w:rsidR="00A764A2" w:rsidRPr="00976BFF" w:rsidRDefault="007D2CB1" w:rsidP="00625FD2">
      <w:pPr>
        <w:pStyle w:val="MainPara"/>
        <w:rPr>
          <w:lang w:val="es-ES_tradnl"/>
        </w:rPr>
      </w:pPr>
      <w:r w:rsidRPr="00976BFF">
        <w:rPr>
          <w:lang w:val="es-ES_tradnl"/>
        </w:rPr>
        <w:t xml:space="preserve">Los indicadores vinculados </w:t>
      </w:r>
      <w:r w:rsidR="00E57E6E">
        <w:rPr>
          <w:lang w:val="es-ES_tradnl"/>
        </w:rPr>
        <w:t>con</w:t>
      </w:r>
      <w:r w:rsidR="00E57E6E" w:rsidRPr="00976BFF">
        <w:rPr>
          <w:lang w:val="es-ES_tradnl"/>
        </w:rPr>
        <w:t xml:space="preserve"> </w:t>
      </w:r>
      <w:r w:rsidRPr="00976BFF">
        <w:rPr>
          <w:lang w:val="es-ES_tradnl"/>
        </w:rPr>
        <w:t xml:space="preserve">los desembolsos (IVD) son un subconjunto de los indicadores de resultados incluidos en el marco de resultados del </w:t>
      </w:r>
      <w:r w:rsidR="00650A31">
        <w:rPr>
          <w:lang w:val="es-ES_tradnl"/>
        </w:rPr>
        <w:t>programa</w:t>
      </w:r>
      <w:r w:rsidRPr="00976BFF">
        <w:rPr>
          <w:lang w:val="es-ES_tradnl"/>
        </w:rPr>
        <w:t xml:space="preserve"> y constan de los siguiente</w:t>
      </w:r>
      <w:r w:rsidR="00FD0088">
        <w:rPr>
          <w:lang w:val="es-ES_tradnl"/>
        </w:rPr>
        <w:t>s</w:t>
      </w:r>
      <w:r w:rsidRPr="00976BFF">
        <w:rPr>
          <w:lang w:val="es-ES_tradnl"/>
        </w:rPr>
        <w:t xml:space="preserve"> </w:t>
      </w:r>
      <w:r w:rsidR="00901B61" w:rsidRPr="00976BFF">
        <w:rPr>
          <w:lang w:val="es-ES_tradnl"/>
        </w:rPr>
        <w:t>(</w:t>
      </w:r>
      <w:r w:rsidRPr="00976BFF">
        <w:rPr>
          <w:lang w:val="es-ES_tradnl"/>
        </w:rPr>
        <w:t xml:space="preserve">véase también el anexo </w:t>
      </w:r>
      <w:r w:rsidR="00901B61" w:rsidRPr="00976BFF">
        <w:rPr>
          <w:lang w:val="es-ES_tradnl"/>
        </w:rPr>
        <w:t>3)</w:t>
      </w:r>
      <w:r w:rsidR="00C41F5D" w:rsidRPr="00976BFF">
        <w:rPr>
          <w:lang w:val="es-ES_tradnl"/>
        </w:rPr>
        <w:t xml:space="preserve">: </w:t>
      </w:r>
    </w:p>
    <w:p w:rsidR="0007594F" w:rsidRPr="00976BFF" w:rsidRDefault="007D29C5" w:rsidP="00625FB3">
      <w:pPr>
        <w:pStyle w:val="Bullet"/>
        <w:rPr>
          <w:lang w:val="es-ES_tradnl"/>
        </w:rPr>
      </w:pPr>
      <w:r w:rsidRPr="00976BFF">
        <w:rPr>
          <w:b/>
          <w:i/>
          <w:lang w:val="es-ES_tradnl"/>
        </w:rPr>
        <w:t>IVD</w:t>
      </w:r>
      <w:r w:rsidR="00C41F5D" w:rsidRPr="00976BFF">
        <w:rPr>
          <w:b/>
          <w:i/>
          <w:lang w:val="es-ES_tradnl"/>
        </w:rPr>
        <w:t>-1 (r</w:t>
      </w:r>
      <w:r w:rsidRPr="00976BFF">
        <w:rPr>
          <w:b/>
          <w:i/>
          <w:lang w:val="es-ES_tradnl"/>
        </w:rPr>
        <w:t>ehabilitación vial</w:t>
      </w:r>
      <w:r w:rsidR="00C41F5D" w:rsidRPr="00976BFF">
        <w:rPr>
          <w:b/>
          <w:i/>
          <w:lang w:val="es-ES_tradnl"/>
        </w:rPr>
        <w:t>)</w:t>
      </w:r>
      <w:r w:rsidR="009A293B" w:rsidRPr="00976BFF">
        <w:rPr>
          <w:b/>
          <w:i/>
          <w:lang w:val="es-ES_tradnl"/>
        </w:rPr>
        <w:t>.</w:t>
      </w:r>
      <w:r w:rsidR="009A293B" w:rsidRPr="00976BFF">
        <w:rPr>
          <w:lang w:val="es-ES_tradnl"/>
        </w:rPr>
        <w:t xml:space="preserve"> </w:t>
      </w:r>
      <w:r w:rsidR="00BB618E" w:rsidRPr="00976BFF">
        <w:rPr>
          <w:lang w:val="es-ES_tradnl"/>
        </w:rPr>
        <w:t xml:space="preserve">Número acumulativo de kilómetros de la </w:t>
      </w:r>
      <w:r w:rsidR="00A85267" w:rsidRPr="00976BFF">
        <w:rPr>
          <w:lang w:val="es-ES_tradnl"/>
        </w:rPr>
        <w:t>r</w:t>
      </w:r>
      <w:r w:rsidR="00BB618E" w:rsidRPr="00976BFF">
        <w:rPr>
          <w:lang w:val="es-ES_tradnl"/>
        </w:rPr>
        <w:t xml:space="preserve">ed </w:t>
      </w:r>
      <w:r w:rsidR="00A85267" w:rsidRPr="00976BFF">
        <w:rPr>
          <w:lang w:val="es-ES_tradnl"/>
        </w:rPr>
        <w:t>vial n</w:t>
      </w:r>
      <w:r w:rsidR="00BB618E" w:rsidRPr="00976BFF">
        <w:rPr>
          <w:lang w:val="es-ES_tradnl"/>
        </w:rPr>
        <w:t xml:space="preserve">acional rehabilitados con una clasificación </w:t>
      </w:r>
      <w:r w:rsidR="00240200" w:rsidRPr="00976BFF">
        <w:rPr>
          <w:lang w:val="es-ES_tradnl"/>
        </w:rPr>
        <w:t xml:space="preserve">mínima </w:t>
      </w:r>
      <w:r w:rsidR="00BB618E" w:rsidRPr="00976BFF">
        <w:rPr>
          <w:lang w:val="es-ES_tradnl"/>
        </w:rPr>
        <w:t xml:space="preserve">de </w:t>
      </w:r>
      <w:r w:rsidR="007F00A2" w:rsidRPr="00976BFF">
        <w:rPr>
          <w:lang w:val="es-ES_tradnl"/>
        </w:rPr>
        <w:t>85</w:t>
      </w:r>
      <w:r w:rsidR="009B72EA" w:rsidRPr="00976BFF">
        <w:rPr>
          <w:lang w:val="es-ES_tradnl"/>
        </w:rPr>
        <w:t xml:space="preserve"> puntos</w:t>
      </w:r>
      <w:r w:rsidR="007F00A2" w:rsidRPr="00976BFF">
        <w:rPr>
          <w:lang w:val="es-ES_tradnl"/>
        </w:rPr>
        <w:t xml:space="preserve">, </w:t>
      </w:r>
      <w:r w:rsidR="00FB0EA4" w:rsidRPr="00976BFF">
        <w:rPr>
          <w:lang w:val="es-ES_tradnl"/>
        </w:rPr>
        <w:t>m</w:t>
      </w:r>
      <w:r w:rsidR="009B72EA" w:rsidRPr="00976BFF">
        <w:rPr>
          <w:lang w:val="es-ES_tradnl"/>
        </w:rPr>
        <w:t>edida</w:t>
      </w:r>
      <w:r w:rsidR="00FB0EA4" w:rsidRPr="00976BFF">
        <w:rPr>
          <w:lang w:val="es-ES_tradnl"/>
        </w:rPr>
        <w:t xml:space="preserve"> por</w:t>
      </w:r>
      <w:r w:rsidR="00BB618E" w:rsidRPr="00976BFF">
        <w:rPr>
          <w:lang w:val="es-ES_tradnl"/>
        </w:rPr>
        <w:t xml:space="preserve"> el índice de estado de </w:t>
      </w:r>
      <w:r w:rsidR="009914EF" w:rsidRPr="00976BFF">
        <w:rPr>
          <w:lang w:val="es-ES_tradnl"/>
        </w:rPr>
        <w:t>superficie</w:t>
      </w:r>
      <w:r w:rsidR="00BB618E" w:rsidRPr="00976BFF">
        <w:rPr>
          <w:lang w:val="es-ES_tradnl"/>
        </w:rPr>
        <w:t xml:space="preserve"> (</w:t>
      </w:r>
      <w:r w:rsidR="007F00A2" w:rsidRPr="00976BFF">
        <w:rPr>
          <w:lang w:val="es-ES_tradnl"/>
        </w:rPr>
        <w:t>IES</w:t>
      </w:r>
      <w:r w:rsidR="00BB618E" w:rsidRPr="00976BFF">
        <w:rPr>
          <w:lang w:val="es-ES_tradnl"/>
        </w:rPr>
        <w:t>)</w:t>
      </w:r>
      <w:r w:rsidR="009B72EA" w:rsidRPr="00976BFF">
        <w:rPr>
          <w:lang w:val="es-ES_tradnl"/>
        </w:rPr>
        <w:t xml:space="preserve">, que es un indicador uruguayo del estado del pavimento. El umbral de 85 puntos corresponde a un pavimento en muy buenas condiciones. </w:t>
      </w:r>
      <w:r w:rsidR="007C74A0" w:rsidRPr="00976BFF">
        <w:rPr>
          <w:lang w:val="es-ES_tradnl"/>
        </w:rPr>
        <w:t xml:space="preserve">Para fines del </w:t>
      </w:r>
      <w:r w:rsidR="00650A31">
        <w:rPr>
          <w:lang w:val="es-ES_tradnl"/>
        </w:rPr>
        <w:t>programa</w:t>
      </w:r>
      <w:r w:rsidR="007C74A0" w:rsidRPr="00976BFF">
        <w:rPr>
          <w:lang w:val="es-ES_tradnl"/>
        </w:rPr>
        <w:t xml:space="preserve"> se prevé rehabilitar </w:t>
      </w:r>
      <w:r w:rsidR="00FE5AF3" w:rsidRPr="00976BFF">
        <w:rPr>
          <w:lang w:val="es-ES_tradnl"/>
        </w:rPr>
        <w:t>524</w:t>
      </w:r>
      <w:r w:rsidR="009500DA" w:rsidRPr="00976BFF">
        <w:rPr>
          <w:lang w:val="es-ES_tradnl"/>
        </w:rPr>
        <w:t xml:space="preserve"> </w:t>
      </w:r>
      <w:r w:rsidR="001F6651">
        <w:rPr>
          <w:lang w:val="es-ES_tradnl"/>
        </w:rPr>
        <w:t>kilómetros</w:t>
      </w:r>
      <w:r w:rsidR="009500DA" w:rsidRPr="00976BFF">
        <w:rPr>
          <w:lang w:val="es-ES_tradnl"/>
        </w:rPr>
        <w:t xml:space="preserve"> </w:t>
      </w:r>
      <w:r w:rsidR="007C74A0" w:rsidRPr="00976BFF">
        <w:rPr>
          <w:lang w:val="es-ES_tradnl"/>
        </w:rPr>
        <w:t xml:space="preserve">de rutas nacionales. El IVD-1 se centra en la rehabilitación vial (mejoramiento de la calidad) e incluye un criterio de calidad, a través del IES, que es el indicador más amplio en lo referente a los resultados de la rehabilitación. Mientras que el IRI solo mide el nivel de rugosidad del pavimento, el IES </w:t>
      </w:r>
      <w:r w:rsidR="002E1BC9" w:rsidRPr="00976BFF">
        <w:rPr>
          <w:lang w:val="es-ES_tradnl"/>
        </w:rPr>
        <w:t xml:space="preserve">proporciona un panorama más amplio y permite </w:t>
      </w:r>
      <w:r w:rsidR="009914EF" w:rsidRPr="00976BFF">
        <w:rPr>
          <w:lang w:val="es-ES_tradnl"/>
        </w:rPr>
        <w:t>prever</w:t>
      </w:r>
      <w:r w:rsidR="002E1BC9" w:rsidRPr="00976BFF">
        <w:rPr>
          <w:lang w:val="es-ES_tradnl"/>
        </w:rPr>
        <w:t xml:space="preserve"> la futura degradación de los caminos</w:t>
      </w:r>
      <w:r w:rsidR="00BA1F0A" w:rsidRPr="00976BFF">
        <w:rPr>
          <w:lang w:val="es-ES_tradnl"/>
        </w:rPr>
        <w:t>.</w:t>
      </w:r>
    </w:p>
    <w:p w:rsidR="0007594F" w:rsidRPr="00976BFF" w:rsidRDefault="007D29C5" w:rsidP="00625FB3">
      <w:pPr>
        <w:pStyle w:val="Bullet"/>
        <w:rPr>
          <w:lang w:val="es-ES_tradnl"/>
        </w:rPr>
      </w:pPr>
      <w:r w:rsidRPr="00976BFF">
        <w:rPr>
          <w:b/>
          <w:i/>
          <w:lang w:val="es-ES_tradnl"/>
        </w:rPr>
        <w:t>IVD</w:t>
      </w:r>
      <w:r w:rsidR="00C41F5D" w:rsidRPr="00976BFF">
        <w:rPr>
          <w:b/>
          <w:i/>
          <w:lang w:val="es-ES_tradnl"/>
        </w:rPr>
        <w:t>-2 (</w:t>
      </w:r>
      <w:r w:rsidRPr="00976BFF">
        <w:rPr>
          <w:b/>
          <w:i/>
          <w:lang w:val="es-ES_tradnl"/>
        </w:rPr>
        <w:t>mantenimiento vial</w:t>
      </w:r>
      <w:r w:rsidR="00C41F5D" w:rsidRPr="00976BFF">
        <w:rPr>
          <w:b/>
          <w:i/>
          <w:lang w:val="es-ES_tradnl"/>
        </w:rPr>
        <w:t>)</w:t>
      </w:r>
      <w:r w:rsidR="00D137EA" w:rsidRPr="00976BFF">
        <w:rPr>
          <w:b/>
          <w:i/>
          <w:lang w:val="es-ES_tradnl"/>
        </w:rPr>
        <w:t>.</w:t>
      </w:r>
      <w:r w:rsidR="00D137EA" w:rsidRPr="00976BFF">
        <w:rPr>
          <w:lang w:val="es-ES_tradnl"/>
        </w:rPr>
        <w:t xml:space="preserve"> </w:t>
      </w:r>
      <w:r w:rsidR="0058434B" w:rsidRPr="00976BFF">
        <w:rPr>
          <w:lang w:val="es-ES_tradnl"/>
        </w:rPr>
        <w:t>N</w:t>
      </w:r>
      <w:r w:rsidR="002E1BC9" w:rsidRPr="00976BFF">
        <w:rPr>
          <w:lang w:val="es-ES_tradnl"/>
        </w:rPr>
        <w:t xml:space="preserve">úmero de kilómetros de la </w:t>
      </w:r>
      <w:r w:rsidR="00A85267" w:rsidRPr="00976BFF">
        <w:rPr>
          <w:lang w:val="es-ES_tradnl"/>
        </w:rPr>
        <w:t>r</w:t>
      </w:r>
      <w:r w:rsidR="002E1BC9" w:rsidRPr="00976BFF">
        <w:rPr>
          <w:lang w:val="es-ES_tradnl"/>
        </w:rPr>
        <w:t xml:space="preserve">ed </w:t>
      </w:r>
      <w:r w:rsidR="00A85267" w:rsidRPr="00976BFF">
        <w:rPr>
          <w:lang w:val="es-ES_tradnl"/>
        </w:rPr>
        <w:t>vial n</w:t>
      </w:r>
      <w:r w:rsidR="002E1BC9" w:rsidRPr="00976BFF">
        <w:rPr>
          <w:lang w:val="es-ES_tradnl"/>
        </w:rPr>
        <w:t xml:space="preserve">acional mantenidos a través de contratos basados en el desempeño; se han establecido objetivos crecientes para </w:t>
      </w:r>
      <w:r w:rsidR="002620C8">
        <w:rPr>
          <w:lang w:val="es-ES_tradnl"/>
        </w:rPr>
        <w:t xml:space="preserve">cada </w:t>
      </w:r>
      <w:r w:rsidR="002E1BC9" w:rsidRPr="00976BFF">
        <w:rPr>
          <w:lang w:val="es-ES_tradnl"/>
        </w:rPr>
        <w:t xml:space="preserve">uno de los tres años del </w:t>
      </w:r>
      <w:r w:rsidR="00650A31">
        <w:rPr>
          <w:lang w:val="es-ES_tradnl"/>
        </w:rPr>
        <w:t>programa</w:t>
      </w:r>
      <w:r w:rsidR="002E1BC9" w:rsidRPr="00976BFF">
        <w:rPr>
          <w:lang w:val="es-ES_tradnl"/>
        </w:rPr>
        <w:t xml:space="preserve">. Este indicador se centra en el mantenimiento vial de rutina (mantenimiento de la calidad) e </w:t>
      </w:r>
      <w:r w:rsidR="00006E1D" w:rsidRPr="00976BFF">
        <w:rPr>
          <w:lang w:val="es-ES_tradnl"/>
        </w:rPr>
        <w:t xml:space="preserve">incluye criterios de desempeño así como normas de mantenimiento que se establecen y aplican durante toda la vigencia de cada contrato basado en el desempeño. A través de la aplicación de estos contratos en la región </w:t>
      </w:r>
      <w:r w:rsidR="00BA1F0A" w:rsidRPr="00976BFF">
        <w:rPr>
          <w:lang w:val="es-ES_tradnl"/>
        </w:rPr>
        <w:t>(Argentina, Bra</w:t>
      </w:r>
      <w:r w:rsidR="00006E1D" w:rsidRPr="00976BFF">
        <w:rPr>
          <w:lang w:val="es-ES_tradnl"/>
        </w:rPr>
        <w:t>s</w:t>
      </w:r>
      <w:r w:rsidR="00BA1F0A" w:rsidRPr="00976BFF">
        <w:rPr>
          <w:lang w:val="es-ES_tradnl"/>
        </w:rPr>
        <w:t xml:space="preserve">il </w:t>
      </w:r>
      <w:r w:rsidR="00006E1D" w:rsidRPr="00976BFF">
        <w:rPr>
          <w:lang w:val="es-ES_tradnl"/>
        </w:rPr>
        <w:t>y</w:t>
      </w:r>
      <w:r w:rsidR="00CB04AC" w:rsidRPr="00976BFF">
        <w:rPr>
          <w:lang w:val="es-ES_tradnl"/>
        </w:rPr>
        <w:t xml:space="preserve"> Uruguay</w:t>
      </w:r>
      <w:r w:rsidR="00BA1F0A" w:rsidRPr="00976BFF">
        <w:rPr>
          <w:lang w:val="es-ES_tradnl"/>
        </w:rPr>
        <w:t>)</w:t>
      </w:r>
      <w:r w:rsidR="00006E1D" w:rsidRPr="00976BFF">
        <w:rPr>
          <w:lang w:val="es-ES_tradnl"/>
        </w:rPr>
        <w:t xml:space="preserve"> se han obtenido</w:t>
      </w:r>
      <w:r w:rsidR="00BA1F0A" w:rsidRPr="00976BFF">
        <w:rPr>
          <w:lang w:val="es-ES_tradnl"/>
        </w:rPr>
        <w:t xml:space="preserve"> </w:t>
      </w:r>
      <w:r w:rsidR="00006E1D" w:rsidRPr="00976BFF">
        <w:rPr>
          <w:lang w:val="es-ES_tradnl"/>
        </w:rPr>
        <w:t xml:space="preserve">resultados extremadamente positivos, y se ha demostrado que los contratos basados </w:t>
      </w:r>
      <w:r w:rsidR="00006E1D" w:rsidRPr="00766354">
        <w:rPr>
          <w:lang w:val="es-ES_tradnl"/>
        </w:rPr>
        <w:t>en el desempeño</w:t>
      </w:r>
      <w:r w:rsidR="00006E1D" w:rsidRPr="00976BFF">
        <w:rPr>
          <w:lang w:val="es-ES_tradnl"/>
        </w:rPr>
        <w:t xml:space="preserve"> constituyen una práctica excelente para garantizar que el mantenimiento vial sea eficaz en función de los costos</w:t>
      </w:r>
      <w:r w:rsidR="00A6325B" w:rsidRPr="00976BFF">
        <w:rPr>
          <w:lang w:val="es-ES_tradnl"/>
        </w:rPr>
        <w:t>.</w:t>
      </w:r>
    </w:p>
    <w:p w:rsidR="0007594F" w:rsidRPr="00976BFF" w:rsidRDefault="007D29C5" w:rsidP="00625FB3">
      <w:pPr>
        <w:pStyle w:val="Bullet"/>
        <w:rPr>
          <w:lang w:val="es-ES_tradnl"/>
        </w:rPr>
      </w:pPr>
      <w:r w:rsidRPr="00976BFF">
        <w:rPr>
          <w:b/>
          <w:i/>
          <w:lang w:val="es-ES_tradnl"/>
        </w:rPr>
        <w:t>IVD</w:t>
      </w:r>
      <w:r w:rsidR="00C41F5D" w:rsidRPr="00976BFF">
        <w:rPr>
          <w:b/>
          <w:i/>
          <w:lang w:val="es-ES_tradnl"/>
        </w:rPr>
        <w:t>-</w:t>
      </w:r>
      <w:r w:rsidR="00CF744B" w:rsidRPr="00976BFF">
        <w:rPr>
          <w:b/>
          <w:i/>
          <w:lang w:val="es-ES_tradnl"/>
        </w:rPr>
        <w:t xml:space="preserve">3 </w:t>
      </w:r>
      <w:r w:rsidR="00C41F5D" w:rsidRPr="00976BFF">
        <w:rPr>
          <w:b/>
          <w:i/>
          <w:lang w:val="es-ES_tradnl"/>
        </w:rPr>
        <w:t>(</w:t>
      </w:r>
      <w:r w:rsidRPr="00976BFF">
        <w:rPr>
          <w:b/>
          <w:i/>
          <w:lang w:val="es-ES_tradnl"/>
        </w:rPr>
        <w:t>fortalecimiento institucional</w:t>
      </w:r>
      <w:r w:rsidR="00C41F5D" w:rsidRPr="00976BFF">
        <w:rPr>
          <w:b/>
          <w:i/>
          <w:lang w:val="es-ES_tradnl"/>
        </w:rPr>
        <w:t>)</w:t>
      </w:r>
      <w:r w:rsidR="00D137EA" w:rsidRPr="00976BFF">
        <w:rPr>
          <w:b/>
          <w:i/>
          <w:lang w:val="es-ES_tradnl"/>
        </w:rPr>
        <w:t>.</w:t>
      </w:r>
      <w:r w:rsidR="001B60D5" w:rsidRPr="00976BFF">
        <w:rPr>
          <w:lang w:val="es-ES_tradnl"/>
        </w:rPr>
        <w:t xml:space="preserve"> </w:t>
      </w:r>
      <w:r w:rsidR="00510CEF" w:rsidRPr="00976BFF">
        <w:rPr>
          <w:lang w:val="es-ES_tradnl"/>
        </w:rPr>
        <w:t xml:space="preserve">Este indicador incluye un subconjunto de cuatro actividades de fortalecimiento institucional que se deben cumplir para activar los desembolsos; estas actividades, que complementan el </w:t>
      </w:r>
      <w:r w:rsidR="007A653A" w:rsidRPr="00976BFF">
        <w:rPr>
          <w:lang w:val="es-ES_tradnl"/>
        </w:rPr>
        <w:t xml:space="preserve">Plan de Acción del </w:t>
      </w:r>
      <w:r w:rsidR="00650A31">
        <w:rPr>
          <w:lang w:val="es-ES_tradnl"/>
        </w:rPr>
        <w:t>programa</w:t>
      </w:r>
      <w:r w:rsidR="00510CEF" w:rsidRPr="00976BFF">
        <w:rPr>
          <w:lang w:val="es-ES_tradnl"/>
        </w:rPr>
        <w:t>, se consideran fundamentales para mejorar la gestión del sector vial</w:t>
      </w:r>
      <w:r w:rsidR="0037776C" w:rsidRPr="00976BFF">
        <w:rPr>
          <w:lang w:val="es-ES_tradnl"/>
        </w:rPr>
        <w:t>,</w:t>
      </w:r>
      <w:r w:rsidR="00510CEF" w:rsidRPr="00976BFF">
        <w:rPr>
          <w:lang w:val="es-ES_tradnl"/>
        </w:rPr>
        <w:t xml:space="preserve"> abarcan varios aspecto</w:t>
      </w:r>
      <w:r w:rsidR="00215CD6">
        <w:rPr>
          <w:lang w:val="es-ES_tradnl"/>
        </w:rPr>
        <w:t>s</w:t>
      </w:r>
      <w:r w:rsidR="00510CEF" w:rsidRPr="00976BFF">
        <w:rPr>
          <w:lang w:val="es-ES_tradnl"/>
        </w:rPr>
        <w:t xml:space="preserve"> de los sistemas del </w:t>
      </w:r>
      <w:r w:rsidR="00650A31">
        <w:rPr>
          <w:lang w:val="es-ES_tradnl"/>
        </w:rPr>
        <w:t>programa</w:t>
      </w:r>
      <w:r w:rsidR="0037776C" w:rsidRPr="00976BFF">
        <w:rPr>
          <w:lang w:val="es-ES_tradnl"/>
        </w:rPr>
        <w:t xml:space="preserve"> y</w:t>
      </w:r>
      <w:r w:rsidR="00510CEF" w:rsidRPr="00976BFF">
        <w:rPr>
          <w:lang w:val="es-ES_tradnl"/>
        </w:rPr>
        <w:t xml:space="preserve"> </w:t>
      </w:r>
      <w:r w:rsidR="0037776C" w:rsidRPr="00976BFF">
        <w:rPr>
          <w:lang w:val="es-ES_tradnl"/>
        </w:rPr>
        <w:t>e</w:t>
      </w:r>
      <w:r w:rsidR="00510CEF" w:rsidRPr="00976BFF">
        <w:rPr>
          <w:lang w:val="es-ES_tradnl"/>
        </w:rPr>
        <w:t xml:space="preserve">specíficamente abordan: i) la </w:t>
      </w:r>
      <w:r w:rsidR="00510CEF" w:rsidRPr="00976BFF">
        <w:rPr>
          <w:i/>
          <w:lang w:val="es-ES_tradnl"/>
        </w:rPr>
        <w:t>planificación</w:t>
      </w:r>
      <w:r w:rsidR="00510CEF" w:rsidRPr="00976BFF">
        <w:rPr>
          <w:lang w:val="es-ES_tradnl"/>
        </w:rPr>
        <w:t xml:space="preserve">, a través de la aprobación del plan multimodal para accesos terrestres al puerto de Montevideo, con la intención de mejorar el transporte multimodal; ii) el </w:t>
      </w:r>
      <w:r w:rsidR="00510CEF" w:rsidRPr="00976BFF">
        <w:rPr>
          <w:i/>
          <w:lang w:val="es-ES_tradnl"/>
        </w:rPr>
        <w:t>diseño técnico</w:t>
      </w:r>
      <w:r w:rsidR="00510CEF" w:rsidRPr="00976BFF">
        <w:rPr>
          <w:lang w:val="es-ES_tradnl"/>
        </w:rPr>
        <w:t xml:space="preserve">, a través de la aprobación del catálogo de soluciones </w:t>
      </w:r>
      <w:r w:rsidR="0037776C" w:rsidRPr="00976BFF">
        <w:rPr>
          <w:lang w:val="es-ES_tradnl"/>
        </w:rPr>
        <w:t xml:space="preserve">optimizadas de rehabilitación de pavimentos; iii) los </w:t>
      </w:r>
      <w:r w:rsidR="0037776C" w:rsidRPr="00976BFF">
        <w:rPr>
          <w:i/>
          <w:lang w:val="es-ES_tradnl"/>
        </w:rPr>
        <w:t>procesos ambientales</w:t>
      </w:r>
      <w:r w:rsidR="0037776C" w:rsidRPr="00976BFF">
        <w:rPr>
          <w:lang w:val="es-ES_tradnl"/>
        </w:rPr>
        <w:t xml:space="preserve">, mediante la actualización del manual ambiental de la DNV y el fortalecimiento de la capacidad de su personal técnico en materia de supervisión ambiental, y iv) los </w:t>
      </w:r>
      <w:r w:rsidR="0037776C" w:rsidRPr="00976BFF">
        <w:rPr>
          <w:i/>
          <w:lang w:val="es-ES_tradnl"/>
        </w:rPr>
        <w:t>procesos sociales</w:t>
      </w:r>
      <w:r w:rsidR="0037776C" w:rsidRPr="00976BFF">
        <w:rPr>
          <w:lang w:val="es-ES_tradnl"/>
        </w:rPr>
        <w:t xml:space="preserve">, mediante la aprobación de las directrices sobre expropiación y gestión social y la organización de un </w:t>
      </w:r>
      <w:r w:rsidR="00AA37C0" w:rsidRPr="00976BFF">
        <w:rPr>
          <w:lang w:val="es-ES_tradnl"/>
        </w:rPr>
        <w:t>taller</w:t>
      </w:r>
      <w:r w:rsidR="0037776C" w:rsidRPr="00976BFF">
        <w:rPr>
          <w:lang w:val="es-ES_tradnl"/>
        </w:rPr>
        <w:t xml:space="preserve"> internacional sobre prácticas óptimas de gestión social de obras viales</w:t>
      </w:r>
      <w:r w:rsidR="002C566F" w:rsidRPr="00976BFF">
        <w:rPr>
          <w:lang w:val="es-ES_tradnl"/>
        </w:rPr>
        <w:t>.</w:t>
      </w:r>
    </w:p>
    <w:p w:rsidR="005D7A48" w:rsidRPr="00976BFF" w:rsidRDefault="005D7A48" w:rsidP="00CB6B1E">
      <w:pPr>
        <w:spacing w:after="0"/>
        <w:rPr>
          <w:lang w:val="es-ES_tradnl"/>
        </w:rPr>
      </w:pPr>
    </w:p>
    <w:p w:rsidR="00E461F0" w:rsidRPr="00976BFF" w:rsidRDefault="00E461F0" w:rsidP="00CB6B1E">
      <w:pPr>
        <w:spacing w:after="0"/>
        <w:rPr>
          <w:lang w:val="es-ES_tradnl"/>
        </w:rPr>
      </w:pPr>
    </w:p>
    <w:p w:rsidR="001F10A3" w:rsidRPr="00976BFF" w:rsidRDefault="0037776C" w:rsidP="006068D8">
      <w:pPr>
        <w:pStyle w:val="Heading1"/>
        <w:rPr>
          <w:lang w:val="es-ES_tradnl"/>
        </w:rPr>
      </w:pPr>
      <w:bookmarkStart w:id="12" w:name="_Toc344927152"/>
      <w:r w:rsidRPr="00976BFF">
        <w:rPr>
          <w:lang w:val="es-ES_tradnl"/>
        </w:rPr>
        <w:t xml:space="preserve">EJECUCIÓN DEL </w:t>
      </w:r>
      <w:r w:rsidR="00C41F5D" w:rsidRPr="00976BFF">
        <w:rPr>
          <w:lang w:val="es-ES_tradnl"/>
        </w:rPr>
        <w:t>PROGRAM</w:t>
      </w:r>
      <w:r w:rsidRPr="00976BFF">
        <w:rPr>
          <w:lang w:val="es-ES_tradnl"/>
        </w:rPr>
        <w:t>A</w:t>
      </w:r>
      <w:bookmarkEnd w:id="12"/>
    </w:p>
    <w:p w:rsidR="00D51A17" w:rsidRPr="00976BFF" w:rsidRDefault="0037776C" w:rsidP="00E461F0">
      <w:pPr>
        <w:pStyle w:val="Heading2"/>
        <w:spacing w:before="240" w:beforeAutospacing="0"/>
        <w:ind w:left="634"/>
        <w:rPr>
          <w:lang w:val="es-ES_tradnl"/>
        </w:rPr>
      </w:pPr>
      <w:bookmarkStart w:id="13" w:name="_Toc344927153"/>
      <w:r w:rsidRPr="00976BFF">
        <w:rPr>
          <w:lang w:val="es-ES_tradnl"/>
        </w:rPr>
        <w:t xml:space="preserve">Disposiciones institucionales y </w:t>
      </w:r>
      <w:r w:rsidR="00062BBC" w:rsidRPr="00976BFF">
        <w:rPr>
          <w:lang w:val="es-ES_tradnl"/>
        </w:rPr>
        <w:t>relativas a la</w:t>
      </w:r>
      <w:r w:rsidRPr="00976BFF">
        <w:rPr>
          <w:lang w:val="es-ES_tradnl"/>
        </w:rPr>
        <w:t xml:space="preserve"> ejecución</w:t>
      </w:r>
      <w:bookmarkEnd w:id="13"/>
    </w:p>
    <w:p w:rsidR="00A764A2" w:rsidRPr="00976BFF" w:rsidRDefault="0037776C">
      <w:pPr>
        <w:pStyle w:val="Heading3"/>
        <w:rPr>
          <w:lang w:val="es-ES_tradnl"/>
        </w:rPr>
      </w:pPr>
      <w:bookmarkStart w:id="14" w:name="_Toc344927154"/>
      <w:r w:rsidRPr="00976BFF">
        <w:rPr>
          <w:lang w:val="es-ES_tradnl"/>
        </w:rPr>
        <w:t>Principales partes interesadas</w:t>
      </w:r>
      <w:bookmarkEnd w:id="14"/>
    </w:p>
    <w:p w:rsidR="00D82CFA" w:rsidRPr="00976BFF" w:rsidRDefault="001B7C9D" w:rsidP="00625FD2">
      <w:pPr>
        <w:pStyle w:val="MainPara"/>
        <w:rPr>
          <w:lang w:val="es-ES_tradnl"/>
        </w:rPr>
      </w:pPr>
      <w:r w:rsidRPr="00976BFF">
        <w:rPr>
          <w:lang w:val="es-ES_tradnl"/>
        </w:rPr>
        <w:t xml:space="preserve">El </w:t>
      </w:r>
      <w:r w:rsidR="00650A31">
        <w:rPr>
          <w:lang w:val="es-ES_tradnl"/>
        </w:rPr>
        <w:t>programa</w:t>
      </w:r>
      <w:r w:rsidRPr="00976BFF">
        <w:rPr>
          <w:lang w:val="es-ES_tradnl"/>
        </w:rPr>
        <w:t xml:space="preserve"> será ejecutado por </w:t>
      </w:r>
      <w:r w:rsidR="002B1855" w:rsidRPr="00976BFF">
        <w:rPr>
          <w:lang w:val="es-ES_tradnl"/>
        </w:rPr>
        <w:t>a</w:t>
      </w:r>
      <w:r w:rsidR="00E77ADD" w:rsidRPr="00976BFF">
        <w:rPr>
          <w:lang w:val="es-ES_tradnl"/>
        </w:rPr>
        <w:t xml:space="preserve">) </w:t>
      </w:r>
      <w:r w:rsidRPr="00976BFF">
        <w:rPr>
          <w:lang w:val="es-ES_tradnl"/>
        </w:rPr>
        <w:t xml:space="preserve">la </w:t>
      </w:r>
      <w:r w:rsidR="0037776C" w:rsidRPr="00976BFF">
        <w:rPr>
          <w:lang w:val="es-ES_tradnl"/>
        </w:rPr>
        <w:t xml:space="preserve">Dirección Nacional de Vialidad </w:t>
      </w:r>
      <w:r w:rsidRPr="00976BFF">
        <w:rPr>
          <w:lang w:val="es-ES_tradnl"/>
        </w:rPr>
        <w:t>del Ministerio de Transporte y Obras Públicas</w:t>
      </w:r>
      <w:r w:rsidR="00A32A25" w:rsidRPr="00976BFF">
        <w:rPr>
          <w:lang w:val="es-ES_tradnl"/>
        </w:rPr>
        <w:t xml:space="preserve"> </w:t>
      </w:r>
      <w:r w:rsidRPr="00976BFF">
        <w:rPr>
          <w:lang w:val="es-ES_tradnl"/>
        </w:rPr>
        <w:t xml:space="preserve">y </w:t>
      </w:r>
      <w:r w:rsidR="002B1855" w:rsidRPr="00976BFF">
        <w:rPr>
          <w:lang w:val="es-ES_tradnl"/>
        </w:rPr>
        <w:t>b</w:t>
      </w:r>
      <w:r w:rsidR="00E77ADD" w:rsidRPr="00976BFF">
        <w:rPr>
          <w:lang w:val="es-ES_tradnl"/>
        </w:rPr>
        <w:t xml:space="preserve">) </w:t>
      </w:r>
      <w:r w:rsidR="00766354">
        <w:rPr>
          <w:lang w:val="es-ES_tradnl"/>
        </w:rPr>
        <w:t xml:space="preserve">la </w:t>
      </w:r>
      <w:r w:rsidR="0037776C" w:rsidRPr="00766354">
        <w:rPr>
          <w:lang w:val="es-ES_tradnl"/>
        </w:rPr>
        <w:t>C</w:t>
      </w:r>
      <w:r w:rsidR="0037776C" w:rsidRPr="00976BFF">
        <w:rPr>
          <w:lang w:val="es-ES_tradnl"/>
        </w:rPr>
        <w:t xml:space="preserve">orporación Vial de </w:t>
      </w:r>
      <w:r w:rsidR="00E77ADD" w:rsidRPr="00976BFF">
        <w:rPr>
          <w:lang w:val="es-ES_tradnl"/>
        </w:rPr>
        <w:t xml:space="preserve">Uruguay. </w:t>
      </w:r>
      <w:r w:rsidR="009914EF" w:rsidRPr="00766354">
        <w:rPr>
          <w:lang w:val="es-ES_tradnl"/>
        </w:rPr>
        <w:t>CVU está vinculada con el MTOP</w:t>
      </w:r>
      <w:r w:rsidR="009914EF" w:rsidRPr="00976BFF">
        <w:rPr>
          <w:lang w:val="es-ES_tradnl"/>
        </w:rPr>
        <w:t xml:space="preserve"> mediante a) un contrato de concesión, por el cual CVU tiene la responsabilidad de gestionar una parte de la </w:t>
      </w:r>
      <w:r w:rsidR="009914EF" w:rsidRPr="00766354">
        <w:rPr>
          <w:lang w:val="es-ES_tradnl"/>
        </w:rPr>
        <w:t xml:space="preserve">red vial </w:t>
      </w:r>
      <w:r w:rsidR="00766354" w:rsidRPr="00766354">
        <w:rPr>
          <w:lang w:val="es-ES_tradnl"/>
        </w:rPr>
        <w:t>principal</w:t>
      </w:r>
      <w:r w:rsidR="00766354" w:rsidRPr="00976BFF">
        <w:rPr>
          <w:lang w:val="es-ES_tradnl"/>
        </w:rPr>
        <w:t xml:space="preserve"> </w:t>
      </w:r>
      <w:r w:rsidR="009914EF" w:rsidRPr="00976BFF">
        <w:rPr>
          <w:lang w:val="es-ES_tradnl"/>
        </w:rPr>
        <w:t>del país; esta labor incluye el mantenim</w:t>
      </w:r>
      <w:r w:rsidR="009914EF">
        <w:rPr>
          <w:lang w:val="es-ES_tradnl"/>
        </w:rPr>
        <w:t>iento</w:t>
      </w:r>
      <w:r w:rsidR="009914EF" w:rsidRPr="00976BFF">
        <w:rPr>
          <w:lang w:val="es-ES_tradnl"/>
        </w:rPr>
        <w:t xml:space="preserve">, la rehabilitación y, en caso de ser necesario, el desarrollo de carreteras, y b) un acuerdo de asistencia técnica, en cuyo marco la DNV proporciona apoyo técnico y administrativo a CVU. </w:t>
      </w:r>
      <w:r w:rsidRPr="00976BFF">
        <w:rPr>
          <w:lang w:val="es-ES_tradnl"/>
        </w:rPr>
        <w:t xml:space="preserve">El cuadro 2 contiene una lista de todas las instituciones que participan directa o indirectamente en la ejecución del </w:t>
      </w:r>
      <w:r w:rsidR="00650A31">
        <w:rPr>
          <w:lang w:val="es-ES_tradnl"/>
        </w:rPr>
        <w:t>programa</w:t>
      </w:r>
      <w:r w:rsidRPr="00976BFF">
        <w:rPr>
          <w:lang w:val="es-ES_tradnl"/>
        </w:rPr>
        <w:t>, así como una descripción de sus respectivas funciones</w:t>
      </w:r>
      <w:r w:rsidR="00FD37B7" w:rsidRPr="00976BFF">
        <w:rPr>
          <w:lang w:val="es-ES_tradnl"/>
        </w:rPr>
        <w:t xml:space="preserve">. </w:t>
      </w:r>
    </w:p>
    <w:p w:rsidR="009F5F8A" w:rsidRPr="00976BFF" w:rsidRDefault="009F5F8A">
      <w:pPr>
        <w:rPr>
          <w:b/>
          <w:lang w:val="es-ES_tradnl"/>
        </w:rPr>
      </w:pPr>
    </w:p>
    <w:p w:rsidR="00897FF7" w:rsidRPr="00976BFF" w:rsidRDefault="001B7C9D">
      <w:pPr>
        <w:spacing w:after="0"/>
        <w:jc w:val="center"/>
        <w:rPr>
          <w:rFonts w:ascii="Times New Roman" w:hAnsi="Times New Roman" w:cs="Times New Roman"/>
          <w:b/>
          <w:lang w:val="es-ES_tradnl"/>
        </w:rPr>
      </w:pPr>
      <w:r w:rsidRPr="00976BFF">
        <w:rPr>
          <w:rFonts w:ascii="Times New Roman" w:hAnsi="Times New Roman" w:cs="Times New Roman"/>
          <w:b/>
          <w:lang w:val="es-ES_tradnl"/>
        </w:rPr>
        <w:t>Cuadro</w:t>
      </w:r>
      <w:r w:rsidR="009E06F4" w:rsidRPr="00976BFF">
        <w:rPr>
          <w:rFonts w:ascii="Times New Roman" w:hAnsi="Times New Roman" w:cs="Times New Roman"/>
          <w:b/>
          <w:lang w:val="es-ES_tradnl"/>
        </w:rPr>
        <w:t xml:space="preserve"> </w:t>
      </w:r>
      <w:r w:rsidR="00D82CFA" w:rsidRPr="00976BFF">
        <w:rPr>
          <w:rFonts w:ascii="Times New Roman" w:hAnsi="Times New Roman" w:cs="Times New Roman"/>
          <w:b/>
          <w:lang w:val="es-ES_tradnl"/>
        </w:rPr>
        <w:t>2</w:t>
      </w:r>
      <w:r w:rsidR="009E06F4" w:rsidRPr="00976BFF">
        <w:rPr>
          <w:rFonts w:ascii="Times New Roman" w:hAnsi="Times New Roman" w:cs="Times New Roman"/>
          <w:b/>
          <w:lang w:val="es-ES_tradnl"/>
        </w:rPr>
        <w:t>. Pr</w:t>
      </w:r>
      <w:r w:rsidRPr="00976BFF">
        <w:rPr>
          <w:rFonts w:ascii="Times New Roman" w:hAnsi="Times New Roman" w:cs="Times New Roman"/>
          <w:b/>
          <w:lang w:val="es-ES_tradnl"/>
        </w:rPr>
        <w:t xml:space="preserve">incipales partes interesadas en el </w:t>
      </w:r>
      <w:r w:rsidR="00650A31">
        <w:rPr>
          <w:rFonts w:ascii="Times New Roman" w:hAnsi="Times New Roman" w:cs="Times New Roman"/>
          <w:b/>
          <w:lang w:val="es-ES_tradnl"/>
        </w:rPr>
        <w:t>programa</w:t>
      </w:r>
    </w:p>
    <w:p w:rsidR="009F5F8A" w:rsidRPr="00976BFF" w:rsidRDefault="009F5F8A">
      <w:pPr>
        <w:spacing w:after="0"/>
        <w:jc w:val="center"/>
        <w:rPr>
          <w:b/>
          <w:lang w:val="es-ES_tradnl"/>
        </w:rPr>
      </w:pPr>
    </w:p>
    <w:tbl>
      <w:tblPr>
        <w:tblStyle w:val="TableGrid"/>
        <w:tblpPr w:leftFromText="180" w:rightFromText="180" w:vertAnchor="text" w:horzAnchor="page" w:tblpX="1476" w:tblpY="205"/>
        <w:tblOverlap w:val="never"/>
        <w:tblW w:w="9577" w:type="dxa"/>
        <w:tblLook w:val="04A0" w:firstRow="1" w:lastRow="0" w:firstColumn="1" w:lastColumn="0" w:noHBand="0" w:noVBand="1"/>
      </w:tblPr>
      <w:tblGrid>
        <w:gridCol w:w="1998"/>
        <w:gridCol w:w="2719"/>
        <w:gridCol w:w="4860"/>
      </w:tblGrid>
      <w:tr w:rsidR="00633DE2" w:rsidRPr="00377DAB">
        <w:tc>
          <w:tcPr>
            <w:tcW w:w="4717" w:type="dxa"/>
            <w:gridSpan w:val="2"/>
          </w:tcPr>
          <w:p w:rsidR="00897FF7" w:rsidRPr="00976BFF" w:rsidRDefault="009E06F4" w:rsidP="00DC023B">
            <w:pPr>
              <w:jc w:val="center"/>
              <w:rPr>
                <w:rFonts w:ascii="Times New Roman" w:hAnsi="Times New Roman" w:cs="Times New Roman"/>
                <w:lang w:val="es-ES_tradnl"/>
              </w:rPr>
            </w:pPr>
            <w:r w:rsidRPr="00976BFF">
              <w:rPr>
                <w:rFonts w:ascii="Times New Roman" w:hAnsi="Times New Roman" w:cs="Times New Roman"/>
                <w:lang w:val="es-ES_tradnl"/>
              </w:rPr>
              <w:t>INSTITU</w:t>
            </w:r>
            <w:r w:rsidR="00DC023B" w:rsidRPr="00976BFF">
              <w:rPr>
                <w:rFonts w:ascii="Times New Roman" w:hAnsi="Times New Roman" w:cs="Times New Roman"/>
                <w:lang w:val="es-ES_tradnl"/>
              </w:rPr>
              <w:t>CIÓ</w:t>
            </w:r>
            <w:r w:rsidRPr="00976BFF">
              <w:rPr>
                <w:rFonts w:ascii="Times New Roman" w:hAnsi="Times New Roman" w:cs="Times New Roman"/>
                <w:lang w:val="es-ES_tradnl"/>
              </w:rPr>
              <w:t>N</w:t>
            </w:r>
          </w:p>
        </w:tc>
        <w:tc>
          <w:tcPr>
            <w:tcW w:w="4860" w:type="dxa"/>
          </w:tcPr>
          <w:p w:rsidR="00897FF7" w:rsidRPr="00976BFF" w:rsidRDefault="00DC023B" w:rsidP="00DC023B">
            <w:pPr>
              <w:jc w:val="center"/>
              <w:rPr>
                <w:rFonts w:ascii="Times New Roman" w:hAnsi="Times New Roman" w:cs="Times New Roman"/>
                <w:lang w:val="es-ES_tradnl"/>
              </w:rPr>
            </w:pPr>
            <w:r w:rsidRPr="00976BFF">
              <w:rPr>
                <w:rFonts w:ascii="Times New Roman" w:hAnsi="Times New Roman" w:cs="Times New Roman"/>
                <w:lang w:val="es-ES_tradnl"/>
              </w:rPr>
              <w:t>FUNCIÓN QUE DESEMPEÑA EN LA EJECUCIÓN DEL PROGRAMA</w:t>
            </w:r>
          </w:p>
        </w:tc>
      </w:tr>
      <w:tr w:rsidR="002D02EF" w:rsidRPr="00377DAB">
        <w:trPr>
          <w:trHeight w:val="179"/>
        </w:trPr>
        <w:tc>
          <w:tcPr>
            <w:tcW w:w="1998" w:type="dxa"/>
            <w:vMerge w:val="restart"/>
          </w:tcPr>
          <w:p w:rsidR="00DC023B" w:rsidRPr="00976BFF" w:rsidRDefault="00DC023B" w:rsidP="00DC023B">
            <w:pPr>
              <w:rPr>
                <w:rFonts w:ascii="Times New Roman" w:hAnsi="Times New Roman" w:cs="Times New Roman"/>
                <w:lang w:val="es-ES_tradnl"/>
              </w:rPr>
            </w:pPr>
            <w:r w:rsidRPr="00976BFF">
              <w:rPr>
                <w:rFonts w:ascii="Times New Roman" w:hAnsi="Times New Roman" w:cs="Times New Roman"/>
                <w:lang w:val="es-ES_tradnl"/>
              </w:rPr>
              <w:t>Ministerio de Transporte y Obras Públicas (</w:t>
            </w:r>
            <w:r w:rsidR="002D02EF" w:rsidRPr="00976BFF">
              <w:rPr>
                <w:rFonts w:ascii="Times New Roman" w:hAnsi="Times New Roman" w:cs="Times New Roman"/>
                <w:lang w:val="es-ES_tradnl"/>
              </w:rPr>
              <w:t>MTOP</w:t>
            </w:r>
            <w:r w:rsidRPr="00976BFF">
              <w:rPr>
                <w:rFonts w:ascii="Times New Roman" w:hAnsi="Times New Roman" w:cs="Times New Roman"/>
                <w:lang w:val="es-ES_tradnl"/>
              </w:rPr>
              <w:t>)</w:t>
            </w:r>
          </w:p>
          <w:p w:rsidR="00897FF7" w:rsidRPr="00976BFF" w:rsidRDefault="00897FF7" w:rsidP="0057387E">
            <w:pPr>
              <w:rPr>
                <w:rFonts w:ascii="Times New Roman" w:hAnsi="Times New Roman" w:cs="Times New Roman"/>
                <w:lang w:val="es-ES_tradnl"/>
              </w:rPr>
            </w:pPr>
          </w:p>
        </w:tc>
        <w:tc>
          <w:tcPr>
            <w:tcW w:w="2719" w:type="dxa"/>
          </w:tcPr>
          <w:p w:rsidR="00897FF7" w:rsidRPr="00976BFF" w:rsidRDefault="00DC023B" w:rsidP="00DC023B">
            <w:pPr>
              <w:rPr>
                <w:rFonts w:ascii="Times New Roman" w:hAnsi="Times New Roman" w:cs="Times New Roman"/>
                <w:lang w:val="es-ES_tradnl"/>
              </w:rPr>
            </w:pPr>
            <w:r w:rsidRPr="00976BFF">
              <w:rPr>
                <w:rFonts w:ascii="Times New Roman" w:hAnsi="Times New Roman" w:cs="Times New Roman"/>
                <w:lang w:val="es-ES_tradnl"/>
              </w:rPr>
              <w:t>Dirección Nacional de Vialidad (</w:t>
            </w:r>
            <w:r w:rsidR="009E06F4" w:rsidRPr="00976BFF">
              <w:rPr>
                <w:rFonts w:ascii="Times New Roman" w:hAnsi="Times New Roman" w:cs="Times New Roman"/>
                <w:lang w:val="es-ES_tradnl"/>
              </w:rPr>
              <w:t>DNV</w:t>
            </w:r>
            <w:r w:rsidRPr="00976BFF">
              <w:rPr>
                <w:rFonts w:ascii="Times New Roman" w:hAnsi="Times New Roman" w:cs="Times New Roman"/>
                <w:lang w:val="es-ES_tradnl"/>
              </w:rPr>
              <w:t>)</w:t>
            </w:r>
          </w:p>
        </w:tc>
        <w:tc>
          <w:tcPr>
            <w:tcW w:w="4860" w:type="dxa"/>
          </w:tcPr>
          <w:p w:rsidR="00897FF7" w:rsidRPr="00976BFF" w:rsidRDefault="002947BF" w:rsidP="00A85267">
            <w:pPr>
              <w:rPr>
                <w:rFonts w:ascii="Times New Roman" w:hAnsi="Times New Roman" w:cs="Times New Roman"/>
                <w:lang w:val="es-ES_tradnl"/>
              </w:rPr>
            </w:pPr>
            <w:r w:rsidRPr="00976BFF">
              <w:rPr>
                <w:rFonts w:ascii="Times New Roman" w:hAnsi="Times New Roman" w:cs="Times New Roman"/>
                <w:lang w:val="es-ES_tradnl"/>
              </w:rPr>
              <w:t>Respons</w:t>
            </w:r>
            <w:r w:rsidR="00C1137F" w:rsidRPr="00976BFF">
              <w:rPr>
                <w:rFonts w:ascii="Times New Roman" w:hAnsi="Times New Roman" w:cs="Times New Roman"/>
                <w:lang w:val="es-ES_tradnl"/>
              </w:rPr>
              <w:t>a</w:t>
            </w:r>
            <w:r w:rsidRPr="00976BFF">
              <w:rPr>
                <w:rFonts w:ascii="Times New Roman" w:hAnsi="Times New Roman" w:cs="Times New Roman"/>
                <w:lang w:val="es-ES_tradnl"/>
              </w:rPr>
              <w:t xml:space="preserve">ble del mantenimiento y desarrollo de la </w:t>
            </w:r>
            <w:r w:rsidR="00A85267" w:rsidRPr="00976BFF">
              <w:rPr>
                <w:rFonts w:ascii="Times New Roman" w:hAnsi="Times New Roman" w:cs="Times New Roman"/>
                <w:lang w:val="es-ES_tradnl"/>
              </w:rPr>
              <w:t>r</w:t>
            </w:r>
            <w:r w:rsidRPr="00976BFF">
              <w:rPr>
                <w:rFonts w:ascii="Times New Roman" w:hAnsi="Times New Roman" w:cs="Times New Roman"/>
                <w:lang w:val="es-ES_tradnl"/>
              </w:rPr>
              <w:t xml:space="preserve">ed </w:t>
            </w:r>
            <w:r w:rsidR="00A85267" w:rsidRPr="00976BFF">
              <w:rPr>
                <w:rFonts w:ascii="Times New Roman" w:hAnsi="Times New Roman" w:cs="Times New Roman"/>
                <w:lang w:val="es-ES_tradnl"/>
              </w:rPr>
              <w:t>vial n</w:t>
            </w:r>
            <w:r w:rsidRPr="00976BFF">
              <w:rPr>
                <w:rFonts w:ascii="Times New Roman" w:hAnsi="Times New Roman" w:cs="Times New Roman"/>
                <w:lang w:val="es-ES_tradnl"/>
              </w:rPr>
              <w:t xml:space="preserve">acional de Uruguay; la DNV será la principal entidad involucrada en la ejecución del </w:t>
            </w:r>
            <w:r w:rsidR="00650A31">
              <w:rPr>
                <w:rFonts w:ascii="Times New Roman" w:hAnsi="Times New Roman" w:cs="Times New Roman"/>
                <w:lang w:val="es-ES_tradnl"/>
              </w:rPr>
              <w:t>programa</w:t>
            </w:r>
            <w:r w:rsidR="002D02EF" w:rsidRPr="00976BFF">
              <w:rPr>
                <w:rFonts w:ascii="Times New Roman" w:hAnsi="Times New Roman" w:cs="Times New Roman"/>
                <w:lang w:val="es-ES_tradnl"/>
              </w:rPr>
              <w:t>.</w:t>
            </w:r>
          </w:p>
        </w:tc>
      </w:tr>
      <w:tr w:rsidR="002D02EF" w:rsidRPr="00377DAB">
        <w:tc>
          <w:tcPr>
            <w:tcW w:w="1998" w:type="dxa"/>
            <w:vMerge/>
          </w:tcPr>
          <w:p w:rsidR="00897FF7" w:rsidRPr="00976BFF" w:rsidRDefault="00897FF7" w:rsidP="0057387E">
            <w:pPr>
              <w:rPr>
                <w:rFonts w:ascii="Times New Roman" w:hAnsi="Times New Roman" w:cs="Times New Roman"/>
                <w:lang w:val="es-ES_tradnl"/>
              </w:rPr>
            </w:pPr>
          </w:p>
        </w:tc>
        <w:tc>
          <w:tcPr>
            <w:tcW w:w="2719" w:type="dxa"/>
          </w:tcPr>
          <w:p w:rsidR="00897FF7" w:rsidRPr="00976BFF" w:rsidRDefault="00DC023B" w:rsidP="00DC023B">
            <w:pPr>
              <w:rPr>
                <w:rFonts w:ascii="Times New Roman" w:hAnsi="Times New Roman" w:cs="Times New Roman"/>
                <w:lang w:val="es-ES_tradnl"/>
              </w:rPr>
            </w:pPr>
            <w:r w:rsidRPr="00976BFF">
              <w:rPr>
                <w:rFonts w:ascii="Times New Roman" w:hAnsi="Times New Roman" w:cs="Times New Roman"/>
                <w:lang w:val="es-ES_tradnl"/>
              </w:rPr>
              <w:t>Dirección Nacional de Topografía (</w:t>
            </w:r>
            <w:r w:rsidR="002D02EF" w:rsidRPr="00976BFF">
              <w:rPr>
                <w:rFonts w:ascii="Times New Roman" w:hAnsi="Times New Roman" w:cs="Times New Roman"/>
                <w:lang w:val="es-ES_tradnl"/>
              </w:rPr>
              <w:t>DNTop</w:t>
            </w:r>
            <w:r w:rsidRPr="00976BFF">
              <w:rPr>
                <w:rFonts w:ascii="Times New Roman" w:hAnsi="Times New Roman" w:cs="Times New Roman"/>
                <w:lang w:val="es-ES_tradnl"/>
              </w:rPr>
              <w:t>)</w:t>
            </w:r>
          </w:p>
        </w:tc>
        <w:tc>
          <w:tcPr>
            <w:tcW w:w="4860" w:type="dxa"/>
          </w:tcPr>
          <w:p w:rsidR="00897FF7" w:rsidRPr="00976BFF" w:rsidRDefault="009E06F4" w:rsidP="00E57E6E">
            <w:pPr>
              <w:rPr>
                <w:rFonts w:ascii="Times New Roman" w:hAnsi="Times New Roman" w:cs="Times New Roman"/>
                <w:lang w:val="es-ES_tradnl"/>
              </w:rPr>
            </w:pPr>
            <w:r w:rsidRPr="00976BFF">
              <w:rPr>
                <w:rFonts w:ascii="Times New Roman" w:hAnsi="Times New Roman" w:cs="Times New Roman"/>
                <w:lang w:val="es-ES_tradnl"/>
              </w:rPr>
              <w:t>Respons</w:t>
            </w:r>
            <w:r w:rsidR="00C1137F" w:rsidRPr="00976BFF">
              <w:rPr>
                <w:rFonts w:ascii="Times New Roman" w:hAnsi="Times New Roman" w:cs="Times New Roman"/>
                <w:lang w:val="es-ES_tradnl"/>
              </w:rPr>
              <w:t>a</w:t>
            </w:r>
            <w:r w:rsidRPr="00976BFF">
              <w:rPr>
                <w:rFonts w:ascii="Times New Roman" w:hAnsi="Times New Roman" w:cs="Times New Roman"/>
                <w:lang w:val="es-ES_tradnl"/>
              </w:rPr>
              <w:t xml:space="preserve">ble </w:t>
            </w:r>
            <w:r w:rsidR="00A7453E" w:rsidRPr="00976BFF">
              <w:rPr>
                <w:rFonts w:ascii="Times New Roman" w:hAnsi="Times New Roman" w:cs="Times New Roman"/>
                <w:lang w:val="es-ES_tradnl"/>
              </w:rPr>
              <w:t xml:space="preserve">de todos los procesos vinculados </w:t>
            </w:r>
            <w:r w:rsidR="00E57E6E">
              <w:rPr>
                <w:rFonts w:ascii="Times New Roman" w:hAnsi="Times New Roman" w:cs="Times New Roman"/>
                <w:lang w:val="es-ES_tradnl"/>
              </w:rPr>
              <w:t>con</w:t>
            </w:r>
            <w:r w:rsidR="00E57E6E" w:rsidRPr="00976BFF">
              <w:rPr>
                <w:rFonts w:ascii="Times New Roman" w:hAnsi="Times New Roman" w:cs="Times New Roman"/>
                <w:lang w:val="es-ES_tradnl"/>
              </w:rPr>
              <w:t xml:space="preserve"> </w:t>
            </w:r>
            <w:r w:rsidR="00A7453E" w:rsidRPr="00976BFF">
              <w:rPr>
                <w:rFonts w:ascii="Times New Roman" w:hAnsi="Times New Roman" w:cs="Times New Roman"/>
                <w:lang w:val="es-ES_tradnl"/>
              </w:rPr>
              <w:t>la gestión del dominio público y las expropiaciones, incluidas las medidas sociales vinculadas al reasentamiento</w:t>
            </w:r>
            <w:r w:rsidR="002D02EF" w:rsidRPr="00976BFF">
              <w:rPr>
                <w:rFonts w:ascii="Times New Roman" w:hAnsi="Times New Roman" w:cs="Times New Roman"/>
                <w:lang w:val="es-ES_tradnl"/>
              </w:rPr>
              <w:t>.</w:t>
            </w:r>
          </w:p>
        </w:tc>
      </w:tr>
      <w:tr w:rsidR="002D02EF" w:rsidRPr="00377DAB">
        <w:tc>
          <w:tcPr>
            <w:tcW w:w="1998" w:type="dxa"/>
            <w:vMerge/>
          </w:tcPr>
          <w:p w:rsidR="00897FF7" w:rsidRPr="00976BFF" w:rsidRDefault="00897FF7" w:rsidP="0057387E">
            <w:pPr>
              <w:rPr>
                <w:rFonts w:ascii="Times New Roman" w:hAnsi="Times New Roman" w:cs="Times New Roman"/>
                <w:lang w:val="es-ES_tradnl"/>
              </w:rPr>
            </w:pPr>
          </w:p>
        </w:tc>
        <w:tc>
          <w:tcPr>
            <w:tcW w:w="2719" w:type="dxa"/>
          </w:tcPr>
          <w:p w:rsidR="00897FF7" w:rsidRPr="00976BFF" w:rsidRDefault="00DC023B" w:rsidP="00DC023B">
            <w:pPr>
              <w:rPr>
                <w:rFonts w:ascii="Times New Roman" w:hAnsi="Times New Roman" w:cs="Times New Roman"/>
                <w:lang w:val="es-ES_tradnl"/>
              </w:rPr>
            </w:pPr>
            <w:r w:rsidRPr="00976BFF">
              <w:rPr>
                <w:rFonts w:ascii="Times New Roman" w:hAnsi="Times New Roman" w:cs="Times New Roman"/>
                <w:lang w:val="es-ES_tradnl"/>
              </w:rPr>
              <w:t>Dirección Nacional de Planificación y Logística (</w:t>
            </w:r>
            <w:r w:rsidR="009E06F4" w:rsidRPr="00976BFF">
              <w:rPr>
                <w:rFonts w:ascii="Times New Roman" w:hAnsi="Times New Roman" w:cs="Times New Roman"/>
                <w:lang w:val="es-ES_tradnl"/>
              </w:rPr>
              <w:t>DINAPLO</w:t>
            </w:r>
            <w:r w:rsidRPr="00976BFF">
              <w:rPr>
                <w:rFonts w:ascii="Times New Roman" w:hAnsi="Times New Roman" w:cs="Times New Roman"/>
                <w:lang w:val="es-ES_tradnl"/>
              </w:rPr>
              <w:t>)</w:t>
            </w:r>
          </w:p>
        </w:tc>
        <w:tc>
          <w:tcPr>
            <w:tcW w:w="4860" w:type="dxa"/>
          </w:tcPr>
          <w:p w:rsidR="00897FF7" w:rsidRPr="00976BFF" w:rsidRDefault="00A7453E" w:rsidP="00A7453E">
            <w:pPr>
              <w:rPr>
                <w:rFonts w:ascii="Times New Roman" w:hAnsi="Times New Roman" w:cs="Times New Roman"/>
                <w:lang w:val="es-ES_tradnl"/>
              </w:rPr>
            </w:pPr>
            <w:r w:rsidRPr="00976BFF">
              <w:rPr>
                <w:rFonts w:ascii="Times New Roman" w:hAnsi="Times New Roman" w:cs="Times New Roman"/>
                <w:lang w:val="es-ES_tradnl"/>
              </w:rPr>
              <w:t>Encargada de la planificación a largo plazo, la multimodalidad y la logística de la infraestructura y los servicios</w:t>
            </w:r>
            <w:r w:rsidR="002D02EF" w:rsidRPr="00976BFF">
              <w:rPr>
                <w:rFonts w:ascii="Times New Roman" w:hAnsi="Times New Roman" w:cs="Times New Roman"/>
                <w:lang w:val="es-ES_tradnl"/>
              </w:rPr>
              <w:t>.</w:t>
            </w:r>
          </w:p>
        </w:tc>
      </w:tr>
      <w:tr w:rsidR="002D02EF" w:rsidRPr="00377DAB">
        <w:tc>
          <w:tcPr>
            <w:tcW w:w="4717" w:type="dxa"/>
            <w:gridSpan w:val="2"/>
          </w:tcPr>
          <w:p w:rsidR="00897FF7" w:rsidRPr="00976BFF" w:rsidRDefault="00DC023B" w:rsidP="00DC023B">
            <w:pPr>
              <w:rPr>
                <w:rFonts w:ascii="Times New Roman" w:hAnsi="Times New Roman" w:cs="Times New Roman"/>
                <w:lang w:val="es-ES_tradnl"/>
              </w:rPr>
            </w:pPr>
            <w:r w:rsidRPr="00976BFF">
              <w:rPr>
                <w:rFonts w:ascii="Times New Roman" w:hAnsi="Times New Roman" w:cs="Times New Roman"/>
                <w:lang w:val="es-ES_tradnl"/>
              </w:rPr>
              <w:t>Corporación Vial de Uruguay (</w:t>
            </w:r>
            <w:r w:rsidR="002D02EF" w:rsidRPr="00976BFF">
              <w:rPr>
                <w:rFonts w:ascii="Times New Roman" w:hAnsi="Times New Roman" w:cs="Times New Roman"/>
                <w:lang w:val="es-ES_tradnl"/>
              </w:rPr>
              <w:t>CVU</w:t>
            </w:r>
            <w:r w:rsidRPr="00976BFF">
              <w:rPr>
                <w:rFonts w:ascii="Times New Roman" w:hAnsi="Times New Roman" w:cs="Times New Roman"/>
                <w:lang w:val="es-ES_tradnl"/>
              </w:rPr>
              <w:t>)</w:t>
            </w:r>
          </w:p>
        </w:tc>
        <w:tc>
          <w:tcPr>
            <w:tcW w:w="4860" w:type="dxa"/>
          </w:tcPr>
          <w:p w:rsidR="00897FF7" w:rsidRPr="00976BFF" w:rsidRDefault="00297072" w:rsidP="001F6651">
            <w:pPr>
              <w:rPr>
                <w:rFonts w:ascii="Times New Roman" w:hAnsi="Times New Roman" w:cs="Times New Roman"/>
                <w:lang w:val="es-ES_tradnl"/>
              </w:rPr>
            </w:pPr>
            <w:r w:rsidRPr="00976BFF">
              <w:rPr>
                <w:rFonts w:ascii="Times New Roman" w:hAnsi="Times New Roman" w:cs="Times New Roman"/>
                <w:lang w:val="es-ES_tradnl"/>
              </w:rPr>
              <w:t xml:space="preserve">Empresa concesionaria de obra pública a cargo de aproximadamente </w:t>
            </w:r>
            <w:r w:rsidR="002D02EF" w:rsidRPr="00976BFF">
              <w:rPr>
                <w:rFonts w:ascii="Times New Roman" w:hAnsi="Times New Roman" w:cs="Times New Roman"/>
                <w:lang w:val="es-ES_tradnl"/>
              </w:rPr>
              <w:t>1600</w:t>
            </w:r>
            <w:r w:rsidRPr="00976BFF">
              <w:rPr>
                <w:rFonts w:ascii="Times New Roman" w:hAnsi="Times New Roman" w:cs="Times New Roman"/>
                <w:lang w:val="es-ES_tradnl"/>
              </w:rPr>
              <w:t xml:space="preserve"> </w:t>
            </w:r>
            <w:r w:rsidR="001F6651">
              <w:rPr>
                <w:rFonts w:ascii="Times New Roman" w:hAnsi="Times New Roman" w:cs="Times New Roman"/>
                <w:lang w:val="es-ES_tradnl"/>
              </w:rPr>
              <w:t>kilómetros</w:t>
            </w:r>
            <w:r w:rsidR="001F6651" w:rsidRPr="00976BFF">
              <w:rPr>
                <w:rFonts w:ascii="Times New Roman" w:hAnsi="Times New Roman" w:cs="Times New Roman"/>
                <w:lang w:val="es-ES_tradnl"/>
              </w:rPr>
              <w:t xml:space="preserve"> </w:t>
            </w:r>
            <w:r w:rsidRPr="00976BFF">
              <w:rPr>
                <w:rFonts w:ascii="Times New Roman" w:hAnsi="Times New Roman" w:cs="Times New Roman"/>
                <w:lang w:val="es-ES_tradnl"/>
              </w:rPr>
              <w:t xml:space="preserve">de la </w:t>
            </w:r>
            <w:r w:rsidR="00A85267" w:rsidRPr="00976BFF">
              <w:rPr>
                <w:rFonts w:ascii="Times New Roman" w:hAnsi="Times New Roman" w:cs="Times New Roman"/>
                <w:lang w:val="es-ES_tradnl"/>
              </w:rPr>
              <w:t>r</w:t>
            </w:r>
            <w:r w:rsidRPr="00976BFF">
              <w:rPr>
                <w:rFonts w:ascii="Times New Roman" w:hAnsi="Times New Roman" w:cs="Times New Roman"/>
                <w:lang w:val="es-ES_tradnl"/>
              </w:rPr>
              <w:t xml:space="preserve">ed </w:t>
            </w:r>
            <w:r w:rsidR="00A85267" w:rsidRPr="00976BFF">
              <w:rPr>
                <w:rFonts w:ascii="Times New Roman" w:hAnsi="Times New Roman" w:cs="Times New Roman"/>
                <w:lang w:val="es-ES_tradnl"/>
              </w:rPr>
              <w:t>vial n</w:t>
            </w:r>
            <w:r w:rsidRPr="00976BFF">
              <w:rPr>
                <w:rFonts w:ascii="Times New Roman" w:hAnsi="Times New Roman" w:cs="Times New Roman"/>
                <w:lang w:val="es-ES_tradnl"/>
              </w:rPr>
              <w:t xml:space="preserve">acional; CVU tendrá la responsabilidad de ejecutar el </w:t>
            </w:r>
            <w:r w:rsidR="00650A31">
              <w:rPr>
                <w:rFonts w:ascii="Times New Roman" w:hAnsi="Times New Roman" w:cs="Times New Roman"/>
                <w:lang w:val="es-ES_tradnl"/>
              </w:rPr>
              <w:t>programa</w:t>
            </w:r>
            <w:r w:rsidRPr="00976BFF">
              <w:rPr>
                <w:rFonts w:ascii="Times New Roman" w:hAnsi="Times New Roman" w:cs="Times New Roman"/>
                <w:lang w:val="es-ES_tradnl"/>
              </w:rPr>
              <w:t xml:space="preserve"> en estos tramos de la red</w:t>
            </w:r>
            <w:r w:rsidR="00AF146C" w:rsidRPr="00976BFF">
              <w:rPr>
                <w:rFonts w:ascii="Times New Roman" w:hAnsi="Times New Roman" w:cs="Times New Roman"/>
                <w:lang w:val="es-ES_tradnl"/>
              </w:rPr>
              <w:t>.</w:t>
            </w:r>
          </w:p>
        </w:tc>
      </w:tr>
      <w:tr w:rsidR="002D02EF" w:rsidRPr="00377DAB">
        <w:tc>
          <w:tcPr>
            <w:tcW w:w="4717" w:type="dxa"/>
            <w:gridSpan w:val="2"/>
          </w:tcPr>
          <w:p w:rsidR="00897FF7" w:rsidRPr="00976BFF" w:rsidRDefault="00DC023B" w:rsidP="00DC023B">
            <w:pPr>
              <w:rPr>
                <w:rFonts w:ascii="Times New Roman" w:hAnsi="Times New Roman" w:cs="Times New Roman"/>
                <w:lang w:val="es-ES_tradnl"/>
              </w:rPr>
            </w:pPr>
            <w:r w:rsidRPr="00976BFF">
              <w:rPr>
                <w:rFonts w:ascii="Times New Roman" w:hAnsi="Times New Roman" w:cs="Times New Roman"/>
                <w:lang w:val="es-ES_tradnl"/>
              </w:rPr>
              <w:t>Ministerio de Economía y Finanzas (</w:t>
            </w:r>
            <w:r w:rsidR="002D02EF" w:rsidRPr="00976BFF">
              <w:rPr>
                <w:rFonts w:ascii="Times New Roman" w:hAnsi="Times New Roman" w:cs="Times New Roman"/>
                <w:lang w:val="es-ES_tradnl"/>
              </w:rPr>
              <w:t>MEF</w:t>
            </w:r>
            <w:r w:rsidRPr="00976BFF">
              <w:rPr>
                <w:rFonts w:ascii="Times New Roman" w:hAnsi="Times New Roman" w:cs="Times New Roman"/>
                <w:lang w:val="es-ES_tradnl"/>
              </w:rPr>
              <w:t>)</w:t>
            </w:r>
          </w:p>
        </w:tc>
        <w:tc>
          <w:tcPr>
            <w:tcW w:w="4860" w:type="dxa"/>
          </w:tcPr>
          <w:p w:rsidR="00897FF7" w:rsidRPr="00976BFF" w:rsidRDefault="00AF146C" w:rsidP="00E2383F">
            <w:pPr>
              <w:rPr>
                <w:rFonts w:ascii="Times New Roman" w:hAnsi="Times New Roman" w:cs="Times New Roman"/>
                <w:lang w:val="es-ES_tradnl"/>
              </w:rPr>
            </w:pPr>
            <w:r w:rsidRPr="00976BFF">
              <w:rPr>
                <w:rFonts w:ascii="Times New Roman" w:hAnsi="Times New Roman" w:cs="Times New Roman"/>
                <w:lang w:val="es-ES_tradnl"/>
              </w:rPr>
              <w:t>Respons</w:t>
            </w:r>
            <w:r w:rsidR="00FB3C53" w:rsidRPr="00976BFF">
              <w:rPr>
                <w:rFonts w:ascii="Times New Roman" w:hAnsi="Times New Roman" w:cs="Times New Roman"/>
                <w:lang w:val="es-ES_tradnl"/>
              </w:rPr>
              <w:t>a</w:t>
            </w:r>
            <w:r w:rsidRPr="00976BFF">
              <w:rPr>
                <w:rFonts w:ascii="Times New Roman" w:hAnsi="Times New Roman" w:cs="Times New Roman"/>
                <w:lang w:val="es-ES_tradnl"/>
              </w:rPr>
              <w:t xml:space="preserve">ble </w:t>
            </w:r>
            <w:r w:rsidR="00E2383F" w:rsidRPr="00976BFF">
              <w:rPr>
                <w:rFonts w:ascii="Times New Roman" w:hAnsi="Times New Roman" w:cs="Times New Roman"/>
                <w:lang w:val="es-ES_tradnl"/>
              </w:rPr>
              <w:t xml:space="preserve">de los presupuestos y la gestión financiera del </w:t>
            </w:r>
            <w:r w:rsidR="00650A31">
              <w:rPr>
                <w:rFonts w:ascii="Times New Roman" w:hAnsi="Times New Roman" w:cs="Times New Roman"/>
                <w:lang w:val="es-ES_tradnl"/>
              </w:rPr>
              <w:t>programa</w:t>
            </w:r>
            <w:r w:rsidRPr="00976BFF">
              <w:rPr>
                <w:rFonts w:ascii="Times New Roman" w:hAnsi="Times New Roman" w:cs="Times New Roman"/>
                <w:lang w:val="es-ES_tradnl"/>
              </w:rPr>
              <w:t>.</w:t>
            </w:r>
          </w:p>
        </w:tc>
      </w:tr>
      <w:tr w:rsidR="002D02EF" w:rsidRPr="00377DAB">
        <w:tc>
          <w:tcPr>
            <w:tcW w:w="4717" w:type="dxa"/>
            <w:gridSpan w:val="2"/>
          </w:tcPr>
          <w:p w:rsidR="002D02EF" w:rsidRPr="00976BFF" w:rsidRDefault="00A47E79" w:rsidP="00A47E79">
            <w:pPr>
              <w:rPr>
                <w:rFonts w:ascii="Times New Roman" w:hAnsi="Times New Roman" w:cs="Times New Roman"/>
                <w:lang w:val="es-ES_tradnl"/>
              </w:rPr>
            </w:pPr>
            <w:r w:rsidRPr="00976BFF">
              <w:rPr>
                <w:rFonts w:ascii="Times New Roman" w:hAnsi="Times New Roman" w:cs="Times New Roman"/>
                <w:lang w:val="es-ES_tradnl"/>
              </w:rPr>
              <w:t>Dirección Nacional de Medio Ambiente (</w:t>
            </w:r>
            <w:r w:rsidR="002D02EF" w:rsidRPr="00976BFF">
              <w:rPr>
                <w:rFonts w:ascii="Times New Roman" w:hAnsi="Times New Roman" w:cs="Times New Roman"/>
                <w:lang w:val="es-ES_tradnl"/>
              </w:rPr>
              <w:t>DINAMA</w:t>
            </w:r>
            <w:r w:rsidRPr="00976BFF">
              <w:rPr>
                <w:rFonts w:ascii="Times New Roman" w:hAnsi="Times New Roman" w:cs="Times New Roman"/>
                <w:lang w:val="es-ES_tradnl"/>
              </w:rPr>
              <w:t>)</w:t>
            </w:r>
            <w:r w:rsidR="002620C8">
              <w:rPr>
                <w:rFonts w:ascii="Times New Roman" w:hAnsi="Times New Roman" w:cs="Times New Roman"/>
                <w:lang w:val="es-ES_tradnl"/>
              </w:rPr>
              <w:t xml:space="preserve"> del Ministerio de Vivienda, Ordenamiento Territorial y Medio Ambiente</w:t>
            </w:r>
            <w:r w:rsidR="00EF11FB">
              <w:rPr>
                <w:rFonts w:ascii="Times New Roman" w:hAnsi="Times New Roman" w:cs="Times New Roman"/>
                <w:lang w:val="es-ES_tradnl"/>
              </w:rPr>
              <w:t xml:space="preserve"> (MVOTMA)</w:t>
            </w:r>
          </w:p>
        </w:tc>
        <w:tc>
          <w:tcPr>
            <w:tcW w:w="4860" w:type="dxa"/>
          </w:tcPr>
          <w:p w:rsidR="002D02EF" w:rsidRPr="00976BFF" w:rsidRDefault="00E2383F" w:rsidP="00E2383F">
            <w:pPr>
              <w:rPr>
                <w:rFonts w:ascii="Times New Roman" w:hAnsi="Times New Roman" w:cs="Times New Roman"/>
                <w:lang w:val="es-ES_tradnl"/>
              </w:rPr>
            </w:pPr>
            <w:r w:rsidRPr="00976BFF">
              <w:rPr>
                <w:rFonts w:ascii="Times New Roman" w:hAnsi="Times New Roman" w:cs="Times New Roman"/>
                <w:lang w:val="es-ES_tradnl"/>
              </w:rPr>
              <w:t>Encargada de adjudicar los permisos ambientales</w:t>
            </w:r>
            <w:r w:rsidR="00AF146C" w:rsidRPr="00976BFF">
              <w:rPr>
                <w:rFonts w:ascii="Times New Roman" w:hAnsi="Times New Roman" w:cs="Times New Roman"/>
                <w:lang w:val="es-ES_tradnl"/>
              </w:rPr>
              <w:t>.</w:t>
            </w:r>
          </w:p>
        </w:tc>
      </w:tr>
      <w:tr w:rsidR="002D02EF" w:rsidRPr="00377DAB">
        <w:tc>
          <w:tcPr>
            <w:tcW w:w="4717" w:type="dxa"/>
            <w:gridSpan w:val="2"/>
          </w:tcPr>
          <w:p w:rsidR="002D02EF" w:rsidRPr="00976BFF" w:rsidRDefault="00A47E79" w:rsidP="00A47E79">
            <w:pPr>
              <w:rPr>
                <w:rFonts w:ascii="Times New Roman" w:hAnsi="Times New Roman" w:cs="Times New Roman"/>
                <w:lang w:val="es-ES_tradnl"/>
              </w:rPr>
            </w:pPr>
            <w:r w:rsidRPr="00976BFF">
              <w:rPr>
                <w:rFonts w:ascii="Times New Roman" w:hAnsi="Times New Roman" w:cs="Times New Roman"/>
                <w:lang w:val="es-ES_tradnl"/>
              </w:rPr>
              <w:t>Oficina de Planeamiento y Presupuesto (</w:t>
            </w:r>
            <w:r w:rsidR="002D02EF" w:rsidRPr="00976BFF">
              <w:rPr>
                <w:rFonts w:ascii="Times New Roman" w:hAnsi="Times New Roman" w:cs="Times New Roman"/>
                <w:lang w:val="es-ES_tradnl"/>
              </w:rPr>
              <w:t>OPP</w:t>
            </w:r>
            <w:r w:rsidRPr="00976BFF">
              <w:rPr>
                <w:rFonts w:ascii="Times New Roman" w:hAnsi="Times New Roman" w:cs="Times New Roman"/>
                <w:lang w:val="es-ES_tradnl"/>
              </w:rPr>
              <w:t>)</w:t>
            </w:r>
          </w:p>
        </w:tc>
        <w:tc>
          <w:tcPr>
            <w:tcW w:w="4860" w:type="dxa"/>
          </w:tcPr>
          <w:p w:rsidR="002D02EF" w:rsidRPr="00976BFF" w:rsidRDefault="00E2383F" w:rsidP="00E2383F">
            <w:pPr>
              <w:rPr>
                <w:rFonts w:ascii="Times New Roman" w:hAnsi="Times New Roman" w:cs="Times New Roman"/>
                <w:lang w:val="es-ES_tradnl"/>
              </w:rPr>
            </w:pPr>
            <w:r w:rsidRPr="00976BFF">
              <w:rPr>
                <w:rFonts w:ascii="Times New Roman" w:hAnsi="Times New Roman" w:cs="Times New Roman"/>
                <w:lang w:val="es-ES_tradnl"/>
              </w:rPr>
              <w:t xml:space="preserve">Encargada de preparar presupuestos quinquenales y realizar el seguimiento y la evaluación de los </w:t>
            </w:r>
            <w:r w:rsidR="006D44FB">
              <w:rPr>
                <w:rFonts w:ascii="Times New Roman" w:hAnsi="Times New Roman" w:cs="Times New Roman"/>
                <w:lang w:val="es-ES_tradnl"/>
              </w:rPr>
              <w:t>programas</w:t>
            </w:r>
            <w:r w:rsidRPr="00976BFF">
              <w:rPr>
                <w:rFonts w:ascii="Times New Roman" w:hAnsi="Times New Roman" w:cs="Times New Roman"/>
                <w:lang w:val="es-ES_tradnl"/>
              </w:rPr>
              <w:t xml:space="preserve"> del sector público</w:t>
            </w:r>
            <w:r w:rsidR="00AF146C" w:rsidRPr="00976BFF">
              <w:rPr>
                <w:rFonts w:ascii="Times New Roman" w:hAnsi="Times New Roman" w:cs="Times New Roman"/>
                <w:lang w:val="es-ES_tradnl"/>
              </w:rPr>
              <w:t>.</w:t>
            </w:r>
          </w:p>
        </w:tc>
      </w:tr>
      <w:tr w:rsidR="002D02EF" w:rsidRPr="00377DAB">
        <w:tc>
          <w:tcPr>
            <w:tcW w:w="4717" w:type="dxa"/>
            <w:gridSpan w:val="2"/>
          </w:tcPr>
          <w:p w:rsidR="002D02EF" w:rsidRPr="00976BFF" w:rsidRDefault="00A47E79" w:rsidP="0057387E">
            <w:pPr>
              <w:rPr>
                <w:rFonts w:ascii="Times New Roman" w:hAnsi="Times New Roman" w:cs="Times New Roman"/>
                <w:lang w:val="es-ES_tradnl"/>
              </w:rPr>
            </w:pPr>
            <w:r w:rsidRPr="00976BFF">
              <w:rPr>
                <w:rFonts w:ascii="Times New Roman" w:hAnsi="Times New Roman" w:cs="Times New Roman"/>
                <w:lang w:val="es-ES_tradnl"/>
              </w:rPr>
              <w:t>Tribunal de Cuentas</w:t>
            </w:r>
            <w:r w:rsidR="002620C8">
              <w:rPr>
                <w:rFonts w:ascii="Times New Roman" w:hAnsi="Times New Roman" w:cs="Times New Roman"/>
                <w:lang w:val="es-ES_tradnl"/>
              </w:rPr>
              <w:t xml:space="preserve"> de la República</w:t>
            </w:r>
          </w:p>
        </w:tc>
        <w:tc>
          <w:tcPr>
            <w:tcW w:w="4860" w:type="dxa"/>
          </w:tcPr>
          <w:p w:rsidR="002D02EF" w:rsidRPr="00976BFF" w:rsidRDefault="00E2383F" w:rsidP="00E2383F">
            <w:pPr>
              <w:rPr>
                <w:rFonts w:ascii="Times New Roman" w:hAnsi="Times New Roman" w:cs="Times New Roman"/>
                <w:lang w:val="es-ES_tradnl"/>
              </w:rPr>
            </w:pPr>
            <w:r w:rsidRPr="00976BFF">
              <w:rPr>
                <w:rFonts w:ascii="Times New Roman" w:hAnsi="Times New Roman" w:cs="Times New Roman"/>
                <w:lang w:val="es-ES_tradnl"/>
              </w:rPr>
              <w:t>Intervendrá en las auditorías externas, funciones de supervisión y control</w:t>
            </w:r>
            <w:r w:rsidR="00AF146C" w:rsidRPr="00976BFF">
              <w:rPr>
                <w:rFonts w:ascii="Times New Roman" w:hAnsi="Times New Roman" w:cs="Times New Roman"/>
                <w:lang w:val="es-ES_tradnl"/>
              </w:rPr>
              <w:t>.</w:t>
            </w:r>
          </w:p>
        </w:tc>
      </w:tr>
    </w:tbl>
    <w:p w:rsidR="00A764A2" w:rsidRPr="00976BFF" w:rsidRDefault="00CA1A4D">
      <w:pPr>
        <w:pStyle w:val="Heading3"/>
        <w:rPr>
          <w:lang w:val="es-ES_tradnl"/>
        </w:rPr>
      </w:pPr>
      <w:bookmarkStart w:id="15" w:name="_Toc344927155"/>
      <w:r w:rsidRPr="00976BFF">
        <w:rPr>
          <w:lang w:val="es-ES_tradnl"/>
        </w:rPr>
        <w:t xml:space="preserve">Ejecución técnica del </w:t>
      </w:r>
      <w:bookmarkEnd w:id="15"/>
      <w:r w:rsidR="00650A31">
        <w:rPr>
          <w:lang w:val="es-ES_tradnl"/>
        </w:rPr>
        <w:t>programa</w:t>
      </w:r>
    </w:p>
    <w:p w:rsidR="0007594F" w:rsidRPr="00976BFF" w:rsidRDefault="00CA1A4D" w:rsidP="00625FD2">
      <w:pPr>
        <w:pStyle w:val="MainPara"/>
        <w:rPr>
          <w:lang w:val="es-ES_tradnl"/>
        </w:rPr>
      </w:pPr>
      <w:r w:rsidRPr="00976BFF">
        <w:rPr>
          <w:lang w:val="es-ES_tradnl"/>
        </w:rPr>
        <w:t xml:space="preserve">El </w:t>
      </w:r>
      <w:r w:rsidR="00650A31">
        <w:rPr>
          <w:lang w:val="es-ES_tradnl"/>
        </w:rPr>
        <w:t>programa</w:t>
      </w:r>
      <w:r w:rsidRPr="00976BFF">
        <w:rPr>
          <w:lang w:val="es-ES_tradnl"/>
        </w:rPr>
        <w:t xml:space="preserve"> se ejecuta a través de contratos con el sector privado (rehabilitación de caminos y puentes, rehabilitación basada en el desempeño, mantenimiento o mantenimiento basado en </w:t>
      </w:r>
      <w:r w:rsidRPr="00766354">
        <w:rPr>
          <w:lang w:val="es-ES_tradnl"/>
        </w:rPr>
        <w:t>el desempeño)</w:t>
      </w:r>
      <w:r w:rsidRPr="00976BFF">
        <w:rPr>
          <w:lang w:val="es-ES_tradnl"/>
        </w:rPr>
        <w:t xml:space="preserve"> o a través de obras de mantenimiento de rutina ejecutadas directamente por la DNV. Por lo general, salvo las obras de rehabilitación y reconstrucción de puentes (contratos de diseño y construcción), el personal de la DNV cumple las funciones de diseño y supervisión necesarias para las actividades relacionadas con el </w:t>
      </w:r>
      <w:r w:rsidR="00650A31">
        <w:rPr>
          <w:lang w:val="es-ES_tradnl"/>
        </w:rPr>
        <w:t>programa</w:t>
      </w:r>
      <w:r w:rsidRPr="00976BFF">
        <w:rPr>
          <w:lang w:val="es-ES_tradnl"/>
        </w:rPr>
        <w:t xml:space="preserve">. Los contratos de obras financiadas por el BID y el </w:t>
      </w:r>
      <w:r w:rsidR="00627835" w:rsidRPr="00976BFF">
        <w:rPr>
          <w:lang w:val="es-ES_tradnl"/>
        </w:rPr>
        <w:t>FONPLATA</w:t>
      </w:r>
      <w:r w:rsidRPr="00976BFF">
        <w:rPr>
          <w:lang w:val="es-ES_tradnl"/>
        </w:rPr>
        <w:t xml:space="preserve"> se ejecutan </w:t>
      </w:r>
      <w:r w:rsidR="00215CD6">
        <w:rPr>
          <w:lang w:val="es-ES_tradnl"/>
        </w:rPr>
        <w:t xml:space="preserve">con </w:t>
      </w:r>
      <w:r w:rsidRPr="00976BFF">
        <w:rPr>
          <w:lang w:val="es-ES_tradnl"/>
        </w:rPr>
        <w:t>los mismos sistemas y procesos técnicos (planificación, diseño, supervisión</w:t>
      </w:r>
      <w:r w:rsidR="005B48F8" w:rsidRPr="00976BFF">
        <w:rPr>
          <w:lang w:val="es-ES_tradnl"/>
        </w:rPr>
        <w:t>)</w:t>
      </w:r>
      <w:r w:rsidR="00627835" w:rsidRPr="00976BFF">
        <w:rPr>
          <w:lang w:val="es-ES_tradnl"/>
        </w:rPr>
        <w:t>.</w:t>
      </w:r>
    </w:p>
    <w:p w:rsidR="00A764A2" w:rsidRPr="00976BFF" w:rsidRDefault="003A5E09">
      <w:pPr>
        <w:pStyle w:val="Heading3"/>
        <w:rPr>
          <w:lang w:val="es-ES_tradnl"/>
        </w:rPr>
      </w:pPr>
      <w:bookmarkStart w:id="16" w:name="_Toc344927156"/>
      <w:r w:rsidRPr="00976BFF">
        <w:rPr>
          <w:lang w:val="es-ES_tradnl"/>
        </w:rPr>
        <w:t>Fraud</w:t>
      </w:r>
      <w:r w:rsidR="00CA1A4D" w:rsidRPr="00976BFF">
        <w:rPr>
          <w:lang w:val="es-ES_tradnl"/>
        </w:rPr>
        <w:t>e y corrupción</w:t>
      </w:r>
      <w:bookmarkEnd w:id="16"/>
    </w:p>
    <w:p w:rsidR="0007594F" w:rsidRPr="00976BFF" w:rsidRDefault="00BA77C8" w:rsidP="00625FD2">
      <w:pPr>
        <w:pStyle w:val="MainPara"/>
        <w:rPr>
          <w:lang w:val="es-ES_tradnl"/>
        </w:rPr>
      </w:pPr>
      <w:r w:rsidRPr="00976BFF">
        <w:rPr>
          <w:lang w:val="es-ES_tradnl"/>
        </w:rPr>
        <w:t xml:space="preserve">El prestatario se ha comprometido a ejecutar el </w:t>
      </w:r>
      <w:r w:rsidR="00650A31">
        <w:rPr>
          <w:lang w:val="es-ES_tradnl"/>
        </w:rPr>
        <w:t>programa</w:t>
      </w:r>
      <w:r w:rsidRPr="00976BFF">
        <w:rPr>
          <w:lang w:val="es-ES_tradnl"/>
        </w:rPr>
        <w:t xml:space="preserve"> de conformidad con los objetivos establecidos en las </w:t>
      </w:r>
      <w:r w:rsidR="00215CD6" w:rsidRPr="00766354">
        <w:rPr>
          <w:lang w:val="es-ES_tradnl"/>
        </w:rPr>
        <w:t xml:space="preserve">normas </w:t>
      </w:r>
      <w:r w:rsidRPr="00766354">
        <w:rPr>
          <w:lang w:val="es-ES_tradnl"/>
        </w:rPr>
        <w:t xml:space="preserve">contra la </w:t>
      </w:r>
      <w:r w:rsidR="00215CD6" w:rsidRPr="00766354">
        <w:rPr>
          <w:lang w:val="es-ES_tradnl"/>
        </w:rPr>
        <w:t>corrupción</w:t>
      </w:r>
      <w:r w:rsidR="00215CD6" w:rsidRPr="00976BFF">
        <w:rPr>
          <w:lang w:val="es-ES_tradnl"/>
        </w:rPr>
        <w:t xml:space="preserve"> </w:t>
      </w:r>
      <w:r w:rsidRPr="00976BFF">
        <w:rPr>
          <w:lang w:val="es-ES_tradnl"/>
        </w:rPr>
        <w:t xml:space="preserve">aplicables a las operaciones de </w:t>
      </w:r>
      <w:r w:rsidR="006D44FB">
        <w:rPr>
          <w:lang w:val="es-ES_tradnl"/>
        </w:rPr>
        <w:t>programas</w:t>
      </w:r>
      <w:r w:rsidRPr="00976BFF">
        <w:rPr>
          <w:lang w:val="es-ES_tradnl"/>
        </w:rPr>
        <w:t xml:space="preserve"> por resultados. Las modalidades de aplicación de las mencionadas normas incluirían lo siguiente</w:t>
      </w:r>
      <w:r w:rsidR="00852D76" w:rsidRPr="00976BFF">
        <w:rPr>
          <w:lang w:val="es-ES_tradnl"/>
        </w:rPr>
        <w:t xml:space="preserve">: </w:t>
      </w:r>
    </w:p>
    <w:p w:rsidR="00EC3093" w:rsidRPr="00976BFF" w:rsidRDefault="003E0131" w:rsidP="00625FB3">
      <w:pPr>
        <w:pStyle w:val="Bullet"/>
        <w:rPr>
          <w:lang w:val="es-ES_tradnl"/>
        </w:rPr>
      </w:pPr>
      <w:r w:rsidRPr="00976BFF">
        <w:rPr>
          <w:lang w:val="es-ES_tradnl"/>
        </w:rPr>
        <w:t xml:space="preserve">El Gobierno de Uruguay presentará informes al Banco Mundial una vez al año o con más frecuencia, según corresponda, en los que consignará las denuncias creíbles de fraude y corrupción en el marco del </w:t>
      </w:r>
      <w:r w:rsidR="00650A31">
        <w:rPr>
          <w:lang w:val="es-ES_tradnl"/>
        </w:rPr>
        <w:t>programa</w:t>
      </w:r>
      <w:r w:rsidRPr="00976BFF">
        <w:rPr>
          <w:lang w:val="es-ES_tradnl"/>
        </w:rPr>
        <w:t xml:space="preserve">, así como las investigaciones conexas y, si fuese necesario, las medidas adoptadas. Recíprocamente, el Banco Mundial también informará al MTOP y el </w:t>
      </w:r>
      <w:r w:rsidR="00343B72">
        <w:rPr>
          <w:lang w:val="es-ES_tradnl"/>
        </w:rPr>
        <w:t>Ministerio de Economía y Finanzas (</w:t>
      </w:r>
      <w:r w:rsidRPr="00976BFF">
        <w:rPr>
          <w:lang w:val="es-ES_tradnl"/>
        </w:rPr>
        <w:t>MEF</w:t>
      </w:r>
      <w:r w:rsidR="00343B72">
        <w:rPr>
          <w:lang w:val="es-ES_tradnl"/>
        </w:rPr>
        <w:t>)</w:t>
      </w:r>
      <w:r w:rsidRPr="00976BFF">
        <w:rPr>
          <w:lang w:val="es-ES_tradnl"/>
        </w:rPr>
        <w:t xml:space="preserve"> cualquier denuncia de fraude y corrupción o inquietud al respecto</w:t>
      </w:r>
      <w:r w:rsidR="00852D76" w:rsidRPr="00976BFF">
        <w:rPr>
          <w:lang w:val="es-ES_tradnl"/>
        </w:rPr>
        <w:t>.</w:t>
      </w:r>
    </w:p>
    <w:p w:rsidR="00EC3093" w:rsidRPr="00976BFF" w:rsidRDefault="009971EB" w:rsidP="00625FB3">
      <w:pPr>
        <w:pStyle w:val="Bullet"/>
        <w:rPr>
          <w:lang w:val="es-ES_tradnl"/>
        </w:rPr>
      </w:pPr>
      <w:r w:rsidRPr="00976BFF">
        <w:rPr>
          <w:lang w:val="es-ES_tradnl"/>
        </w:rPr>
        <w:t xml:space="preserve">Los documentos de licitación </w:t>
      </w:r>
      <w:r w:rsidR="009914EF" w:rsidRPr="00976BFF">
        <w:rPr>
          <w:lang w:val="es-ES_tradnl"/>
        </w:rPr>
        <w:t>servirán</w:t>
      </w:r>
      <w:r w:rsidRPr="00976BFF">
        <w:rPr>
          <w:lang w:val="es-ES_tradnl"/>
        </w:rPr>
        <w:t xml:space="preserve"> a </w:t>
      </w:r>
      <w:r w:rsidR="005A0711" w:rsidRPr="00976BFF">
        <w:rPr>
          <w:lang w:val="es-ES_tradnl"/>
        </w:rPr>
        <w:t>licitante</w:t>
      </w:r>
      <w:r w:rsidRPr="00976BFF">
        <w:rPr>
          <w:lang w:val="es-ES_tradnl"/>
        </w:rPr>
        <w:t xml:space="preserve">s y contratistas como fuente de información respecto de la aplicación de las </w:t>
      </w:r>
      <w:r w:rsidR="00215CD6">
        <w:rPr>
          <w:lang w:val="es-ES_tradnl"/>
        </w:rPr>
        <w:t>n</w:t>
      </w:r>
      <w:r w:rsidR="00215CD6" w:rsidRPr="00976BFF">
        <w:rPr>
          <w:lang w:val="es-ES_tradnl"/>
        </w:rPr>
        <w:t xml:space="preserve">ormas </w:t>
      </w:r>
      <w:r w:rsidRPr="00976BFF">
        <w:rPr>
          <w:lang w:val="es-ES_tradnl"/>
        </w:rPr>
        <w:t xml:space="preserve">contra la </w:t>
      </w:r>
      <w:r w:rsidR="00215CD6">
        <w:rPr>
          <w:lang w:val="es-ES_tradnl"/>
        </w:rPr>
        <w:t>c</w:t>
      </w:r>
      <w:r w:rsidR="00215CD6" w:rsidRPr="00976BFF">
        <w:rPr>
          <w:lang w:val="es-ES_tradnl"/>
        </w:rPr>
        <w:t xml:space="preserve">orrupción </w:t>
      </w:r>
      <w:r w:rsidRPr="00976BFF">
        <w:rPr>
          <w:lang w:val="es-ES_tradnl"/>
        </w:rPr>
        <w:t xml:space="preserve">al </w:t>
      </w:r>
      <w:r w:rsidR="00650A31">
        <w:rPr>
          <w:lang w:val="es-ES_tradnl"/>
        </w:rPr>
        <w:t>programa</w:t>
      </w:r>
      <w:r w:rsidRPr="00976BFF">
        <w:rPr>
          <w:lang w:val="es-ES_tradnl"/>
        </w:rPr>
        <w:t xml:space="preserve">. El cumplimiento con las mismas se verificará a través de las auditorías anuales del </w:t>
      </w:r>
      <w:r w:rsidR="00650A31">
        <w:rPr>
          <w:lang w:val="es-ES_tradnl"/>
        </w:rPr>
        <w:t>programa</w:t>
      </w:r>
      <w:r w:rsidR="00852D76" w:rsidRPr="00976BFF">
        <w:rPr>
          <w:lang w:val="es-ES_tradnl"/>
        </w:rPr>
        <w:t>.</w:t>
      </w:r>
    </w:p>
    <w:p w:rsidR="003175D5" w:rsidRPr="00976BFF" w:rsidRDefault="009971EB" w:rsidP="00625FB3">
      <w:pPr>
        <w:pStyle w:val="Bullet"/>
        <w:rPr>
          <w:lang w:val="es-ES_tradnl"/>
        </w:rPr>
      </w:pPr>
      <w:r w:rsidRPr="00976BFF">
        <w:rPr>
          <w:lang w:val="es-ES_tradnl"/>
        </w:rPr>
        <w:t xml:space="preserve">De conformidad con las leyes y reglamentaciones uruguayas, el Gobierno de Uruguay llevará a cabo las investigaciones en el marco del </w:t>
      </w:r>
      <w:r w:rsidR="00650A31">
        <w:rPr>
          <w:lang w:val="es-ES_tradnl"/>
        </w:rPr>
        <w:t>programa</w:t>
      </w:r>
      <w:r w:rsidRPr="00976BFF">
        <w:rPr>
          <w:lang w:val="es-ES_tradnl"/>
        </w:rPr>
        <w:t>, inclusive las solicitadas por el Banco. El Gobierno mantendrá informado al Banco respecto de los avances de las investigaciones y sus conclusiones, y estas últimas se darán a conocer en forma pública</w:t>
      </w:r>
      <w:r w:rsidR="005F00D2" w:rsidRPr="00976BFF">
        <w:rPr>
          <w:lang w:val="es-ES_tradnl"/>
        </w:rPr>
        <w:t>.</w:t>
      </w:r>
    </w:p>
    <w:p w:rsidR="00A764A2" w:rsidRPr="00976BFF" w:rsidRDefault="009971EB" w:rsidP="00625FD2">
      <w:pPr>
        <w:pStyle w:val="MainPara"/>
        <w:rPr>
          <w:lang w:val="es-ES_tradnl"/>
        </w:rPr>
      </w:pPr>
      <w:r w:rsidRPr="00976BFF">
        <w:rPr>
          <w:lang w:val="es-ES_tradnl"/>
        </w:rPr>
        <w:t xml:space="preserve">El Gobierno ha confirmado que las </w:t>
      </w:r>
      <w:r w:rsidR="00215CD6">
        <w:rPr>
          <w:lang w:val="es-ES_tradnl"/>
        </w:rPr>
        <w:t>n</w:t>
      </w:r>
      <w:r w:rsidR="00215CD6" w:rsidRPr="00976BFF">
        <w:rPr>
          <w:lang w:val="es-ES_tradnl"/>
        </w:rPr>
        <w:t xml:space="preserve">ormas </w:t>
      </w:r>
      <w:r w:rsidRPr="00976BFF">
        <w:rPr>
          <w:lang w:val="es-ES_tradnl"/>
        </w:rPr>
        <w:t xml:space="preserve">contra la </w:t>
      </w:r>
      <w:r w:rsidR="00215CD6">
        <w:rPr>
          <w:lang w:val="es-ES_tradnl"/>
        </w:rPr>
        <w:t>c</w:t>
      </w:r>
      <w:r w:rsidR="00215CD6" w:rsidRPr="00976BFF">
        <w:rPr>
          <w:lang w:val="es-ES_tradnl"/>
        </w:rPr>
        <w:t xml:space="preserve">orrupción </w:t>
      </w:r>
      <w:r w:rsidRPr="00976BFF">
        <w:rPr>
          <w:lang w:val="es-ES_tradnl"/>
        </w:rPr>
        <w:t xml:space="preserve">se aplicarán a los contratos del </w:t>
      </w:r>
      <w:r w:rsidR="00650A31">
        <w:rPr>
          <w:lang w:val="es-ES_tradnl"/>
        </w:rPr>
        <w:t>programa</w:t>
      </w:r>
      <w:r w:rsidRPr="00976BFF">
        <w:rPr>
          <w:lang w:val="es-ES_tradnl"/>
        </w:rPr>
        <w:t xml:space="preserve"> financiados por el </w:t>
      </w:r>
      <w:r w:rsidR="00852D76" w:rsidRPr="00976BFF">
        <w:rPr>
          <w:lang w:val="es-ES_tradnl"/>
        </w:rPr>
        <w:t>FONPLATA</w:t>
      </w:r>
      <w:r w:rsidRPr="00976BFF">
        <w:rPr>
          <w:lang w:val="es-ES_tradnl"/>
        </w:rPr>
        <w:t xml:space="preserve">. En el caso de los contratos del </w:t>
      </w:r>
      <w:r w:rsidR="00650A31">
        <w:rPr>
          <w:lang w:val="es-ES_tradnl"/>
        </w:rPr>
        <w:t>programa</w:t>
      </w:r>
      <w:r w:rsidRPr="00976BFF">
        <w:rPr>
          <w:lang w:val="es-ES_tradnl"/>
        </w:rPr>
        <w:t xml:space="preserve"> financiados por el BID, se aplicará la lista </w:t>
      </w:r>
      <w:r w:rsidR="008C1C1D" w:rsidRPr="00976BFF">
        <w:rPr>
          <w:lang w:val="es-ES_tradnl"/>
        </w:rPr>
        <w:t xml:space="preserve">de inhabilitación cruzada del Banco Mundial y el BID y las investigaciones se coordinarán, caso por caso, con el Banco. </w:t>
      </w:r>
      <w:r w:rsidR="001E170D" w:rsidRPr="00976BFF">
        <w:rPr>
          <w:lang w:val="es-ES_tradnl"/>
        </w:rPr>
        <w:t xml:space="preserve">Las disposiciones descritas son apropiadas para garantizar que el </w:t>
      </w:r>
      <w:r w:rsidR="00650A31">
        <w:rPr>
          <w:lang w:val="es-ES_tradnl"/>
        </w:rPr>
        <w:t>programa</w:t>
      </w:r>
      <w:r w:rsidR="001E170D" w:rsidRPr="00976BFF">
        <w:rPr>
          <w:lang w:val="es-ES_tradnl"/>
        </w:rPr>
        <w:t xml:space="preserve"> se lleve a cabo de conformidad con </w:t>
      </w:r>
      <w:r w:rsidR="001E170D" w:rsidRPr="00766354">
        <w:rPr>
          <w:lang w:val="es-ES_tradnl"/>
        </w:rPr>
        <w:t xml:space="preserve">las </w:t>
      </w:r>
      <w:r w:rsidR="00215CD6" w:rsidRPr="00766354">
        <w:rPr>
          <w:lang w:val="es-ES_tradnl"/>
        </w:rPr>
        <w:t xml:space="preserve">normas </w:t>
      </w:r>
      <w:r w:rsidR="001E170D" w:rsidRPr="00766354">
        <w:rPr>
          <w:lang w:val="es-ES_tradnl"/>
        </w:rPr>
        <w:t xml:space="preserve">contra la </w:t>
      </w:r>
      <w:r w:rsidR="00215CD6" w:rsidRPr="00766354">
        <w:rPr>
          <w:lang w:val="es-ES_tradnl"/>
        </w:rPr>
        <w:t>corrupción</w:t>
      </w:r>
      <w:r w:rsidR="001E170D" w:rsidRPr="00766354">
        <w:rPr>
          <w:lang w:val="es-ES_tradnl"/>
        </w:rPr>
        <w:t>, teniendo en cuenta a) la evaluación del desempeño de los sistemas del Gob</w:t>
      </w:r>
      <w:r w:rsidR="001E170D" w:rsidRPr="00976BFF">
        <w:rPr>
          <w:lang w:val="es-ES_tradnl"/>
        </w:rPr>
        <w:t xml:space="preserve">ierno de Uruguay realizada por el Banco y la capacidad evaluada para gestionar los riesgos de fraude y corrupción en el marco del </w:t>
      </w:r>
      <w:r w:rsidR="00650A31">
        <w:rPr>
          <w:lang w:val="es-ES_tradnl"/>
        </w:rPr>
        <w:t>programa</w:t>
      </w:r>
      <w:r w:rsidR="001E170D" w:rsidRPr="00976BFF">
        <w:rPr>
          <w:lang w:val="es-ES_tradnl"/>
        </w:rPr>
        <w:t xml:space="preserve">, y b) el bajo </w:t>
      </w:r>
      <w:r w:rsidR="00C23040">
        <w:rPr>
          <w:lang w:val="es-ES_tradnl"/>
        </w:rPr>
        <w:t>riesgo</w:t>
      </w:r>
      <w:r w:rsidR="001E170D" w:rsidRPr="00976BFF">
        <w:rPr>
          <w:lang w:val="es-ES_tradnl"/>
        </w:rPr>
        <w:t xml:space="preserve"> general de fraude y corrupción</w:t>
      </w:r>
      <w:r w:rsidR="00C23040">
        <w:rPr>
          <w:lang w:val="es-ES_tradnl"/>
        </w:rPr>
        <w:t xml:space="preserve"> que afronta el </w:t>
      </w:r>
      <w:r w:rsidR="00650A31">
        <w:rPr>
          <w:lang w:val="es-ES_tradnl"/>
        </w:rPr>
        <w:t>programa</w:t>
      </w:r>
      <w:r w:rsidR="001E170D" w:rsidRPr="00976BFF">
        <w:rPr>
          <w:lang w:val="es-ES_tradnl"/>
        </w:rPr>
        <w:t xml:space="preserve"> en el contexto uruguayo. El país tiene un sólido marco jurídico y un alto grado de capacidad institucional para abordar los riesgos de fraude y corrupción. Este marco jurídico se ajusta a los principios y procedimientos reconocidos a nivel internacional y ciertamente concuerda con las </w:t>
      </w:r>
      <w:r w:rsidR="00215CD6">
        <w:rPr>
          <w:lang w:val="es-ES_tradnl"/>
        </w:rPr>
        <w:t>n</w:t>
      </w:r>
      <w:r w:rsidR="00215CD6" w:rsidRPr="00976BFF">
        <w:rPr>
          <w:lang w:val="es-ES_tradnl"/>
        </w:rPr>
        <w:t xml:space="preserve">ormas </w:t>
      </w:r>
      <w:r w:rsidR="001E170D" w:rsidRPr="00976BFF">
        <w:rPr>
          <w:lang w:val="es-ES_tradnl"/>
        </w:rPr>
        <w:t xml:space="preserve">contra la </w:t>
      </w:r>
      <w:r w:rsidR="00215CD6">
        <w:rPr>
          <w:lang w:val="es-ES_tradnl"/>
        </w:rPr>
        <w:t>c</w:t>
      </w:r>
      <w:r w:rsidR="00215CD6" w:rsidRPr="00976BFF">
        <w:rPr>
          <w:lang w:val="es-ES_tradnl"/>
        </w:rPr>
        <w:t xml:space="preserve">orrupción </w:t>
      </w:r>
      <w:r w:rsidR="001E170D" w:rsidRPr="00976BFF">
        <w:rPr>
          <w:lang w:val="es-ES_tradnl"/>
        </w:rPr>
        <w:t xml:space="preserve">para operaciones de </w:t>
      </w:r>
      <w:r w:rsidR="006D44FB">
        <w:rPr>
          <w:lang w:val="es-ES_tradnl"/>
        </w:rPr>
        <w:t>programas</w:t>
      </w:r>
      <w:r w:rsidR="001E170D" w:rsidRPr="00976BFF">
        <w:rPr>
          <w:lang w:val="es-ES_tradnl"/>
        </w:rPr>
        <w:t xml:space="preserve"> por resultados</w:t>
      </w:r>
      <w:r w:rsidR="007C6FDB" w:rsidRPr="00976BFF">
        <w:rPr>
          <w:lang w:val="es-ES_tradnl"/>
        </w:rPr>
        <w:t xml:space="preserve">. </w:t>
      </w:r>
    </w:p>
    <w:p w:rsidR="00A764A2" w:rsidRPr="00976BFF" w:rsidRDefault="0005252D">
      <w:pPr>
        <w:pStyle w:val="Heading3"/>
        <w:rPr>
          <w:lang w:val="es-ES_tradnl"/>
        </w:rPr>
      </w:pPr>
      <w:bookmarkStart w:id="17" w:name="_Toc344927157"/>
      <w:r w:rsidRPr="00976BFF">
        <w:rPr>
          <w:lang w:val="es-ES_tradnl"/>
        </w:rPr>
        <w:t xml:space="preserve">Ejecución fiduciaria del </w:t>
      </w:r>
      <w:bookmarkEnd w:id="17"/>
      <w:r w:rsidR="00650A31">
        <w:rPr>
          <w:lang w:val="es-ES_tradnl"/>
        </w:rPr>
        <w:t>programa</w:t>
      </w:r>
    </w:p>
    <w:p w:rsidR="00A764A2" w:rsidRPr="00976BFF" w:rsidRDefault="0005252D" w:rsidP="00625FD2">
      <w:pPr>
        <w:pStyle w:val="MainPara"/>
        <w:rPr>
          <w:u w:val="single"/>
          <w:lang w:val="es-ES_tradnl"/>
        </w:rPr>
      </w:pPr>
      <w:r w:rsidRPr="00976BFF">
        <w:rPr>
          <w:lang w:val="es-ES_tradnl"/>
        </w:rPr>
        <w:t xml:space="preserve">Durante el período </w:t>
      </w:r>
      <w:r w:rsidR="009C564E" w:rsidRPr="00976BFF">
        <w:rPr>
          <w:lang w:val="es-ES_tradnl"/>
        </w:rPr>
        <w:t>201</w:t>
      </w:r>
      <w:r w:rsidR="00B87AA4" w:rsidRPr="00976BFF">
        <w:rPr>
          <w:lang w:val="es-ES_tradnl"/>
        </w:rPr>
        <w:t>3</w:t>
      </w:r>
      <w:r w:rsidR="009C564E" w:rsidRPr="00976BFF">
        <w:rPr>
          <w:lang w:val="es-ES_tradnl"/>
        </w:rPr>
        <w:t>-15</w:t>
      </w:r>
      <w:r w:rsidRPr="00976BFF">
        <w:rPr>
          <w:lang w:val="es-ES_tradnl"/>
        </w:rPr>
        <w:t xml:space="preserve">, se prevé que el </w:t>
      </w:r>
      <w:r w:rsidR="00650A31">
        <w:rPr>
          <w:lang w:val="es-ES_tradnl"/>
        </w:rPr>
        <w:t>programa</w:t>
      </w:r>
      <w:r w:rsidRPr="00976BFF">
        <w:rPr>
          <w:lang w:val="es-ES_tradnl"/>
        </w:rPr>
        <w:t xml:space="preserve"> incluya (en todo momento) alrededor de 65 contratos de obras </w:t>
      </w:r>
      <w:r w:rsidR="002620C8">
        <w:rPr>
          <w:lang w:val="es-ES_tradnl"/>
        </w:rPr>
        <w:t>administrados</w:t>
      </w:r>
      <w:r w:rsidRPr="00976BFF">
        <w:rPr>
          <w:lang w:val="es-ES_tradnl"/>
        </w:rPr>
        <w:t xml:space="preserve"> por la </w:t>
      </w:r>
      <w:r w:rsidR="004E557A" w:rsidRPr="00976BFF">
        <w:rPr>
          <w:lang w:val="es-ES_tradnl"/>
        </w:rPr>
        <w:t xml:space="preserve">DNV </w:t>
      </w:r>
      <w:r w:rsidRPr="00976BFF">
        <w:rPr>
          <w:lang w:val="es-ES_tradnl"/>
        </w:rPr>
        <w:t xml:space="preserve">y </w:t>
      </w:r>
      <w:r w:rsidR="004E557A" w:rsidRPr="00976BFF">
        <w:rPr>
          <w:lang w:val="es-ES_tradnl"/>
        </w:rPr>
        <w:t>CVU</w:t>
      </w:r>
      <w:r w:rsidR="00555245" w:rsidRPr="00976BFF">
        <w:rPr>
          <w:lang w:val="es-ES_tradnl"/>
        </w:rPr>
        <w:t xml:space="preserve">. </w:t>
      </w:r>
      <w:r w:rsidRPr="00976BFF">
        <w:rPr>
          <w:lang w:val="es-ES_tradnl"/>
        </w:rPr>
        <w:t xml:space="preserve">Según el perfil del </w:t>
      </w:r>
      <w:r w:rsidR="00650A31">
        <w:rPr>
          <w:lang w:val="es-ES_tradnl"/>
        </w:rPr>
        <w:t>programa</w:t>
      </w:r>
      <w:r w:rsidRPr="00976BFF">
        <w:rPr>
          <w:lang w:val="es-ES_tradnl"/>
        </w:rPr>
        <w:t xml:space="preserve">, el máximo valor contractual ascendería a unos </w:t>
      </w:r>
      <w:r w:rsidR="00650D2C" w:rsidRPr="00976BFF">
        <w:rPr>
          <w:lang w:val="es-ES_tradnl"/>
        </w:rPr>
        <w:t>US$15 millon</w:t>
      </w:r>
      <w:r w:rsidRPr="00976BFF">
        <w:rPr>
          <w:lang w:val="es-ES_tradnl"/>
        </w:rPr>
        <w:t xml:space="preserve">es para las obras de rehabilitación y mantenimiento vial. El </w:t>
      </w:r>
      <w:r w:rsidR="00650A31">
        <w:rPr>
          <w:lang w:val="es-ES_tradnl"/>
        </w:rPr>
        <w:t>programa</w:t>
      </w:r>
      <w:r w:rsidRPr="00976BFF">
        <w:rPr>
          <w:lang w:val="es-ES_tradnl"/>
        </w:rPr>
        <w:t xml:space="preserve"> también exigirá celebrar contratos para la adquisición de bienes</w:t>
      </w:r>
      <w:r w:rsidR="002A76E8" w:rsidRPr="00976BFF">
        <w:rPr>
          <w:lang w:val="es-ES_tradnl"/>
        </w:rPr>
        <w:t xml:space="preserve">, </w:t>
      </w:r>
      <w:r w:rsidR="002620C8">
        <w:rPr>
          <w:lang w:val="es-ES_tradnl"/>
        </w:rPr>
        <w:t>servicios de consultoría</w:t>
      </w:r>
      <w:r w:rsidR="002A76E8" w:rsidRPr="00976BFF">
        <w:rPr>
          <w:lang w:val="es-ES_tradnl"/>
        </w:rPr>
        <w:t xml:space="preserve"> y servicios no técnicos.</w:t>
      </w:r>
    </w:p>
    <w:p w:rsidR="0007594F" w:rsidRPr="00976BFF" w:rsidRDefault="004E557A" w:rsidP="00A22658">
      <w:pPr>
        <w:pStyle w:val="MainPara"/>
        <w:autoSpaceDE w:val="0"/>
        <w:rPr>
          <w:u w:val="single"/>
          <w:lang w:val="es-ES_tradnl"/>
        </w:rPr>
      </w:pPr>
      <w:r w:rsidRPr="00976BFF">
        <w:rPr>
          <w:lang w:val="es-ES_tradnl"/>
        </w:rPr>
        <w:t xml:space="preserve"> </w:t>
      </w:r>
      <w:r w:rsidR="002A76E8" w:rsidRPr="00976BFF">
        <w:rPr>
          <w:lang w:val="es-ES_tradnl"/>
        </w:rPr>
        <w:t xml:space="preserve">Los mecanismos fiduciarios del </w:t>
      </w:r>
      <w:r w:rsidR="00650A31">
        <w:rPr>
          <w:lang w:val="es-ES_tradnl"/>
        </w:rPr>
        <w:t>programa</w:t>
      </w:r>
      <w:r w:rsidR="002A76E8" w:rsidRPr="00976BFF">
        <w:rPr>
          <w:lang w:val="es-ES_tradnl"/>
        </w:rPr>
        <w:t xml:space="preserve"> para la operación propuesta </w:t>
      </w:r>
      <w:r w:rsidR="00543D6E" w:rsidRPr="00976BFF">
        <w:rPr>
          <w:lang w:val="es-ES_tradnl"/>
        </w:rPr>
        <w:t xml:space="preserve">se basarán en los sistemas fiduciarios ordinarios de Uruguay, que esencialmente se asientan en la Constitución del país y su </w:t>
      </w:r>
      <w:r w:rsidR="00473169" w:rsidRPr="00976BFF">
        <w:rPr>
          <w:lang w:val="es-ES_tradnl"/>
        </w:rPr>
        <w:t>Texto Ordenado de Contabilidad y Administración Financiera</w:t>
      </w:r>
      <w:r w:rsidR="00CC37FC" w:rsidRPr="00976BFF">
        <w:rPr>
          <w:lang w:val="es-ES_tradnl"/>
        </w:rPr>
        <w:t xml:space="preserve"> del Estado</w:t>
      </w:r>
      <w:r w:rsidR="00941292" w:rsidRPr="00976BFF">
        <w:rPr>
          <w:lang w:val="es-ES_tradnl"/>
        </w:rPr>
        <w:t xml:space="preserve"> (TOCAF)</w:t>
      </w:r>
      <w:r w:rsidR="00A22658" w:rsidRPr="00976BFF">
        <w:rPr>
          <w:rFonts w:ascii="ZWAdobeF" w:hAnsi="ZWAdobeF" w:cs="ZWAdobeF"/>
          <w:sz w:val="2"/>
          <w:szCs w:val="2"/>
          <w:lang w:val="es-ES_tradnl"/>
        </w:rPr>
        <w:t>2F</w:t>
      </w:r>
      <w:r w:rsidR="00941292" w:rsidRPr="00976BFF">
        <w:rPr>
          <w:rStyle w:val="FootnoteReference"/>
          <w:lang w:val="es-ES_tradnl"/>
        </w:rPr>
        <w:footnoteReference w:id="13"/>
      </w:r>
      <w:r w:rsidR="00543D6E" w:rsidRPr="00976BFF">
        <w:rPr>
          <w:lang w:val="es-ES_tradnl"/>
        </w:rPr>
        <w:t xml:space="preserve">. El 1 de junio de 2012 entró en vigor una nueva versión del </w:t>
      </w:r>
      <w:r w:rsidR="00231E13" w:rsidRPr="00976BFF">
        <w:rPr>
          <w:lang w:val="es-ES_tradnl"/>
        </w:rPr>
        <w:t>TOCAF (</w:t>
      </w:r>
      <w:r w:rsidR="008877A5">
        <w:rPr>
          <w:lang w:val="es-ES_tradnl"/>
        </w:rPr>
        <w:t>d</w:t>
      </w:r>
      <w:r w:rsidR="008877A5" w:rsidRPr="00976BFF">
        <w:rPr>
          <w:lang w:val="es-ES_tradnl"/>
        </w:rPr>
        <w:t xml:space="preserve">ecreto </w:t>
      </w:r>
      <w:r w:rsidR="00E33982">
        <w:rPr>
          <w:lang w:val="es-ES_tradnl"/>
        </w:rPr>
        <w:t>n.</w:t>
      </w:r>
      <w:r w:rsidR="00E33982" w:rsidRPr="00E33982">
        <w:rPr>
          <w:vertAlign w:val="superscript"/>
          <w:lang w:val="es-ES_tradnl"/>
        </w:rPr>
        <w:t>o</w:t>
      </w:r>
      <w:r w:rsidR="00E33982">
        <w:rPr>
          <w:lang w:val="es-ES_tradnl"/>
        </w:rPr>
        <w:t xml:space="preserve"> </w:t>
      </w:r>
      <w:r w:rsidR="00231E13" w:rsidRPr="00976BFF">
        <w:rPr>
          <w:lang w:val="es-ES_tradnl"/>
        </w:rPr>
        <w:t xml:space="preserve">150/12). </w:t>
      </w:r>
      <w:r w:rsidR="00210F43" w:rsidRPr="00976BFF">
        <w:rPr>
          <w:lang w:val="es-ES_tradnl"/>
        </w:rPr>
        <w:t xml:space="preserve">Dado que </w:t>
      </w:r>
      <w:r w:rsidR="003D5FEB" w:rsidRPr="00976BFF">
        <w:rPr>
          <w:lang w:val="es-ES_tradnl"/>
        </w:rPr>
        <w:t>CVU</w:t>
      </w:r>
      <w:r w:rsidR="00210F43" w:rsidRPr="00976BFF">
        <w:rPr>
          <w:lang w:val="es-ES_tradnl"/>
        </w:rPr>
        <w:t xml:space="preserve"> se rige por las reglamentaciones del derecho privado, no está obligada a ajustarse al </w:t>
      </w:r>
      <w:r w:rsidR="003D5FEB" w:rsidRPr="00976BFF">
        <w:rPr>
          <w:lang w:val="es-ES_tradnl"/>
        </w:rPr>
        <w:t>TOCAF</w:t>
      </w:r>
      <w:r w:rsidR="00E521B9" w:rsidRPr="00976BFF">
        <w:rPr>
          <w:lang w:val="es-ES_tradnl"/>
        </w:rPr>
        <w:t xml:space="preserve">; </w:t>
      </w:r>
      <w:r w:rsidR="00210F43" w:rsidRPr="00976BFF">
        <w:rPr>
          <w:lang w:val="es-ES_tradnl"/>
        </w:rPr>
        <w:t xml:space="preserve">sin embargo, en el contrato de concesión se establece que deben respetarse sus principios. </w:t>
      </w:r>
      <w:r w:rsidR="00FA7272" w:rsidRPr="00976BFF">
        <w:rPr>
          <w:lang w:val="es-ES_tradnl"/>
        </w:rPr>
        <w:t xml:space="preserve">Se prevé que las obras financiadas por el BID (unos 10 contratos por un valor aproximado de </w:t>
      </w:r>
      <w:r w:rsidR="00555245" w:rsidRPr="00976BFF">
        <w:rPr>
          <w:lang w:val="es-ES_tradnl"/>
        </w:rPr>
        <w:t>US$</w:t>
      </w:r>
      <w:r w:rsidR="00FA7272" w:rsidRPr="00976BFF">
        <w:rPr>
          <w:lang w:val="es-ES_tradnl"/>
        </w:rPr>
        <w:t>75 millones</w:t>
      </w:r>
      <w:r w:rsidR="00E36592" w:rsidRPr="00976BFF">
        <w:rPr>
          <w:rStyle w:val="FootnoteReference"/>
          <w:lang w:val="es-ES_tradnl"/>
        </w:rPr>
        <w:footnoteReference w:id="14"/>
      </w:r>
      <w:r w:rsidR="00555245" w:rsidRPr="00976BFF">
        <w:rPr>
          <w:lang w:val="es-ES_tradnl"/>
        </w:rPr>
        <w:t xml:space="preserve">) </w:t>
      </w:r>
      <w:r w:rsidR="00FA7272" w:rsidRPr="00976BFF">
        <w:rPr>
          <w:lang w:val="es-ES_tradnl"/>
        </w:rPr>
        <w:t xml:space="preserve">estarán sujetas a la política y las normas del BID en materia de adquisiciones, y se utilizarán los sistemas de Uruguay; </w:t>
      </w:r>
      <w:r w:rsidR="006957F2" w:rsidRPr="00976BFF">
        <w:rPr>
          <w:lang w:val="es-ES_tradnl"/>
        </w:rPr>
        <w:t xml:space="preserve">para </w:t>
      </w:r>
      <w:r w:rsidR="00FA7272" w:rsidRPr="00976BFF">
        <w:rPr>
          <w:lang w:val="es-ES_tradnl"/>
        </w:rPr>
        <w:t xml:space="preserve">los contratos financiados por el </w:t>
      </w:r>
      <w:r w:rsidR="001A09EB" w:rsidRPr="00976BFF">
        <w:rPr>
          <w:lang w:val="es-ES_tradnl"/>
        </w:rPr>
        <w:t>FONPLATA</w:t>
      </w:r>
      <w:r w:rsidR="00FA7272" w:rsidRPr="00976BFF">
        <w:rPr>
          <w:lang w:val="es-ES_tradnl"/>
        </w:rPr>
        <w:t xml:space="preserve"> (se adjudicarán unos 10 contratos por un valor aproximado de </w:t>
      </w:r>
      <w:r w:rsidR="00555245" w:rsidRPr="00976BFF">
        <w:rPr>
          <w:lang w:val="es-ES_tradnl"/>
        </w:rPr>
        <w:t>US$3</w:t>
      </w:r>
      <w:r w:rsidR="00FA7272" w:rsidRPr="00976BFF">
        <w:rPr>
          <w:lang w:val="es-ES_tradnl"/>
        </w:rPr>
        <w:t>5 millones</w:t>
      </w:r>
      <w:r w:rsidR="00664F49" w:rsidRPr="00976BFF">
        <w:rPr>
          <w:rStyle w:val="FootnoteReference"/>
          <w:lang w:val="es-ES_tradnl"/>
        </w:rPr>
        <w:footnoteReference w:id="15"/>
      </w:r>
      <w:r w:rsidR="00555245" w:rsidRPr="00976BFF">
        <w:rPr>
          <w:lang w:val="es-ES_tradnl"/>
        </w:rPr>
        <w:t xml:space="preserve">) </w:t>
      </w:r>
      <w:r w:rsidR="006957F2" w:rsidRPr="00976BFF">
        <w:rPr>
          <w:lang w:val="es-ES_tradnl"/>
        </w:rPr>
        <w:t xml:space="preserve">se </w:t>
      </w:r>
      <w:r w:rsidR="00DB7391" w:rsidRPr="00976BFF">
        <w:rPr>
          <w:lang w:val="es-ES_tradnl"/>
        </w:rPr>
        <w:t xml:space="preserve">utilizan los sistemas de adquisiciones ordinarios de </w:t>
      </w:r>
      <w:r w:rsidR="005F1515" w:rsidRPr="00976BFF">
        <w:rPr>
          <w:lang w:val="es-ES_tradnl"/>
        </w:rPr>
        <w:t>Uruguay</w:t>
      </w:r>
      <w:r w:rsidR="00DB7391" w:rsidRPr="00976BFF">
        <w:rPr>
          <w:lang w:val="es-ES_tradnl"/>
        </w:rPr>
        <w:t>,</w:t>
      </w:r>
      <w:r w:rsidR="006957F2" w:rsidRPr="00976BFF">
        <w:rPr>
          <w:lang w:val="es-ES_tradnl"/>
        </w:rPr>
        <w:t xml:space="preserve"> pero solo se adjudican contratos a empresas pertenecientes a países miembros del </w:t>
      </w:r>
      <w:r w:rsidR="005F1515" w:rsidRPr="00976BFF">
        <w:rPr>
          <w:lang w:val="es-ES_tradnl"/>
        </w:rPr>
        <w:t>FONPLATA</w:t>
      </w:r>
      <w:r w:rsidR="006957F2" w:rsidRPr="00976BFF">
        <w:rPr>
          <w:lang w:val="es-ES_tradnl"/>
        </w:rPr>
        <w:t xml:space="preserve">. Para las actividades financiadas por el BID y los contratos financiados por el </w:t>
      </w:r>
      <w:r w:rsidR="0017593F" w:rsidRPr="00976BFF">
        <w:rPr>
          <w:lang w:val="es-ES_tradnl"/>
        </w:rPr>
        <w:t>FONPLATA</w:t>
      </w:r>
      <w:r w:rsidR="006957F2" w:rsidRPr="00976BFF">
        <w:rPr>
          <w:lang w:val="es-ES_tradnl"/>
        </w:rPr>
        <w:t xml:space="preserve"> incluidos en el </w:t>
      </w:r>
      <w:r w:rsidR="00650A31">
        <w:rPr>
          <w:lang w:val="es-ES_tradnl"/>
        </w:rPr>
        <w:t>programa</w:t>
      </w:r>
      <w:r w:rsidR="006957F2" w:rsidRPr="00976BFF">
        <w:rPr>
          <w:lang w:val="es-ES_tradnl"/>
        </w:rPr>
        <w:t xml:space="preserve">, se aprovecharán totalmente los </w:t>
      </w:r>
      <w:r w:rsidR="005574C3" w:rsidRPr="00976BFF">
        <w:rPr>
          <w:lang w:val="es-ES_tradnl"/>
        </w:rPr>
        <w:t xml:space="preserve">mecanismos institucionales y los sistemas de gestión financiera del país. Se considera que estas características de los contratos financiados por el BID y el </w:t>
      </w:r>
      <w:r w:rsidR="00902C8E" w:rsidRPr="00976BFF">
        <w:rPr>
          <w:lang w:val="es-ES_tradnl"/>
        </w:rPr>
        <w:t>FONPLATA</w:t>
      </w:r>
      <w:r w:rsidR="005574C3" w:rsidRPr="00976BFF">
        <w:rPr>
          <w:lang w:val="es-ES_tradnl"/>
        </w:rPr>
        <w:t xml:space="preserve"> son compatibles con los requisitos de la </w:t>
      </w:r>
      <w:r w:rsidR="00902C8E" w:rsidRPr="00976BFF">
        <w:rPr>
          <w:lang w:val="es-ES_tradnl"/>
        </w:rPr>
        <w:t>OP 9.00</w:t>
      </w:r>
      <w:r w:rsidR="005574C3" w:rsidRPr="00976BFF">
        <w:rPr>
          <w:lang w:val="es-ES_tradnl"/>
        </w:rPr>
        <w:t xml:space="preserve">, conforme se describen en detalle en la sección </w:t>
      </w:r>
      <w:r w:rsidR="00902C8E" w:rsidRPr="00766354">
        <w:rPr>
          <w:lang w:val="es-ES_tradnl"/>
        </w:rPr>
        <w:t>IV</w:t>
      </w:r>
      <w:r w:rsidR="005574C3" w:rsidRPr="00766354">
        <w:rPr>
          <w:lang w:val="es-ES_tradnl"/>
        </w:rPr>
        <w:noBreakHyphen/>
      </w:r>
      <w:r w:rsidR="00902C8E" w:rsidRPr="00766354">
        <w:rPr>
          <w:lang w:val="es-ES_tradnl"/>
        </w:rPr>
        <w:t>B</w:t>
      </w:r>
      <w:r w:rsidR="005574C3" w:rsidRPr="00766354">
        <w:rPr>
          <w:lang w:val="es-ES_tradnl"/>
        </w:rPr>
        <w:t xml:space="preserve"> </w:t>
      </w:r>
      <w:r w:rsidR="00766354" w:rsidRPr="00766354">
        <w:rPr>
          <w:lang w:val="es-ES_tradnl"/>
        </w:rPr>
        <w:t>a continuación</w:t>
      </w:r>
      <w:r w:rsidR="00902C8E" w:rsidRPr="00766354">
        <w:rPr>
          <w:lang w:val="es-ES_tradnl"/>
        </w:rPr>
        <w:t xml:space="preserve">. </w:t>
      </w:r>
    </w:p>
    <w:p w:rsidR="006617EA" w:rsidRPr="00976BFF" w:rsidRDefault="005574C3" w:rsidP="00A22658">
      <w:pPr>
        <w:pStyle w:val="MainPara"/>
        <w:autoSpaceDE w:val="0"/>
        <w:rPr>
          <w:lang w:val="es-ES_tradnl"/>
        </w:rPr>
      </w:pPr>
      <w:r w:rsidRPr="00976BFF">
        <w:rPr>
          <w:lang w:val="es-ES_tradnl"/>
        </w:rPr>
        <w:t xml:space="preserve">Todos los contratos incluidos en el </w:t>
      </w:r>
      <w:r w:rsidR="00650A31">
        <w:rPr>
          <w:lang w:val="es-ES_tradnl"/>
        </w:rPr>
        <w:t>programa</w:t>
      </w:r>
      <w:r w:rsidRPr="00976BFF">
        <w:rPr>
          <w:lang w:val="es-ES_tradnl"/>
        </w:rPr>
        <w:t xml:space="preserve">, independientemente de la institución que los financie, </w:t>
      </w:r>
      <w:r w:rsidR="00784D81" w:rsidRPr="00976BFF">
        <w:rPr>
          <w:lang w:val="es-ES_tradnl"/>
        </w:rPr>
        <w:t xml:space="preserve">se ajustan a los sistemas nacionales de gestión financiera. En consonancia con los procesos vigentes que se utilizan para el presupuesto nacional, la </w:t>
      </w:r>
      <w:r w:rsidR="00873929" w:rsidRPr="00976BFF">
        <w:rPr>
          <w:lang w:val="es-ES_tradnl"/>
        </w:rPr>
        <w:t>Oficina de Planeamiento y Presupuesto</w:t>
      </w:r>
      <w:r w:rsidR="004B38CF" w:rsidRPr="00976BFF">
        <w:rPr>
          <w:lang w:val="es-ES_tradnl"/>
        </w:rPr>
        <w:t xml:space="preserve"> (OPP)</w:t>
      </w:r>
      <w:r w:rsidR="00873929" w:rsidRPr="00976BFF">
        <w:rPr>
          <w:lang w:val="es-ES_tradnl"/>
        </w:rPr>
        <w:t>,</w:t>
      </w:r>
      <w:r w:rsidR="00784D81" w:rsidRPr="00976BFF">
        <w:rPr>
          <w:lang w:val="es-ES_tradnl"/>
        </w:rPr>
        <w:t xml:space="preserve"> </w:t>
      </w:r>
      <w:r w:rsidR="003425F3" w:rsidRPr="00976BFF">
        <w:rPr>
          <w:lang w:val="es-ES_tradnl"/>
        </w:rPr>
        <w:t>dependiente de la Presidencia, y los diversos departamento del MEF</w:t>
      </w:r>
      <w:r w:rsidR="00316308" w:rsidRPr="00976BFF">
        <w:rPr>
          <w:rStyle w:val="FootnoteReference"/>
          <w:lang w:val="es-ES_tradnl"/>
        </w:rPr>
        <w:footnoteReference w:id="16"/>
      </w:r>
      <w:r w:rsidR="00316308" w:rsidRPr="00976BFF">
        <w:rPr>
          <w:lang w:val="es-ES_tradnl"/>
        </w:rPr>
        <w:t xml:space="preserve"> </w:t>
      </w:r>
      <w:r w:rsidR="003425F3" w:rsidRPr="00976BFF">
        <w:rPr>
          <w:lang w:val="es-ES_tradnl"/>
        </w:rPr>
        <w:t xml:space="preserve">ejecutan, controlan, registran y presentan informes sobre las transacciones presupuestarias y financieras relacionadas con los </w:t>
      </w:r>
      <w:r w:rsidR="006D44FB">
        <w:rPr>
          <w:lang w:val="es-ES_tradnl"/>
        </w:rPr>
        <w:t>programas</w:t>
      </w:r>
      <w:r w:rsidR="003425F3" w:rsidRPr="00976BFF">
        <w:rPr>
          <w:lang w:val="es-ES_tradnl"/>
        </w:rPr>
        <w:t xml:space="preserve"> del </w:t>
      </w:r>
      <w:r w:rsidR="00316308" w:rsidRPr="00976BFF">
        <w:rPr>
          <w:lang w:val="es-ES_tradnl"/>
        </w:rPr>
        <w:t>MTOP</w:t>
      </w:r>
      <w:r w:rsidR="003425F3" w:rsidRPr="00976BFF">
        <w:rPr>
          <w:lang w:val="es-ES_tradnl"/>
        </w:rPr>
        <w:t>, a través de los procedimientos, métodos e instrumentos existentes. Al final de cada año civil,</w:t>
      </w:r>
      <w:r w:rsidR="00120AB6" w:rsidRPr="00976BFF">
        <w:rPr>
          <w:lang w:val="es-ES_tradnl"/>
        </w:rPr>
        <w:t xml:space="preserve"> se lleva a cabo el proceso de </w:t>
      </w:r>
      <w:r w:rsidR="009914EF" w:rsidRPr="00976BFF">
        <w:rPr>
          <w:lang w:val="es-ES_tradnl"/>
        </w:rPr>
        <w:t>Rendición</w:t>
      </w:r>
      <w:r w:rsidR="00316308" w:rsidRPr="00976BFF">
        <w:rPr>
          <w:lang w:val="es-ES_tradnl"/>
        </w:rPr>
        <w:t xml:space="preserve"> de Cuentas</w:t>
      </w:r>
      <w:r w:rsidR="004B38CF" w:rsidRPr="00976BFF">
        <w:rPr>
          <w:lang w:val="es-ES_tradnl"/>
        </w:rPr>
        <w:t xml:space="preserve"> </w:t>
      </w:r>
      <w:r w:rsidR="00120AB6" w:rsidRPr="00976BFF">
        <w:rPr>
          <w:lang w:val="es-ES_tradnl"/>
        </w:rPr>
        <w:t xml:space="preserve">y Balance de Ejecución Presupuestal, en cuyo marco se hace un inventario de todos los gastos incurridos y se ajustan las asignaciones presupuestarias de la manera correspondiente. </w:t>
      </w:r>
      <w:r w:rsidR="00193B1A" w:rsidRPr="00976BFF">
        <w:rPr>
          <w:lang w:val="es-ES_tradnl"/>
        </w:rPr>
        <w:t>El Tribunal de Cuentas</w:t>
      </w:r>
      <w:r w:rsidR="00CF07C3">
        <w:rPr>
          <w:lang w:val="es-ES_tradnl"/>
        </w:rPr>
        <w:t xml:space="preserve"> de la República (TCR)</w:t>
      </w:r>
      <w:r w:rsidR="00193B1A" w:rsidRPr="00976BFF">
        <w:rPr>
          <w:lang w:val="es-ES_tradnl"/>
        </w:rPr>
        <w:t xml:space="preserve">, que también es la </w:t>
      </w:r>
      <w:r w:rsidR="00D54CA1">
        <w:rPr>
          <w:lang w:val="es-ES_tradnl"/>
        </w:rPr>
        <w:t>e</w:t>
      </w:r>
      <w:r w:rsidR="00D54CA1" w:rsidRPr="00976BFF">
        <w:rPr>
          <w:lang w:val="es-ES_tradnl"/>
        </w:rPr>
        <w:t xml:space="preserve">ntidad </w:t>
      </w:r>
      <w:r w:rsidR="00D54CA1">
        <w:rPr>
          <w:lang w:val="es-ES_tradnl"/>
        </w:rPr>
        <w:t>f</w:t>
      </w:r>
      <w:r w:rsidR="00D54CA1" w:rsidRPr="00976BFF">
        <w:rPr>
          <w:lang w:val="es-ES_tradnl"/>
        </w:rPr>
        <w:t xml:space="preserve">iscalizadora </w:t>
      </w:r>
      <w:r w:rsidR="00D54CA1">
        <w:rPr>
          <w:lang w:val="es-ES_tradnl"/>
        </w:rPr>
        <w:t>s</w:t>
      </w:r>
      <w:r w:rsidR="00D54CA1" w:rsidRPr="00976BFF">
        <w:rPr>
          <w:lang w:val="es-ES_tradnl"/>
        </w:rPr>
        <w:t>uperior</w:t>
      </w:r>
      <w:r w:rsidR="00D54CA1">
        <w:rPr>
          <w:lang w:val="es-ES_tradnl"/>
        </w:rPr>
        <w:t xml:space="preserve"> </w:t>
      </w:r>
      <w:r w:rsidR="002620C8">
        <w:rPr>
          <w:lang w:val="es-ES_tradnl"/>
        </w:rPr>
        <w:t>del país</w:t>
      </w:r>
      <w:r w:rsidR="00193B1A" w:rsidRPr="00976BFF">
        <w:rPr>
          <w:lang w:val="es-ES_tradnl"/>
        </w:rPr>
        <w:t xml:space="preserve">, es el responsable de la auditoría externa del </w:t>
      </w:r>
      <w:r w:rsidR="00650A31">
        <w:rPr>
          <w:lang w:val="es-ES_tradnl"/>
        </w:rPr>
        <w:t>programa</w:t>
      </w:r>
      <w:r w:rsidR="00193B1A" w:rsidRPr="00976BFF">
        <w:rPr>
          <w:lang w:val="es-ES_tradnl"/>
        </w:rPr>
        <w:t xml:space="preserve">. CVU lleva a cabo la gestión financiera en consonancia con las </w:t>
      </w:r>
      <w:r w:rsidR="00D54CA1">
        <w:rPr>
          <w:lang w:val="es-ES_tradnl"/>
        </w:rPr>
        <w:t>n</w:t>
      </w:r>
      <w:r w:rsidR="00D54CA1" w:rsidRPr="00976BFF">
        <w:rPr>
          <w:lang w:val="es-ES_tradnl"/>
        </w:rPr>
        <w:t xml:space="preserve">ormas </w:t>
      </w:r>
      <w:r w:rsidR="00D54CA1">
        <w:rPr>
          <w:lang w:val="es-ES_tradnl"/>
        </w:rPr>
        <w:t>i</w:t>
      </w:r>
      <w:r w:rsidR="00D54CA1" w:rsidRPr="00976BFF">
        <w:rPr>
          <w:lang w:val="es-ES_tradnl"/>
        </w:rPr>
        <w:t xml:space="preserve">nternacionales </w:t>
      </w:r>
      <w:r w:rsidR="00193B1A" w:rsidRPr="00976BFF">
        <w:rPr>
          <w:lang w:val="es-ES_tradnl"/>
        </w:rPr>
        <w:t xml:space="preserve">de </w:t>
      </w:r>
      <w:r w:rsidR="00D54CA1">
        <w:rPr>
          <w:lang w:val="es-ES_tradnl"/>
        </w:rPr>
        <w:t>i</w:t>
      </w:r>
      <w:r w:rsidR="00D54CA1" w:rsidRPr="00976BFF">
        <w:rPr>
          <w:lang w:val="es-ES_tradnl"/>
        </w:rPr>
        <w:t xml:space="preserve">nformación </w:t>
      </w:r>
      <w:r w:rsidR="00D54CA1">
        <w:rPr>
          <w:lang w:val="es-ES_tradnl"/>
        </w:rPr>
        <w:t>f</w:t>
      </w:r>
      <w:r w:rsidR="00D54CA1" w:rsidRPr="00976BFF">
        <w:rPr>
          <w:lang w:val="es-ES_tradnl"/>
        </w:rPr>
        <w:t xml:space="preserve">inanciera </w:t>
      </w:r>
      <w:r w:rsidR="00193B1A" w:rsidRPr="00976BFF">
        <w:rPr>
          <w:lang w:val="es-ES_tradnl"/>
        </w:rPr>
        <w:t>y está sujeta a la auditoría externa de una empresa privada de auditoría</w:t>
      </w:r>
      <w:r w:rsidR="006617EA" w:rsidRPr="00976BFF">
        <w:rPr>
          <w:lang w:val="es-ES_tradnl"/>
        </w:rPr>
        <w:t>.</w:t>
      </w:r>
    </w:p>
    <w:p w:rsidR="006617EA" w:rsidRPr="00976BFF" w:rsidRDefault="006711F6" w:rsidP="00625FD2">
      <w:pPr>
        <w:pStyle w:val="MainPara"/>
        <w:rPr>
          <w:lang w:val="es-ES_tradnl"/>
        </w:rPr>
      </w:pPr>
      <w:r w:rsidRPr="00976BFF">
        <w:rPr>
          <w:lang w:val="es-ES_tradnl"/>
        </w:rPr>
        <w:t xml:space="preserve">Los estados financieros del </w:t>
      </w:r>
      <w:r w:rsidR="00650A31">
        <w:rPr>
          <w:lang w:val="es-ES_tradnl"/>
        </w:rPr>
        <w:t>programa</w:t>
      </w:r>
      <w:r w:rsidRPr="00976BFF">
        <w:rPr>
          <w:lang w:val="es-ES_tradnl"/>
        </w:rPr>
        <w:t xml:space="preserve"> constarían principalmente del informe anual sobre la ejecución del presupuesto</w:t>
      </w:r>
      <w:r w:rsidR="00D54CA1">
        <w:rPr>
          <w:lang w:val="es-ES_tradnl"/>
        </w:rPr>
        <w:t xml:space="preserve">, </w:t>
      </w:r>
      <w:r w:rsidRPr="00976BFF">
        <w:rPr>
          <w:lang w:val="es-ES_tradnl"/>
        </w:rPr>
        <w:t xml:space="preserve">emitido por la </w:t>
      </w:r>
      <w:r w:rsidR="009914EF" w:rsidRPr="00976BFF">
        <w:rPr>
          <w:lang w:val="es-ES_tradnl"/>
        </w:rPr>
        <w:t>Contaduría</w:t>
      </w:r>
      <w:r w:rsidR="00A32A25" w:rsidRPr="00976BFF">
        <w:rPr>
          <w:lang w:val="es-ES_tradnl"/>
        </w:rPr>
        <w:t xml:space="preserve"> General de la </w:t>
      </w:r>
      <w:r w:rsidR="009914EF" w:rsidRPr="00976BFF">
        <w:rPr>
          <w:lang w:val="es-ES_tradnl"/>
        </w:rPr>
        <w:t>Nación</w:t>
      </w:r>
      <w:r w:rsidR="00F349F5" w:rsidRPr="00976BFF">
        <w:rPr>
          <w:lang w:val="es-ES_tradnl"/>
        </w:rPr>
        <w:t xml:space="preserve"> </w:t>
      </w:r>
      <w:r w:rsidR="00D54CA1">
        <w:rPr>
          <w:lang w:val="es-ES_tradnl"/>
        </w:rPr>
        <w:t>(</w:t>
      </w:r>
      <w:r w:rsidR="00F349F5" w:rsidRPr="00976BFF">
        <w:rPr>
          <w:lang w:val="es-ES_tradnl"/>
        </w:rPr>
        <w:t>CGN</w:t>
      </w:r>
      <w:r w:rsidR="00A32A25" w:rsidRPr="00976BFF">
        <w:rPr>
          <w:lang w:val="es-ES_tradnl"/>
        </w:rPr>
        <w:t>)</w:t>
      </w:r>
      <w:r w:rsidR="00D54CA1">
        <w:rPr>
          <w:lang w:val="es-ES_tradnl"/>
        </w:rPr>
        <w:t>,</w:t>
      </w:r>
      <w:r w:rsidR="00A32A25" w:rsidRPr="00976BFF">
        <w:rPr>
          <w:lang w:val="es-ES_tradnl"/>
        </w:rPr>
        <w:t xml:space="preserve"> </w:t>
      </w:r>
      <w:r w:rsidRPr="00976BFF">
        <w:rPr>
          <w:lang w:val="es-ES_tradnl"/>
        </w:rPr>
        <w:t xml:space="preserve">para el </w:t>
      </w:r>
      <w:r w:rsidR="00D54CA1">
        <w:rPr>
          <w:lang w:val="es-ES_tradnl"/>
        </w:rPr>
        <w:t>G</w:t>
      </w:r>
      <w:r w:rsidR="00D54CA1" w:rsidRPr="00976BFF">
        <w:rPr>
          <w:lang w:val="es-ES_tradnl"/>
        </w:rPr>
        <w:t xml:space="preserve">obierno </w:t>
      </w:r>
      <w:r w:rsidRPr="00976BFF">
        <w:rPr>
          <w:lang w:val="es-ES_tradnl"/>
        </w:rPr>
        <w:t xml:space="preserve">central en su conjunto (con una lista detallada de los </w:t>
      </w:r>
      <w:r w:rsidR="006D44FB">
        <w:rPr>
          <w:lang w:val="es-ES_tradnl"/>
        </w:rPr>
        <w:t>programas</w:t>
      </w:r>
      <w:r w:rsidRPr="00976BFF">
        <w:rPr>
          <w:lang w:val="es-ES_tradnl"/>
        </w:rPr>
        <w:t xml:space="preserve"> gestionados por el </w:t>
      </w:r>
      <w:r w:rsidR="006617EA" w:rsidRPr="00976BFF">
        <w:rPr>
          <w:lang w:val="es-ES_tradnl"/>
        </w:rPr>
        <w:t xml:space="preserve">MTOP), </w:t>
      </w:r>
      <w:r w:rsidRPr="00976BFF">
        <w:rPr>
          <w:lang w:val="es-ES_tradnl"/>
        </w:rPr>
        <w:t>que se debería presentar al Banco no más tarde del 30 de septiembre de cada año</w:t>
      </w:r>
      <w:r w:rsidR="006617EA" w:rsidRPr="00976BFF">
        <w:rPr>
          <w:lang w:val="es-ES_tradnl"/>
        </w:rPr>
        <w:t>.</w:t>
      </w:r>
    </w:p>
    <w:p w:rsidR="00A764A2" w:rsidRPr="00976BFF" w:rsidRDefault="006711F6">
      <w:pPr>
        <w:pStyle w:val="Heading3"/>
        <w:rPr>
          <w:lang w:val="es-ES_tradnl"/>
        </w:rPr>
      </w:pPr>
      <w:bookmarkStart w:id="18" w:name="_Toc344927158"/>
      <w:r w:rsidRPr="00976BFF">
        <w:rPr>
          <w:lang w:val="es-ES_tradnl"/>
        </w:rPr>
        <w:t xml:space="preserve">Gestión ambiental y social del </w:t>
      </w:r>
      <w:bookmarkEnd w:id="18"/>
      <w:r w:rsidR="00650A31">
        <w:rPr>
          <w:lang w:val="es-ES_tradnl"/>
        </w:rPr>
        <w:t>programa</w:t>
      </w:r>
    </w:p>
    <w:p w:rsidR="00A764A2" w:rsidRPr="00976BFF" w:rsidRDefault="006711F6" w:rsidP="00625FD2">
      <w:pPr>
        <w:pStyle w:val="MainPara"/>
        <w:rPr>
          <w:lang w:val="es-ES_tradnl"/>
        </w:rPr>
      </w:pPr>
      <w:r w:rsidRPr="00976BFF">
        <w:rPr>
          <w:lang w:val="es-ES_tradnl"/>
        </w:rPr>
        <w:t>La</w:t>
      </w:r>
      <w:r w:rsidR="00041355" w:rsidRPr="00976BFF">
        <w:rPr>
          <w:lang w:val="es-ES_tradnl"/>
        </w:rPr>
        <w:t xml:space="preserve"> </w:t>
      </w:r>
      <w:r w:rsidR="009C0703" w:rsidRPr="00976BFF">
        <w:rPr>
          <w:lang w:val="es-ES_tradnl"/>
        </w:rPr>
        <w:t>Unidad Ambiental de Vialidad</w:t>
      </w:r>
      <w:r w:rsidR="00FA6576" w:rsidRPr="00976BFF">
        <w:rPr>
          <w:lang w:val="es-ES_tradnl"/>
        </w:rPr>
        <w:t xml:space="preserve"> </w:t>
      </w:r>
      <w:r w:rsidR="00041355" w:rsidRPr="00976BFF">
        <w:rPr>
          <w:lang w:val="es-ES_tradnl"/>
        </w:rPr>
        <w:t>(</w:t>
      </w:r>
      <w:r w:rsidR="00FA6576" w:rsidRPr="00976BFF">
        <w:rPr>
          <w:lang w:val="es-ES_tradnl"/>
        </w:rPr>
        <w:t>UAV)</w:t>
      </w:r>
      <w:r w:rsidRPr="00976BFF">
        <w:rPr>
          <w:lang w:val="es-ES_tradnl"/>
        </w:rPr>
        <w:t xml:space="preserve"> de la DNV es </w:t>
      </w:r>
      <w:r w:rsidR="001739F3" w:rsidRPr="00976BFF">
        <w:rPr>
          <w:lang w:val="es-ES_tradnl"/>
        </w:rPr>
        <w:t xml:space="preserve">la principal unidad </w:t>
      </w:r>
      <w:r w:rsidR="008B65AF" w:rsidRPr="00976BFF">
        <w:rPr>
          <w:lang w:val="es-ES_tradnl"/>
        </w:rPr>
        <w:t xml:space="preserve">responsable en </w:t>
      </w:r>
      <w:r w:rsidR="001739F3" w:rsidRPr="00976BFF">
        <w:rPr>
          <w:lang w:val="es-ES_tradnl"/>
        </w:rPr>
        <w:t xml:space="preserve">el MTOP </w:t>
      </w:r>
      <w:r w:rsidR="005B4E8D" w:rsidRPr="00976BFF">
        <w:rPr>
          <w:lang w:val="es-ES_tradnl"/>
        </w:rPr>
        <w:t xml:space="preserve">de la gestión ambiental del </w:t>
      </w:r>
      <w:r w:rsidR="00650A31">
        <w:rPr>
          <w:lang w:val="es-ES_tradnl"/>
        </w:rPr>
        <w:t>programa</w:t>
      </w:r>
      <w:r w:rsidR="005B4E8D" w:rsidRPr="00976BFF">
        <w:rPr>
          <w:lang w:val="es-ES_tradnl"/>
        </w:rPr>
        <w:t xml:space="preserve">, tanto para los contratos de la DNV como para los de </w:t>
      </w:r>
      <w:r w:rsidR="007F508E" w:rsidRPr="00976BFF">
        <w:rPr>
          <w:lang w:val="es-ES_tradnl"/>
        </w:rPr>
        <w:t>CVU</w:t>
      </w:r>
      <w:r w:rsidR="00041355" w:rsidRPr="00976BFF">
        <w:rPr>
          <w:lang w:val="es-ES_tradnl"/>
        </w:rPr>
        <w:t xml:space="preserve">. </w:t>
      </w:r>
      <w:r w:rsidR="005B4E8D" w:rsidRPr="00976BFF">
        <w:rPr>
          <w:lang w:val="es-ES_tradnl"/>
        </w:rPr>
        <w:t xml:space="preserve">La gestión ambiental del </w:t>
      </w:r>
      <w:r w:rsidR="00650A31">
        <w:rPr>
          <w:lang w:val="es-ES_tradnl"/>
        </w:rPr>
        <w:t>programa</w:t>
      </w:r>
      <w:r w:rsidR="005B4E8D" w:rsidRPr="00976BFF">
        <w:rPr>
          <w:lang w:val="es-ES_tradnl"/>
        </w:rPr>
        <w:t xml:space="preserve"> se basa en el manual ambiental de la DNV (</w:t>
      </w:r>
      <w:r w:rsidR="008877A5">
        <w:rPr>
          <w:lang w:val="es-ES_tradnl"/>
        </w:rPr>
        <w:t>d</w:t>
      </w:r>
      <w:r w:rsidR="008877A5" w:rsidRPr="00976BFF">
        <w:rPr>
          <w:lang w:val="es-ES_tradnl"/>
        </w:rPr>
        <w:t xml:space="preserve">ecreto </w:t>
      </w:r>
      <w:r w:rsidR="00886027">
        <w:rPr>
          <w:lang w:val="es-ES_tradnl"/>
        </w:rPr>
        <w:t>n.</w:t>
      </w:r>
      <w:r w:rsidR="00886027" w:rsidRPr="00886027">
        <w:rPr>
          <w:vertAlign w:val="superscript"/>
          <w:lang w:val="es-ES_tradnl"/>
        </w:rPr>
        <w:t>o</w:t>
      </w:r>
      <w:r w:rsidR="00886027">
        <w:rPr>
          <w:lang w:val="es-ES_tradnl"/>
        </w:rPr>
        <w:t xml:space="preserve"> </w:t>
      </w:r>
      <w:r w:rsidR="004E552D" w:rsidRPr="00976BFF">
        <w:rPr>
          <w:lang w:val="es-ES_tradnl"/>
        </w:rPr>
        <w:t xml:space="preserve">176/003), </w:t>
      </w:r>
      <w:r w:rsidR="005B4E8D" w:rsidRPr="00976BFF">
        <w:rPr>
          <w:lang w:val="es-ES_tradnl"/>
        </w:rPr>
        <w:t>que incluye medidas y procedimientos para</w:t>
      </w:r>
      <w:r w:rsidR="002620C8">
        <w:rPr>
          <w:lang w:val="es-ES_tradnl"/>
        </w:rPr>
        <w:t xml:space="preserve"> prevenir y</w:t>
      </w:r>
      <w:r w:rsidR="005B4E8D" w:rsidRPr="00976BFF">
        <w:rPr>
          <w:lang w:val="es-ES_tradnl"/>
        </w:rPr>
        <w:t xml:space="preserve"> reducir el impacto negativo de las obras viales; </w:t>
      </w:r>
      <w:r w:rsidR="004E552D" w:rsidRPr="00976BFF">
        <w:rPr>
          <w:lang w:val="es-ES_tradnl"/>
        </w:rPr>
        <w:t xml:space="preserve">CVU </w:t>
      </w:r>
      <w:r w:rsidR="005B4E8D" w:rsidRPr="00976BFF">
        <w:rPr>
          <w:lang w:val="es-ES_tradnl"/>
        </w:rPr>
        <w:t xml:space="preserve">tiene su propio manual, basado en el manual ambiental de la </w:t>
      </w:r>
      <w:r w:rsidR="004E552D" w:rsidRPr="00976BFF">
        <w:rPr>
          <w:lang w:val="es-ES_tradnl"/>
        </w:rPr>
        <w:t>DNV</w:t>
      </w:r>
      <w:r w:rsidR="005B4E8D" w:rsidRPr="00976BFF">
        <w:rPr>
          <w:lang w:val="es-ES_tradnl"/>
        </w:rPr>
        <w:t xml:space="preserve"> y en las normas </w:t>
      </w:r>
      <w:r w:rsidR="004E552D" w:rsidRPr="00976BFF">
        <w:rPr>
          <w:lang w:val="es-ES_tradnl"/>
        </w:rPr>
        <w:t xml:space="preserve">ISO. </w:t>
      </w:r>
      <w:r w:rsidR="005B4E8D" w:rsidRPr="00976BFF">
        <w:rPr>
          <w:lang w:val="es-ES_tradnl"/>
        </w:rPr>
        <w:t xml:space="preserve">La gestión ambiental incluye principalmente la preparación de la documentación ambiental y el análisis y seguimiento de la supervisión ambiental y, en el caso de CVU, auditorías ambientales periódicas. </w:t>
      </w:r>
      <w:r w:rsidR="008B65AF" w:rsidRPr="00976BFF">
        <w:rPr>
          <w:lang w:val="es-ES_tradnl"/>
        </w:rPr>
        <w:t xml:space="preserve">La supervisión ambiental </w:t>
      </w:r>
      <w:r w:rsidR="008B65AF" w:rsidRPr="00976BFF">
        <w:rPr>
          <w:i/>
          <w:lang w:val="es-ES_tradnl"/>
        </w:rPr>
        <w:t>in situ</w:t>
      </w:r>
      <w:r w:rsidR="008B65AF" w:rsidRPr="00976BFF">
        <w:rPr>
          <w:lang w:val="es-ES_tradnl"/>
        </w:rPr>
        <w:t xml:space="preserve"> es responsabilidad de los ingenieros viales de la DNV </w:t>
      </w:r>
      <w:r w:rsidR="00E25A03" w:rsidRPr="00423929">
        <w:rPr>
          <w:lang w:val="es-ES_tradnl"/>
        </w:rPr>
        <w:t>(</w:t>
      </w:r>
      <w:r w:rsidR="00886027" w:rsidRPr="000B5989">
        <w:rPr>
          <w:lang w:val="es-ES_tradnl"/>
        </w:rPr>
        <w:t>d</w:t>
      </w:r>
      <w:r w:rsidR="009C0703" w:rsidRPr="000B5989">
        <w:rPr>
          <w:lang w:val="es-ES_tradnl"/>
        </w:rPr>
        <w:t xml:space="preserve">irectores de </w:t>
      </w:r>
      <w:r w:rsidR="00886027" w:rsidRPr="000B5989">
        <w:rPr>
          <w:lang w:val="es-ES_tradnl"/>
        </w:rPr>
        <w:t>o</w:t>
      </w:r>
      <w:r w:rsidR="009C0703" w:rsidRPr="000B5989">
        <w:rPr>
          <w:lang w:val="es-ES_tradnl"/>
        </w:rPr>
        <w:t>bra</w:t>
      </w:r>
      <w:r w:rsidR="00E25A03" w:rsidRPr="00423929">
        <w:rPr>
          <w:lang w:val="es-ES_tradnl"/>
        </w:rPr>
        <w:t>)</w:t>
      </w:r>
      <w:r w:rsidR="00E25A03" w:rsidRPr="00976BFF">
        <w:rPr>
          <w:lang w:val="es-ES_tradnl"/>
        </w:rPr>
        <w:t xml:space="preserve">, </w:t>
      </w:r>
      <w:r w:rsidR="008B65AF" w:rsidRPr="00976BFF">
        <w:rPr>
          <w:lang w:val="es-ES_tradnl"/>
        </w:rPr>
        <w:t xml:space="preserve">tanto de la </w:t>
      </w:r>
      <w:r w:rsidR="002620C8">
        <w:rPr>
          <w:lang w:val="es-ES_tradnl"/>
        </w:rPr>
        <w:t>Gerencia</w:t>
      </w:r>
      <w:r w:rsidR="008B65AF" w:rsidRPr="00976BFF">
        <w:rPr>
          <w:lang w:val="es-ES_tradnl"/>
        </w:rPr>
        <w:t xml:space="preserve"> de </w:t>
      </w:r>
      <w:r w:rsidR="002620C8">
        <w:rPr>
          <w:lang w:val="es-ES_tradnl"/>
        </w:rPr>
        <w:t>Construcciones</w:t>
      </w:r>
      <w:r w:rsidR="008B65AF" w:rsidRPr="00976BFF">
        <w:rPr>
          <w:lang w:val="es-ES_tradnl"/>
        </w:rPr>
        <w:t xml:space="preserve"> como de las </w:t>
      </w:r>
      <w:r w:rsidR="002620C8">
        <w:rPr>
          <w:lang w:val="es-ES_tradnl"/>
        </w:rPr>
        <w:t>gerencias</w:t>
      </w:r>
      <w:r w:rsidR="008B65AF" w:rsidRPr="00976BFF">
        <w:rPr>
          <w:lang w:val="es-ES_tradnl"/>
        </w:rPr>
        <w:t xml:space="preserve"> regionales. Los directores de obra se mantienen en comunicación y coordinan las actividades con la </w:t>
      </w:r>
      <w:r w:rsidR="00423929">
        <w:rPr>
          <w:lang w:val="es-ES_tradnl"/>
        </w:rPr>
        <w:t>UAV</w:t>
      </w:r>
      <w:r w:rsidR="008B65AF" w:rsidRPr="00976BFF">
        <w:rPr>
          <w:lang w:val="es-ES_tradnl"/>
        </w:rPr>
        <w:t xml:space="preserve">. </w:t>
      </w:r>
      <w:r w:rsidR="00423929">
        <w:rPr>
          <w:lang w:val="es-ES_tradnl"/>
        </w:rPr>
        <w:t>Esta</w:t>
      </w:r>
      <w:r w:rsidR="00423929" w:rsidRPr="00976BFF">
        <w:rPr>
          <w:lang w:val="es-ES_tradnl"/>
        </w:rPr>
        <w:t xml:space="preserve"> </w:t>
      </w:r>
      <w:r w:rsidR="008B65AF" w:rsidRPr="00976BFF">
        <w:rPr>
          <w:lang w:val="es-ES_tradnl"/>
        </w:rPr>
        <w:t xml:space="preserve">proporciona a la </w:t>
      </w:r>
      <w:r w:rsidR="008519F7" w:rsidRPr="00976BFF">
        <w:rPr>
          <w:lang w:val="es-ES_tradnl"/>
        </w:rPr>
        <w:t xml:space="preserve">Dirección Nacional de Medio Ambiente </w:t>
      </w:r>
      <w:r w:rsidR="008519F7">
        <w:rPr>
          <w:lang w:val="es-ES_tradnl"/>
        </w:rPr>
        <w:t>(</w:t>
      </w:r>
      <w:r w:rsidR="00337AF1" w:rsidRPr="00976BFF">
        <w:rPr>
          <w:lang w:val="es-ES_tradnl"/>
        </w:rPr>
        <w:t>DINAMA</w:t>
      </w:r>
      <w:r w:rsidR="008519F7">
        <w:rPr>
          <w:lang w:val="es-ES_tradnl"/>
        </w:rPr>
        <w:t>)</w:t>
      </w:r>
      <w:r w:rsidR="00337AF1" w:rsidRPr="00976BFF">
        <w:rPr>
          <w:lang w:val="es-ES_tradnl"/>
        </w:rPr>
        <w:t xml:space="preserve"> </w:t>
      </w:r>
      <w:r w:rsidR="008B65AF" w:rsidRPr="00976BFF">
        <w:rPr>
          <w:lang w:val="es-ES_tradnl"/>
        </w:rPr>
        <w:t>información sobre los proyectos viales propuestos y es responsable del seguimiento de los informes ambientales de los contratistas. Un técnico de la UAV especializado en higiene y seguridad realiza</w:t>
      </w:r>
      <w:r w:rsidR="009362B0" w:rsidRPr="00976BFF">
        <w:rPr>
          <w:lang w:val="es-ES_tradnl"/>
        </w:rPr>
        <w:t>,</w:t>
      </w:r>
      <w:r w:rsidR="008B65AF" w:rsidRPr="00976BFF">
        <w:rPr>
          <w:lang w:val="es-ES_tradnl"/>
        </w:rPr>
        <w:t xml:space="preserve"> </w:t>
      </w:r>
      <w:r w:rsidR="009362B0" w:rsidRPr="00976BFF">
        <w:rPr>
          <w:lang w:val="es-ES_tradnl"/>
        </w:rPr>
        <w:t>en forma periódica, visitas de supervisión a las obras y presenta informes al Ministerio de Trabajo</w:t>
      </w:r>
      <w:r w:rsidR="00FA6576" w:rsidRPr="00976BFF">
        <w:rPr>
          <w:lang w:val="es-ES_tradnl"/>
        </w:rPr>
        <w:t>.</w:t>
      </w:r>
    </w:p>
    <w:p w:rsidR="00A764A2" w:rsidRPr="00976BFF" w:rsidRDefault="009362B0" w:rsidP="00625FD2">
      <w:pPr>
        <w:pStyle w:val="MainPara"/>
        <w:rPr>
          <w:lang w:val="es-ES_tradnl"/>
        </w:rPr>
      </w:pPr>
      <w:r w:rsidRPr="00976BFF">
        <w:rPr>
          <w:lang w:val="es-ES_tradnl"/>
        </w:rPr>
        <w:t>La</w:t>
      </w:r>
      <w:r w:rsidR="00486DB5" w:rsidRPr="00976BFF">
        <w:rPr>
          <w:lang w:val="es-ES_tradnl"/>
        </w:rPr>
        <w:t xml:space="preserve"> </w:t>
      </w:r>
      <w:r w:rsidR="00FA6576" w:rsidRPr="00976BFF">
        <w:rPr>
          <w:lang w:val="es-ES_tradnl"/>
        </w:rPr>
        <w:t xml:space="preserve">DNTop </w:t>
      </w:r>
      <w:r w:rsidRPr="00976BFF">
        <w:rPr>
          <w:lang w:val="es-ES_tradnl"/>
        </w:rPr>
        <w:t xml:space="preserve">y su </w:t>
      </w:r>
      <w:r w:rsidR="00A65656">
        <w:rPr>
          <w:lang w:val="es-ES_tradnl"/>
        </w:rPr>
        <w:t>u</w:t>
      </w:r>
      <w:r w:rsidR="00A65656" w:rsidRPr="00976BFF">
        <w:rPr>
          <w:lang w:val="es-ES_tradnl"/>
        </w:rPr>
        <w:t xml:space="preserve">nidad </w:t>
      </w:r>
      <w:r w:rsidR="00A65656">
        <w:rPr>
          <w:lang w:val="es-ES_tradnl"/>
        </w:rPr>
        <w:t>s</w:t>
      </w:r>
      <w:r w:rsidR="00A65656" w:rsidRPr="00976BFF">
        <w:rPr>
          <w:lang w:val="es-ES_tradnl"/>
        </w:rPr>
        <w:t xml:space="preserve">ocial </w:t>
      </w:r>
      <w:r w:rsidRPr="00976BFF">
        <w:rPr>
          <w:lang w:val="es-ES_tradnl"/>
        </w:rPr>
        <w:t xml:space="preserve">tienen la responsabilidad de abordar los potenciales impactos negativos de la adquisición de las </w:t>
      </w:r>
      <w:r w:rsidRPr="00766354">
        <w:rPr>
          <w:lang w:val="es-ES_tradnl"/>
        </w:rPr>
        <w:t>servidumbres de paso</w:t>
      </w:r>
      <w:r w:rsidRPr="00976BFF">
        <w:rPr>
          <w:lang w:val="es-ES_tradnl"/>
        </w:rPr>
        <w:t xml:space="preserve"> necesarias para las actividades del </w:t>
      </w:r>
      <w:r w:rsidR="00650A31">
        <w:rPr>
          <w:lang w:val="es-ES_tradnl"/>
        </w:rPr>
        <w:t>programa</w:t>
      </w:r>
      <w:r w:rsidRPr="00976BFF">
        <w:rPr>
          <w:lang w:val="es-ES_tradnl"/>
        </w:rPr>
        <w:t xml:space="preserve">. </w:t>
      </w:r>
      <w:r w:rsidR="00003351" w:rsidRPr="00976BFF">
        <w:rPr>
          <w:lang w:val="es-ES_tradnl"/>
        </w:rPr>
        <w:t xml:space="preserve">Por lo general, para las actividades de mantenimiento y rehabilitación vial del </w:t>
      </w:r>
      <w:r w:rsidR="00650A31">
        <w:rPr>
          <w:lang w:val="es-ES_tradnl"/>
        </w:rPr>
        <w:t>programa</w:t>
      </w:r>
      <w:r w:rsidR="00003351" w:rsidRPr="00976BFF">
        <w:rPr>
          <w:lang w:val="es-ES_tradnl"/>
        </w:rPr>
        <w:t xml:space="preserve"> no es preciso adquirir terrenos y se prevén muy pocos impactos sociales. Toda adquisición de terrenos en el marco del </w:t>
      </w:r>
      <w:r w:rsidR="00650A31">
        <w:rPr>
          <w:lang w:val="es-ES_tradnl"/>
        </w:rPr>
        <w:t>programa</w:t>
      </w:r>
      <w:r w:rsidR="00003351" w:rsidRPr="00976BFF">
        <w:rPr>
          <w:lang w:val="es-ES_tradnl"/>
        </w:rPr>
        <w:t xml:space="preserve"> se llevaría a cabo de conformidad con las disposiciones de la Ley de Expropiación de Bienes Raíces (</w:t>
      </w:r>
      <w:r w:rsidR="008877A5">
        <w:rPr>
          <w:lang w:val="es-ES_tradnl"/>
        </w:rPr>
        <w:t>l</w:t>
      </w:r>
      <w:r w:rsidR="008877A5" w:rsidRPr="00976BFF">
        <w:rPr>
          <w:lang w:val="es-ES_tradnl"/>
        </w:rPr>
        <w:t xml:space="preserve">ey </w:t>
      </w:r>
      <w:r w:rsidR="00FA6576" w:rsidRPr="00976BFF">
        <w:rPr>
          <w:lang w:val="es-ES_tradnl"/>
        </w:rPr>
        <w:t xml:space="preserve">3958 </w:t>
      </w:r>
      <w:r w:rsidR="00003351" w:rsidRPr="00976BFF">
        <w:rPr>
          <w:lang w:val="es-ES_tradnl"/>
        </w:rPr>
        <w:t>del</w:t>
      </w:r>
      <w:r w:rsidR="00FA6576" w:rsidRPr="00976BFF">
        <w:rPr>
          <w:lang w:val="es-ES_tradnl"/>
        </w:rPr>
        <w:t xml:space="preserve"> 28</w:t>
      </w:r>
      <w:r w:rsidR="00003351" w:rsidRPr="00976BFF">
        <w:rPr>
          <w:lang w:val="es-ES_tradnl"/>
        </w:rPr>
        <w:t xml:space="preserve"> de marzo de</w:t>
      </w:r>
      <w:r w:rsidR="00FA6576" w:rsidRPr="00976BFF">
        <w:rPr>
          <w:lang w:val="es-ES_tradnl"/>
        </w:rPr>
        <w:t xml:space="preserve"> 1912, </w:t>
      </w:r>
      <w:r w:rsidR="00003351" w:rsidRPr="00976BFF">
        <w:rPr>
          <w:lang w:val="es-ES_tradnl"/>
        </w:rPr>
        <w:t>y sus modificaciones posteriores</w:t>
      </w:r>
      <w:r w:rsidR="00FA6576" w:rsidRPr="00976BFF">
        <w:rPr>
          <w:lang w:val="es-ES_tradnl"/>
        </w:rPr>
        <w:t>).</w:t>
      </w:r>
      <w:r w:rsidR="005E0E3D" w:rsidRPr="00976BFF">
        <w:rPr>
          <w:lang w:val="es-ES_tradnl"/>
        </w:rPr>
        <w:t xml:space="preserve"> </w:t>
      </w:r>
      <w:r w:rsidR="0013247C" w:rsidRPr="00976BFF">
        <w:rPr>
          <w:lang w:val="es-ES_tradnl"/>
        </w:rPr>
        <w:t xml:space="preserve">Los mecanismos de gestión social son idénticos para los contratos de la </w:t>
      </w:r>
      <w:r w:rsidR="005E0E3D" w:rsidRPr="00976BFF">
        <w:rPr>
          <w:lang w:val="es-ES_tradnl"/>
        </w:rPr>
        <w:t xml:space="preserve">DNV </w:t>
      </w:r>
      <w:r w:rsidR="0013247C" w:rsidRPr="00976BFF">
        <w:rPr>
          <w:lang w:val="es-ES_tradnl"/>
        </w:rPr>
        <w:t xml:space="preserve">y </w:t>
      </w:r>
      <w:r w:rsidR="005E0E3D" w:rsidRPr="00976BFF">
        <w:rPr>
          <w:lang w:val="es-ES_tradnl"/>
        </w:rPr>
        <w:t xml:space="preserve">CVU. </w:t>
      </w:r>
    </w:p>
    <w:p w:rsidR="00A764A2" w:rsidRPr="00976BFF" w:rsidRDefault="001415F3" w:rsidP="00625FD2">
      <w:pPr>
        <w:pStyle w:val="MainPara"/>
        <w:rPr>
          <w:lang w:val="es-ES_tradnl"/>
        </w:rPr>
      </w:pPr>
      <w:r w:rsidRPr="00976BFF">
        <w:rPr>
          <w:lang w:val="es-ES_tradnl"/>
        </w:rPr>
        <w:t xml:space="preserve">Los contratos financiados por el </w:t>
      </w:r>
      <w:r w:rsidR="001077E7" w:rsidRPr="00976BFF">
        <w:rPr>
          <w:lang w:val="es-ES_tradnl"/>
        </w:rPr>
        <w:t>FONPLATA</w:t>
      </w:r>
      <w:r w:rsidRPr="00976BFF">
        <w:rPr>
          <w:lang w:val="es-ES_tradnl"/>
        </w:rPr>
        <w:t xml:space="preserve"> en el marco del </w:t>
      </w:r>
      <w:r w:rsidR="00650A31">
        <w:rPr>
          <w:lang w:val="es-ES_tradnl"/>
        </w:rPr>
        <w:t>programa</w:t>
      </w:r>
      <w:r w:rsidRPr="00976BFF">
        <w:rPr>
          <w:lang w:val="es-ES_tradnl"/>
        </w:rPr>
        <w:t xml:space="preserve"> se implementarán con los mismos instrumentos y sistemas de salvaguarda ambiental y social que se describen </w:t>
      </w:r>
      <w:r w:rsidR="00766354" w:rsidRPr="00766354">
        <w:rPr>
          <w:lang w:val="es-ES_tradnl"/>
        </w:rPr>
        <w:t>anteriormente</w:t>
      </w:r>
      <w:r w:rsidRPr="00766354">
        <w:rPr>
          <w:lang w:val="es-ES_tradnl"/>
        </w:rPr>
        <w:t>.</w:t>
      </w:r>
      <w:r w:rsidRPr="00976BFF">
        <w:rPr>
          <w:lang w:val="es-ES_tradnl"/>
        </w:rPr>
        <w:t xml:space="preserve"> En el caso de los contratos financiados por el BID incluidos en el </w:t>
      </w:r>
      <w:r w:rsidR="00650A31">
        <w:rPr>
          <w:lang w:val="es-ES_tradnl"/>
        </w:rPr>
        <w:t>programa</w:t>
      </w:r>
      <w:r w:rsidRPr="00976BFF">
        <w:rPr>
          <w:lang w:val="es-ES_tradnl"/>
        </w:rPr>
        <w:t>, las políticas de</w:t>
      </w:r>
      <w:r w:rsidR="002F68C7" w:rsidRPr="00976BFF">
        <w:rPr>
          <w:lang w:val="es-ES_tradnl"/>
        </w:rPr>
        <w:t xml:space="preserve">l BID en materia de financiamiento exigen la preparación de un instrumento de salvaguarda específico para el préstamo; este instrumento concuerda básicamente con el manual ambiental de la DNV y con los procedimientos y requisitos establecidos a nivel nacional. En lo referente a la gestión de las </w:t>
      </w:r>
      <w:r w:rsidR="002F68C7" w:rsidRPr="00766354">
        <w:rPr>
          <w:lang w:val="es-ES_tradnl"/>
        </w:rPr>
        <w:t>servidumbres de paso,</w:t>
      </w:r>
      <w:r w:rsidR="002F68C7" w:rsidRPr="00976BFF">
        <w:rPr>
          <w:lang w:val="es-ES_tradnl"/>
        </w:rPr>
        <w:t xml:space="preserve"> se aplicarían los sistemas del </w:t>
      </w:r>
      <w:r w:rsidR="00650A31">
        <w:rPr>
          <w:lang w:val="es-ES_tradnl"/>
        </w:rPr>
        <w:t>programa</w:t>
      </w:r>
      <w:r w:rsidR="002F68C7" w:rsidRPr="00976BFF">
        <w:rPr>
          <w:lang w:val="es-ES_tradnl"/>
        </w:rPr>
        <w:t xml:space="preserve"> y si fuese necesario un reasentamiento involuntario en el caso de obras financiadas por el BID, se aplicaría la </w:t>
      </w:r>
      <w:r w:rsidR="003025B8" w:rsidRPr="00976BFF">
        <w:rPr>
          <w:lang w:val="es-ES_tradnl"/>
        </w:rPr>
        <w:t>OP 710 (</w:t>
      </w:r>
      <w:r w:rsidR="0011695E">
        <w:rPr>
          <w:lang w:val="es-ES_tradnl"/>
        </w:rPr>
        <w:t>r</w:t>
      </w:r>
      <w:r w:rsidR="0011695E" w:rsidRPr="00976BFF">
        <w:rPr>
          <w:lang w:val="es-ES_tradnl"/>
        </w:rPr>
        <w:t xml:space="preserve">easentamiento </w:t>
      </w:r>
      <w:r w:rsidR="0011695E">
        <w:rPr>
          <w:lang w:val="es-ES_tradnl"/>
        </w:rPr>
        <w:t>i</w:t>
      </w:r>
      <w:r w:rsidR="0011695E" w:rsidRPr="00976BFF">
        <w:rPr>
          <w:lang w:val="es-ES_tradnl"/>
        </w:rPr>
        <w:t>nvoluntario</w:t>
      </w:r>
      <w:r w:rsidR="003025B8" w:rsidRPr="00976BFF">
        <w:rPr>
          <w:lang w:val="es-ES_tradnl"/>
        </w:rPr>
        <w:t>)</w:t>
      </w:r>
      <w:r w:rsidR="002F68C7" w:rsidRPr="00976BFF">
        <w:rPr>
          <w:lang w:val="es-ES_tradnl"/>
        </w:rPr>
        <w:t xml:space="preserve"> del BID</w:t>
      </w:r>
      <w:r w:rsidR="003025B8" w:rsidRPr="00976BFF">
        <w:rPr>
          <w:lang w:val="es-ES_tradnl"/>
        </w:rPr>
        <w:t xml:space="preserve">. </w:t>
      </w:r>
    </w:p>
    <w:p w:rsidR="00BE28DC" w:rsidRPr="00976BFF" w:rsidRDefault="00BE28DC" w:rsidP="00BE28DC">
      <w:pPr>
        <w:rPr>
          <w:lang w:val="es-ES_tradnl"/>
        </w:rPr>
      </w:pPr>
    </w:p>
    <w:p w:rsidR="00CF417C" w:rsidRPr="00976BFF" w:rsidRDefault="002F68C7" w:rsidP="006068D8">
      <w:pPr>
        <w:pStyle w:val="Heading2"/>
        <w:rPr>
          <w:lang w:val="es-ES_tradnl"/>
        </w:rPr>
      </w:pPr>
      <w:bookmarkStart w:id="19" w:name="_Toc344927159"/>
      <w:r w:rsidRPr="00976BFF">
        <w:rPr>
          <w:lang w:val="es-ES_tradnl"/>
        </w:rPr>
        <w:t>Seguimiento y evaluación de los resultados</w:t>
      </w:r>
      <w:bookmarkEnd w:id="19"/>
    </w:p>
    <w:p w:rsidR="00A764A2" w:rsidRPr="00976BFF" w:rsidRDefault="008739E6" w:rsidP="00625FD2">
      <w:pPr>
        <w:pStyle w:val="MainPara"/>
        <w:rPr>
          <w:lang w:val="es-ES_tradnl"/>
        </w:rPr>
      </w:pPr>
      <w:r w:rsidRPr="00976BFF">
        <w:rPr>
          <w:lang w:val="es-ES_tradnl"/>
        </w:rPr>
        <w:t xml:space="preserve">Sobre la base de los mecanismos existentes, el marco de seguimiento y evaluación del </w:t>
      </w:r>
      <w:r w:rsidR="00650A31">
        <w:rPr>
          <w:lang w:val="es-ES_tradnl"/>
        </w:rPr>
        <w:t>programa</w:t>
      </w:r>
      <w:r w:rsidRPr="00976BFF">
        <w:rPr>
          <w:lang w:val="es-ES_tradnl"/>
        </w:rPr>
        <w:t xml:space="preserve"> es sólido y se considera adecuado para supervisar los avances y el logro de los indicadores del </w:t>
      </w:r>
      <w:r w:rsidR="00650A31">
        <w:rPr>
          <w:lang w:val="es-ES_tradnl"/>
        </w:rPr>
        <w:t>programa</w:t>
      </w:r>
      <w:r w:rsidRPr="00976BFF">
        <w:rPr>
          <w:lang w:val="es-ES_tradnl"/>
        </w:rPr>
        <w:t xml:space="preserve"> y los IVD. Principalmente, consta de tres procesos.</w:t>
      </w:r>
    </w:p>
    <w:p w:rsidR="0007594F" w:rsidRPr="00976BFF" w:rsidRDefault="008739E6" w:rsidP="00625FD2">
      <w:pPr>
        <w:pStyle w:val="MainPara"/>
        <w:rPr>
          <w:lang w:val="es-ES_tradnl"/>
        </w:rPr>
      </w:pPr>
      <w:r w:rsidRPr="00976BFF">
        <w:rPr>
          <w:lang w:val="es-ES_tradnl"/>
        </w:rPr>
        <w:t xml:space="preserve">Primero, dentro del marco de seguimiento y evaluación de la Ley de Presupuesto, el MTOP prepara un informe anual sobre la ejecución del presupuesto </w:t>
      </w:r>
      <w:r w:rsidR="00E77ADD" w:rsidRPr="00976BFF">
        <w:rPr>
          <w:lang w:val="es-ES_tradnl"/>
        </w:rPr>
        <w:t>(</w:t>
      </w:r>
      <w:r w:rsidR="00CC0BE9">
        <w:rPr>
          <w:lang w:val="es-ES_tradnl"/>
        </w:rPr>
        <w:t>“R</w:t>
      </w:r>
      <w:r w:rsidR="00CC0BE9" w:rsidRPr="000B5989">
        <w:rPr>
          <w:lang w:val="es-ES_tradnl"/>
        </w:rPr>
        <w:t xml:space="preserve">endición </w:t>
      </w:r>
      <w:r w:rsidR="00FD55AF" w:rsidRPr="000B5989">
        <w:rPr>
          <w:lang w:val="es-ES_tradnl"/>
        </w:rPr>
        <w:t xml:space="preserve">de </w:t>
      </w:r>
      <w:r w:rsidR="00CC0BE9">
        <w:rPr>
          <w:lang w:val="es-ES_tradnl"/>
        </w:rPr>
        <w:t>c</w:t>
      </w:r>
      <w:r w:rsidR="00CC0BE9" w:rsidRPr="000B5989">
        <w:rPr>
          <w:lang w:val="es-ES_tradnl"/>
        </w:rPr>
        <w:t>uentas</w:t>
      </w:r>
      <w:r w:rsidR="00CC0BE9">
        <w:rPr>
          <w:lang w:val="es-ES_tradnl"/>
        </w:rPr>
        <w:t>”</w:t>
      </w:r>
      <w:r w:rsidR="00E77ADD" w:rsidRPr="00976BFF">
        <w:rPr>
          <w:lang w:val="es-ES_tradnl"/>
        </w:rPr>
        <w:t xml:space="preserve">). </w:t>
      </w:r>
      <w:r w:rsidRPr="00976BFF">
        <w:rPr>
          <w:lang w:val="es-ES_tradnl"/>
        </w:rPr>
        <w:t xml:space="preserve">Estos informes se publican en el sitio web de la </w:t>
      </w:r>
      <w:r w:rsidR="00E77ADD" w:rsidRPr="00976BFF">
        <w:rPr>
          <w:lang w:val="es-ES_tradnl"/>
        </w:rPr>
        <w:t>CGN.</w:t>
      </w:r>
      <w:r w:rsidR="00A85267" w:rsidRPr="00976BFF">
        <w:rPr>
          <w:lang w:val="es-ES_tradnl"/>
        </w:rPr>
        <w:t xml:space="preserve"> La </w:t>
      </w:r>
      <w:r w:rsidR="002620C8">
        <w:rPr>
          <w:lang w:val="es-ES_tradnl"/>
        </w:rPr>
        <w:t>Gerencia de Programación</w:t>
      </w:r>
      <w:r w:rsidR="00A85267" w:rsidRPr="00976BFF">
        <w:rPr>
          <w:lang w:val="es-ES_tradnl"/>
        </w:rPr>
        <w:t xml:space="preserve"> de la </w:t>
      </w:r>
      <w:r w:rsidR="002626FA" w:rsidRPr="00976BFF">
        <w:rPr>
          <w:lang w:val="es-ES_tradnl"/>
        </w:rPr>
        <w:t>DNV</w:t>
      </w:r>
      <w:r w:rsidR="00A85267" w:rsidRPr="00976BFF">
        <w:rPr>
          <w:lang w:val="es-ES_tradnl"/>
        </w:rPr>
        <w:t xml:space="preserve"> es la principal </w:t>
      </w:r>
      <w:r w:rsidR="009914EF" w:rsidRPr="00976BFF">
        <w:rPr>
          <w:lang w:val="es-ES_tradnl"/>
        </w:rPr>
        <w:t>responsable</w:t>
      </w:r>
      <w:r w:rsidR="00A85267" w:rsidRPr="00976BFF">
        <w:rPr>
          <w:lang w:val="es-ES_tradnl"/>
        </w:rPr>
        <w:t xml:space="preserve"> de los procesos de seguimiento y evaluación del </w:t>
      </w:r>
      <w:r w:rsidR="00650A31">
        <w:rPr>
          <w:lang w:val="es-ES_tradnl"/>
        </w:rPr>
        <w:t>programa</w:t>
      </w:r>
      <w:r w:rsidR="002626FA" w:rsidRPr="00976BFF">
        <w:rPr>
          <w:lang w:val="es-ES_tradnl"/>
        </w:rPr>
        <w:t>.</w:t>
      </w:r>
    </w:p>
    <w:p w:rsidR="00A764A2" w:rsidRPr="00976BFF" w:rsidRDefault="00E57B1D" w:rsidP="00625FD2">
      <w:pPr>
        <w:pStyle w:val="MainPara"/>
        <w:rPr>
          <w:lang w:val="es-ES_tradnl"/>
        </w:rPr>
      </w:pPr>
      <w:r w:rsidRPr="00976BFF">
        <w:rPr>
          <w:lang w:val="es-ES_tradnl"/>
        </w:rPr>
        <w:t>Se</w:t>
      </w:r>
      <w:r w:rsidR="00A85267" w:rsidRPr="00976BFF">
        <w:rPr>
          <w:lang w:val="es-ES_tradnl"/>
        </w:rPr>
        <w:t>gundo, el MTOP supervisa con regularidad varios indicadores clave para captar las condiciones de la red vial (estado del pavimento), así como su utilización (volumen de tráfico, carga por ejes). Esta información se incorpora</w:t>
      </w:r>
      <w:r w:rsidR="00FB0975" w:rsidRPr="00976BFF">
        <w:rPr>
          <w:lang w:val="es-ES_tradnl"/>
        </w:rPr>
        <w:t xml:space="preserve"> en la planificación de obras viales que se lleva a cabo al comienzo de cada Ley de Presupuesto quinquenal y también se utiliza para supervisar los avances realizados durante el período de cinco años. Además, el área de financiamiento exterior del MTOP preparará informes sobre la marcha del </w:t>
      </w:r>
      <w:r w:rsidR="00650A31">
        <w:rPr>
          <w:lang w:val="es-ES_tradnl"/>
        </w:rPr>
        <w:t>programa</w:t>
      </w:r>
      <w:r w:rsidR="00FB0975" w:rsidRPr="00976BFF">
        <w:rPr>
          <w:lang w:val="es-ES_tradnl"/>
        </w:rPr>
        <w:t xml:space="preserve"> en forma semestral y los presentará al Banco Mundial para su examen. Estos informes incluirán a) una versión actualizada del marco de resultados del </w:t>
      </w:r>
      <w:r w:rsidR="00650A31">
        <w:rPr>
          <w:lang w:val="es-ES_tradnl"/>
        </w:rPr>
        <w:t>programa</w:t>
      </w:r>
      <w:r w:rsidR="00FB0975" w:rsidRPr="00976BFF">
        <w:rPr>
          <w:lang w:val="es-ES_tradnl"/>
        </w:rPr>
        <w:t xml:space="preserve">; b) el desempeño de los desembolsos del </w:t>
      </w:r>
      <w:r w:rsidR="00650A31">
        <w:rPr>
          <w:lang w:val="es-ES_tradnl"/>
        </w:rPr>
        <w:t>programa</w:t>
      </w:r>
      <w:r w:rsidR="00FB0975" w:rsidRPr="00976BFF">
        <w:rPr>
          <w:lang w:val="es-ES_tradnl"/>
        </w:rPr>
        <w:t xml:space="preserve"> durante el período que abarque el informe; c) los avances realizados en el </w:t>
      </w:r>
      <w:r w:rsidR="007A653A" w:rsidRPr="00976BFF">
        <w:rPr>
          <w:lang w:val="es-ES_tradnl"/>
        </w:rPr>
        <w:t xml:space="preserve">Plan de Acción del </w:t>
      </w:r>
      <w:r w:rsidR="00650A31">
        <w:rPr>
          <w:lang w:val="es-ES_tradnl"/>
        </w:rPr>
        <w:t>programa</w:t>
      </w:r>
      <w:r w:rsidR="00FB0975" w:rsidRPr="00976BFF">
        <w:rPr>
          <w:lang w:val="es-ES_tradnl"/>
        </w:rPr>
        <w:t xml:space="preserve"> y sus resultados, y d) la descripción de los acontecimientos potenciales que podrían incidir en la ejecución del </w:t>
      </w:r>
      <w:r w:rsidR="00650A31">
        <w:rPr>
          <w:lang w:val="es-ES_tradnl"/>
        </w:rPr>
        <w:t>programa</w:t>
      </w:r>
      <w:r w:rsidR="00FB0975" w:rsidRPr="00976BFF">
        <w:rPr>
          <w:lang w:val="es-ES_tradnl"/>
        </w:rPr>
        <w:t xml:space="preserve">, que debería consistir en un examen de los principales riesgos y del impacto de las medidas de mitigación contempladas en la etapa de evaluación inicial. </w:t>
      </w:r>
      <w:r w:rsidR="00187C63" w:rsidRPr="00976BFF">
        <w:rPr>
          <w:lang w:val="es-ES_tradnl"/>
        </w:rPr>
        <w:t xml:space="preserve">Los informes sobre la marcha del </w:t>
      </w:r>
      <w:r w:rsidR="00650A31">
        <w:rPr>
          <w:lang w:val="es-ES_tradnl"/>
        </w:rPr>
        <w:t>programa</w:t>
      </w:r>
      <w:r w:rsidR="00187C63" w:rsidRPr="00976BFF">
        <w:rPr>
          <w:lang w:val="es-ES_tradnl"/>
        </w:rPr>
        <w:t xml:space="preserve"> contendrán una síntesis de todas las actividades financiadas en </w:t>
      </w:r>
      <w:r w:rsidR="00660B8B">
        <w:rPr>
          <w:lang w:val="es-ES_tradnl"/>
        </w:rPr>
        <w:t>su</w:t>
      </w:r>
      <w:r w:rsidR="00187C63" w:rsidRPr="00976BFF">
        <w:rPr>
          <w:lang w:val="es-ES_tradnl"/>
        </w:rPr>
        <w:t xml:space="preserve"> marco, </w:t>
      </w:r>
      <w:r w:rsidR="009914EF" w:rsidRPr="00976BFF">
        <w:rPr>
          <w:lang w:val="es-ES_tradnl"/>
        </w:rPr>
        <w:t>incluidos</w:t>
      </w:r>
      <w:r w:rsidR="00187C63" w:rsidRPr="00976BFF">
        <w:rPr>
          <w:lang w:val="es-ES_tradnl"/>
        </w:rPr>
        <w:t xml:space="preserve"> los contratos financiados por el BID y el </w:t>
      </w:r>
      <w:r w:rsidR="0092624E" w:rsidRPr="00976BFF">
        <w:rPr>
          <w:lang w:val="es-ES_tradnl"/>
        </w:rPr>
        <w:t xml:space="preserve">FONPLATA. </w:t>
      </w:r>
    </w:p>
    <w:p w:rsidR="005857AD" w:rsidRPr="00976BFF" w:rsidRDefault="001472F9" w:rsidP="00625FD2">
      <w:pPr>
        <w:pStyle w:val="MainPara"/>
        <w:rPr>
          <w:lang w:val="es-ES_tradnl"/>
        </w:rPr>
      </w:pPr>
      <w:r w:rsidRPr="00976BFF">
        <w:rPr>
          <w:lang w:val="es-ES_tradnl"/>
        </w:rPr>
        <w:t>T</w:t>
      </w:r>
      <w:r w:rsidR="00187C63" w:rsidRPr="00976BFF">
        <w:rPr>
          <w:lang w:val="es-ES_tradnl"/>
        </w:rPr>
        <w:t xml:space="preserve">ercero y último, la supervisión de la administración pública por la sociedad civil es un componente fundamental del </w:t>
      </w:r>
      <w:r w:rsidR="00650A31">
        <w:rPr>
          <w:lang w:val="es-ES_tradnl"/>
        </w:rPr>
        <w:t>programa</w:t>
      </w:r>
      <w:r w:rsidR="00187C63" w:rsidRPr="00976BFF">
        <w:rPr>
          <w:lang w:val="es-ES_tradnl"/>
        </w:rPr>
        <w:t xml:space="preserve"> para lograr una mayor rendición de cuentas. Como se establece en su </w:t>
      </w:r>
      <w:r w:rsidR="00D61A8A">
        <w:rPr>
          <w:lang w:val="es-ES_tradnl"/>
        </w:rPr>
        <w:t>P</w:t>
      </w:r>
      <w:r w:rsidR="00D61A8A" w:rsidRPr="00976BFF">
        <w:rPr>
          <w:lang w:val="es-ES_tradnl"/>
        </w:rPr>
        <w:t xml:space="preserve">lan </w:t>
      </w:r>
      <w:r w:rsidR="00187C63" w:rsidRPr="00976BFF">
        <w:rPr>
          <w:lang w:val="es-ES_tradnl"/>
        </w:rPr>
        <w:t xml:space="preserve">de </w:t>
      </w:r>
      <w:r w:rsidR="00D61A8A">
        <w:rPr>
          <w:lang w:val="es-ES_tradnl"/>
        </w:rPr>
        <w:t>A</w:t>
      </w:r>
      <w:r w:rsidR="00D61A8A" w:rsidRPr="00976BFF">
        <w:rPr>
          <w:lang w:val="es-ES_tradnl"/>
        </w:rPr>
        <w:t>cción</w:t>
      </w:r>
      <w:r w:rsidR="00187C63" w:rsidRPr="00976BFF">
        <w:rPr>
          <w:lang w:val="es-ES_tradnl"/>
        </w:rPr>
        <w:t xml:space="preserve">, el </w:t>
      </w:r>
      <w:r w:rsidR="00650A31">
        <w:rPr>
          <w:lang w:val="es-ES_tradnl"/>
        </w:rPr>
        <w:t>programa</w:t>
      </w:r>
      <w:r w:rsidR="00187C63" w:rsidRPr="00976BFF">
        <w:rPr>
          <w:lang w:val="es-ES_tradnl"/>
        </w:rPr>
        <w:t xml:space="preserve"> respaldará el fortalecimiento de la comunicación de la DNV con la sociedad civil y el mecanismo de </w:t>
      </w:r>
      <w:r w:rsidR="00676DA8" w:rsidRPr="00976BFF">
        <w:rPr>
          <w:lang w:val="es-ES_tradnl"/>
        </w:rPr>
        <w:t>quejas</w:t>
      </w:r>
      <w:r w:rsidR="00187C63" w:rsidRPr="00976BFF">
        <w:rPr>
          <w:lang w:val="es-ES_tradnl"/>
        </w:rPr>
        <w:t xml:space="preserve"> mediante i) la implementación de una encuesta anual de satisfacción del usuario, ii) la organización y aplicación de una estrategia de comunicación para brindar información a los usuarios sobre el </w:t>
      </w:r>
      <w:r w:rsidR="00650A31">
        <w:rPr>
          <w:lang w:val="es-ES_tradnl"/>
        </w:rPr>
        <w:t>programa</w:t>
      </w:r>
      <w:r w:rsidR="00187C63" w:rsidRPr="00976BFF">
        <w:rPr>
          <w:lang w:val="es-ES_tradnl"/>
        </w:rPr>
        <w:t xml:space="preserve"> de rehabilitación vial, a través del sitio web del MTOP, y iii)</w:t>
      </w:r>
      <w:r w:rsidR="00676DA8" w:rsidRPr="00976BFF">
        <w:rPr>
          <w:lang w:val="es-ES_tradnl"/>
        </w:rPr>
        <w:t xml:space="preserve"> la creación e institucionalización de un mecanismo de resolución de quejas, que incluya una base de datos para realizar un seguimiento de estas reclamaciones y quejas</w:t>
      </w:r>
      <w:r w:rsidRPr="00976BFF">
        <w:rPr>
          <w:lang w:val="es-ES_tradnl"/>
        </w:rPr>
        <w:t xml:space="preserve">. </w:t>
      </w:r>
    </w:p>
    <w:p w:rsidR="00BE28DC" w:rsidRPr="00976BFF" w:rsidRDefault="00BE28DC" w:rsidP="00BE28DC">
      <w:pPr>
        <w:rPr>
          <w:lang w:val="es-ES_tradnl"/>
        </w:rPr>
      </w:pPr>
    </w:p>
    <w:p w:rsidR="00D51A17" w:rsidRPr="00976BFF" w:rsidRDefault="001D2940" w:rsidP="006068D8">
      <w:pPr>
        <w:pStyle w:val="Heading2"/>
        <w:rPr>
          <w:lang w:val="es-ES_tradnl"/>
        </w:rPr>
      </w:pPr>
      <w:r w:rsidRPr="00976BFF">
        <w:rPr>
          <w:lang w:val="es-ES_tradnl"/>
        </w:rPr>
        <w:t xml:space="preserve"> </w:t>
      </w:r>
      <w:bookmarkStart w:id="20" w:name="_Toc344927160"/>
      <w:r w:rsidR="00676DA8" w:rsidRPr="00976BFF">
        <w:rPr>
          <w:lang w:val="es-ES_tradnl"/>
        </w:rPr>
        <w:t>Mecanismos de desembolso y protocolos de verificación</w:t>
      </w:r>
      <w:bookmarkEnd w:id="20"/>
    </w:p>
    <w:p w:rsidR="00A764A2" w:rsidRPr="00976BFF" w:rsidRDefault="00676DA8" w:rsidP="00625FD2">
      <w:pPr>
        <w:pStyle w:val="MainPara"/>
        <w:rPr>
          <w:lang w:val="es-ES_tradnl"/>
        </w:rPr>
      </w:pPr>
      <w:r w:rsidRPr="00976BFF">
        <w:rPr>
          <w:b/>
          <w:lang w:val="es-ES_tradnl"/>
        </w:rPr>
        <w:t>Mecanismos de desembolso</w:t>
      </w:r>
      <w:r w:rsidR="00643CDE" w:rsidRPr="000B5989">
        <w:rPr>
          <w:b/>
          <w:lang w:val="es-ES_tradnl"/>
        </w:rPr>
        <w:t>.</w:t>
      </w:r>
      <w:r w:rsidR="00643CDE" w:rsidRPr="00976BFF">
        <w:rPr>
          <w:lang w:val="es-ES_tradnl"/>
        </w:rPr>
        <w:t xml:space="preserve"> </w:t>
      </w:r>
      <w:r w:rsidR="001172ED" w:rsidRPr="00976BFF">
        <w:rPr>
          <w:lang w:val="es-ES_tradnl"/>
        </w:rPr>
        <w:t xml:space="preserve">Los desembolsos se realizarán teniendo en cuenta los IVD logrados y verificados, luego del examen del Banco Mundial basado en los protocolos de verificación </w:t>
      </w:r>
      <w:r w:rsidR="00AC40C1" w:rsidRPr="00976BFF">
        <w:rPr>
          <w:lang w:val="es-ES_tradnl"/>
        </w:rPr>
        <w:t xml:space="preserve">y una vez que este haya determinado los niveles de desembolso (véase el anexo </w:t>
      </w:r>
      <w:r w:rsidR="00F10C4F" w:rsidRPr="00976BFF">
        <w:rPr>
          <w:lang w:val="es-ES_tradnl"/>
        </w:rPr>
        <w:t>3).</w:t>
      </w:r>
    </w:p>
    <w:p w:rsidR="00A764A2" w:rsidRPr="00976BFF" w:rsidRDefault="00AC40C1" w:rsidP="00625FD2">
      <w:pPr>
        <w:pStyle w:val="MainPara"/>
        <w:rPr>
          <w:lang w:val="es-ES_tradnl"/>
        </w:rPr>
      </w:pPr>
      <w:r w:rsidRPr="00976BFF">
        <w:rPr>
          <w:lang w:val="es-ES_tradnl"/>
        </w:rPr>
        <w:t xml:space="preserve">El importe del préstamo se podrá utilizar para financiar resultados anteriores, por el monto máximo de </w:t>
      </w:r>
      <w:r w:rsidR="005F419C" w:rsidRPr="00976BFF">
        <w:rPr>
          <w:lang w:val="es-ES_tradnl"/>
        </w:rPr>
        <w:t>US$5</w:t>
      </w:r>
      <w:r w:rsidRPr="00976BFF">
        <w:rPr>
          <w:lang w:val="es-ES_tradnl"/>
        </w:rPr>
        <w:t>,</w:t>
      </w:r>
      <w:r w:rsidR="005F419C" w:rsidRPr="00976BFF">
        <w:rPr>
          <w:lang w:val="es-ES_tradnl"/>
        </w:rPr>
        <w:t>8 millon</w:t>
      </w:r>
      <w:r w:rsidRPr="00976BFF">
        <w:rPr>
          <w:lang w:val="es-ES_tradnl"/>
        </w:rPr>
        <w:t>es</w:t>
      </w:r>
      <w:r w:rsidR="005F419C" w:rsidRPr="00976BFF">
        <w:rPr>
          <w:lang w:val="es-ES_tradnl"/>
        </w:rPr>
        <w:t xml:space="preserve">, </w:t>
      </w:r>
      <w:r w:rsidRPr="00976BFF">
        <w:rPr>
          <w:lang w:val="es-ES_tradnl"/>
        </w:rPr>
        <w:t xml:space="preserve">en el caso de resultados logrados entre el 1 de enero de 2013, la fecha de inicio del </w:t>
      </w:r>
      <w:r w:rsidR="00650A31">
        <w:rPr>
          <w:lang w:val="es-ES_tradnl"/>
        </w:rPr>
        <w:t>programa</w:t>
      </w:r>
      <w:r w:rsidRPr="00976BFF">
        <w:rPr>
          <w:lang w:val="es-ES_tradnl"/>
        </w:rPr>
        <w:t xml:space="preserve">, y la fecha de firma del convenio de préstamo. El Gobierno de Uruguay ha señalado que le agradaría poder </w:t>
      </w:r>
      <w:r w:rsidR="009E521E" w:rsidRPr="00976BFF">
        <w:rPr>
          <w:lang w:val="es-ES_tradnl"/>
        </w:rPr>
        <w:t xml:space="preserve">solicitar el desembolso de anticipos antes de lograr determinados IVD, específicamente el IVD-1 y el IVD-2, por un monto máximo de </w:t>
      </w:r>
      <w:r w:rsidR="002E342C" w:rsidRPr="00976BFF">
        <w:rPr>
          <w:lang w:val="es-ES_tradnl"/>
        </w:rPr>
        <w:t>US$14 millon</w:t>
      </w:r>
      <w:r w:rsidR="009E521E" w:rsidRPr="00976BFF">
        <w:rPr>
          <w:lang w:val="es-ES_tradnl"/>
        </w:rPr>
        <w:t>es</w:t>
      </w:r>
      <w:r w:rsidR="002E342C" w:rsidRPr="00976BFF">
        <w:rPr>
          <w:lang w:val="es-ES_tradnl"/>
        </w:rPr>
        <w:t xml:space="preserve">. </w:t>
      </w:r>
      <w:r w:rsidR="009E521E" w:rsidRPr="00976BFF">
        <w:rPr>
          <w:lang w:val="es-ES_tradnl"/>
        </w:rPr>
        <w:t xml:space="preserve">Tales anticipos </w:t>
      </w:r>
      <w:r w:rsidR="00EE7DF0" w:rsidRPr="00976BFF">
        <w:rPr>
          <w:lang w:val="es-ES_tradnl"/>
        </w:rPr>
        <w:t>renovables</w:t>
      </w:r>
      <w:r w:rsidR="009E521E" w:rsidRPr="00976BFF">
        <w:rPr>
          <w:lang w:val="es-ES_tradnl"/>
        </w:rPr>
        <w:t xml:space="preserve"> </w:t>
      </w:r>
      <w:r w:rsidR="002620C8">
        <w:rPr>
          <w:lang w:val="es-ES_tradnl"/>
        </w:rPr>
        <w:t>permitirían que el</w:t>
      </w:r>
      <w:r w:rsidR="009E521E" w:rsidRPr="00976BFF">
        <w:rPr>
          <w:lang w:val="es-ES_tradnl"/>
        </w:rPr>
        <w:t xml:space="preserve"> MTOP </w:t>
      </w:r>
      <w:r w:rsidR="002620C8">
        <w:rPr>
          <w:lang w:val="es-ES_tradnl"/>
        </w:rPr>
        <w:t>propicie</w:t>
      </w:r>
      <w:r w:rsidR="009E521E" w:rsidRPr="00976BFF">
        <w:rPr>
          <w:lang w:val="es-ES_tradnl"/>
        </w:rPr>
        <w:t xml:space="preserve"> el logro de estos IVD. Los desembolsos anticipados se recuperar</w:t>
      </w:r>
      <w:r w:rsidR="00EE7DF0" w:rsidRPr="00976BFF">
        <w:rPr>
          <w:lang w:val="es-ES_tradnl"/>
        </w:rPr>
        <w:t>á</w:t>
      </w:r>
      <w:r w:rsidR="009E521E" w:rsidRPr="00976BFF">
        <w:rPr>
          <w:lang w:val="es-ES_tradnl"/>
        </w:rPr>
        <w:t xml:space="preserve">n cuando corresponda realizar los desembolsos una vez que los IVD se hayan logrado efectivamente y se desembolsen nuevos anticipos en forma </w:t>
      </w:r>
      <w:r w:rsidR="00EE7DF0" w:rsidRPr="00976BFF">
        <w:rPr>
          <w:lang w:val="es-ES_tradnl"/>
        </w:rPr>
        <w:t>renovable</w:t>
      </w:r>
      <w:r w:rsidR="009E521E" w:rsidRPr="00976BFF">
        <w:rPr>
          <w:lang w:val="es-ES_tradnl"/>
        </w:rPr>
        <w:t xml:space="preserve">. </w:t>
      </w:r>
      <w:r w:rsidR="00EE7DF0" w:rsidRPr="00976BFF">
        <w:rPr>
          <w:lang w:val="es-ES_tradnl"/>
        </w:rPr>
        <w:t>De acuerdo con lo previsto, el Ministerio de Economía y Finanzas presentará las solicitudes de desembolso al Banco una vez al año</w:t>
      </w:r>
      <w:r w:rsidR="005C3F48" w:rsidRPr="00976BFF">
        <w:rPr>
          <w:lang w:val="es-ES_tradnl"/>
        </w:rPr>
        <w:t xml:space="preserve">. </w:t>
      </w:r>
    </w:p>
    <w:p w:rsidR="00A764A2" w:rsidRPr="00976BFF" w:rsidRDefault="00E6624A" w:rsidP="00625FD2">
      <w:pPr>
        <w:pStyle w:val="MainPara"/>
        <w:rPr>
          <w:lang w:val="es-ES_tradnl"/>
        </w:rPr>
      </w:pPr>
      <w:r w:rsidRPr="00976BFF">
        <w:rPr>
          <w:b/>
          <w:lang w:val="es-ES_tradnl"/>
        </w:rPr>
        <w:t>Protocolos de verificación</w:t>
      </w:r>
      <w:r w:rsidR="007A4DF7" w:rsidRPr="000B5989">
        <w:rPr>
          <w:b/>
          <w:lang w:val="es-ES_tradnl"/>
        </w:rPr>
        <w:t>.</w:t>
      </w:r>
      <w:r w:rsidR="007A4DF7" w:rsidRPr="00976BFF">
        <w:rPr>
          <w:lang w:val="es-ES_tradnl"/>
        </w:rPr>
        <w:t xml:space="preserve"> </w:t>
      </w:r>
      <w:r w:rsidRPr="00976BFF">
        <w:rPr>
          <w:lang w:val="es-ES_tradnl"/>
        </w:rPr>
        <w:t xml:space="preserve">Los protocolos de verificación propuestos varían en consonancia con la naturaleza de los IVD. Un auditor independiente, contratado por el </w:t>
      </w:r>
      <w:r w:rsidR="00643CDE" w:rsidRPr="00976BFF">
        <w:rPr>
          <w:lang w:val="es-ES_tradnl"/>
        </w:rPr>
        <w:t>MTOP</w:t>
      </w:r>
      <w:r w:rsidR="004E0101" w:rsidRPr="00976BFF">
        <w:rPr>
          <w:lang w:val="es-ES_tradnl"/>
        </w:rPr>
        <w:t xml:space="preserve">, </w:t>
      </w:r>
      <w:r w:rsidRPr="00976BFF">
        <w:rPr>
          <w:lang w:val="es-ES_tradnl"/>
        </w:rPr>
        <w:t xml:space="preserve">verificará el IVD-1 y el IVD-2; la verificación del IVD-3 </w:t>
      </w:r>
      <w:r w:rsidR="001321C4">
        <w:rPr>
          <w:lang w:val="es-ES_tradnl"/>
        </w:rPr>
        <w:t>se basará en</w:t>
      </w:r>
      <w:r w:rsidRPr="00976BFF">
        <w:rPr>
          <w:lang w:val="es-ES_tradnl"/>
        </w:rPr>
        <w:t xml:space="preserve"> la documentación suministrada por el </w:t>
      </w:r>
      <w:r w:rsidR="007A4DF7" w:rsidRPr="00976BFF">
        <w:rPr>
          <w:lang w:val="es-ES_tradnl"/>
        </w:rPr>
        <w:t xml:space="preserve">MTOP. </w:t>
      </w:r>
      <w:r w:rsidR="00CC0BE9">
        <w:rPr>
          <w:lang w:val="es-ES_tradnl"/>
        </w:rPr>
        <w:t>C</w:t>
      </w:r>
      <w:r w:rsidR="00CC0BE9" w:rsidRPr="00976BFF">
        <w:rPr>
          <w:lang w:val="es-ES_tradnl"/>
        </w:rPr>
        <w:t>omo parte del apoyo a la ejecución</w:t>
      </w:r>
      <w:r w:rsidR="00CC0BE9">
        <w:rPr>
          <w:lang w:val="es-ES_tradnl"/>
        </w:rPr>
        <w:t>,</w:t>
      </w:r>
      <w:r w:rsidR="00CC0BE9" w:rsidRPr="00976BFF">
        <w:rPr>
          <w:lang w:val="es-ES_tradnl"/>
        </w:rPr>
        <w:t xml:space="preserve"> </w:t>
      </w:r>
      <w:r w:rsidR="00CC0BE9">
        <w:rPr>
          <w:lang w:val="es-ES_tradnl"/>
        </w:rPr>
        <w:t>e</w:t>
      </w:r>
      <w:r w:rsidR="00CC0BE9" w:rsidRPr="00976BFF">
        <w:rPr>
          <w:lang w:val="es-ES_tradnl"/>
        </w:rPr>
        <w:t xml:space="preserve">l </w:t>
      </w:r>
      <w:r w:rsidRPr="00976BFF">
        <w:rPr>
          <w:lang w:val="es-ES_tradnl"/>
        </w:rPr>
        <w:t xml:space="preserve">Banco Mundial </w:t>
      </w:r>
      <w:r w:rsidR="00CC0BE9">
        <w:rPr>
          <w:lang w:val="es-ES_tradnl"/>
        </w:rPr>
        <w:t xml:space="preserve">revisará además </w:t>
      </w:r>
      <w:r w:rsidRPr="00976BFF">
        <w:rPr>
          <w:lang w:val="es-ES_tradnl"/>
        </w:rPr>
        <w:t xml:space="preserve">la base </w:t>
      </w:r>
      <w:r w:rsidR="00CC0BE9">
        <w:rPr>
          <w:lang w:val="es-ES_tradnl"/>
        </w:rPr>
        <w:t xml:space="preserve">probatoria </w:t>
      </w:r>
      <w:r w:rsidRPr="00976BFF">
        <w:rPr>
          <w:lang w:val="es-ES_tradnl"/>
        </w:rPr>
        <w:t xml:space="preserve">del </w:t>
      </w:r>
      <w:r w:rsidR="00CC0BE9">
        <w:rPr>
          <w:lang w:val="es-ES_tradnl"/>
        </w:rPr>
        <w:t xml:space="preserve">cumplimiento </w:t>
      </w:r>
      <w:r w:rsidRPr="00976BFF">
        <w:rPr>
          <w:lang w:val="es-ES_tradnl"/>
        </w:rPr>
        <w:t>de los IVD</w:t>
      </w:r>
      <w:r w:rsidR="007A4DF7" w:rsidRPr="00976BFF">
        <w:rPr>
          <w:lang w:val="es-ES_tradnl"/>
        </w:rPr>
        <w:t>.</w:t>
      </w:r>
    </w:p>
    <w:p w:rsidR="00A764A2" w:rsidRPr="00976BFF" w:rsidRDefault="001602A0" w:rsidP="00625FD2">
      <w:pPr>
        <w:pStyle w:val="MainPara"/>
        <w:rPr>
          <w:lang w:val="es-ES_tradnl"/>
        </w:rPr>
      </w:pPr>
      <w:r w:rsidRPr="00976BFF">
        <w:rPr>
          <w:b/>
          <w:lang w:val="es-ES_tradnl"/>
        </w:rPr>
        <w:t>Fl</w:t>
      </w:r>
      <w:r w:rsidR="00E6624A" w:rsidRPr="00976BFF">
        <w:rPr>
          <w:b/>
          <w:lang w:val="es-ES_tradnl"/>
        </w:rPr>
        <w:t>ujo de fondos</w:t>
      </w:r>
      <w:r w:rsidRPr="00976BFF">
        <w:rPr>
          <w:b/>
          <w:lang w:val="es-ES_tradnl"/>
        </w:rPr>
        <w:t xml:space="preserve">. </w:t>
      </w:r>
      <w:r w:rsidR="002E737E" w:rsidRPr="00976BFF">
        <w:rPr>
          <w:lang w:val="es-ES_tradnl"/>
        </w:rPr>
        <w:t>U</w:t>
      </w:r>
      <w:r w:rsidR="00E6624A" w:rsidRPr="00976BFF">
        <w:rPr>
          <w:lang w:val="es-ES_tradnl"/>
        </w:rPr>
        <w:t>na vez que se ha</w:t>
      </w:r>
      <w:r w:rsidR="001321C4">
        <w:rPr>
          <w:lang w:val="es-ES_tradnl"/>
        </w:rPr>
        <w:t>ya</w:t>
      </w:r>
      <w:r w:rsidR="00E6624A" w:rsidRPr="00976BFF">
        <w:rPr>
          <w:lang w:val="es-ES_tradnl"/>
        </w:rPr>
        <w:t xml:space="preserve">n logrado los IVD y luego de que el Banco Mundial valide las solicitudes de retiro de fondos presentadas por el Gobierno de Uruguay, el Banco Mundial desembolsará el importe del préstamo, en dólares estadounidenses, directamente a una cuenta de tesorería mantenida en el </w:t>
      </w:r>
      <w:r w:rsidR="002E737E" w:rsidRPr="00976BFF">
        <w:rPr>
          <w:lang w:val="es-ES_tradnl"/>
        </w:rPr>
        <w:t>Banco Central del Uruguay.</w:t>
      </w:r>
    </w:p>
    <w:p w:rsidR="00AE76EC" w:rsidRPr="00976BFF" w:rsidRDefault="00AE76EC" w:rsidP="00BE28DC">
      <w:pPr>
        <w:spacing w:after="0" w:line="240" w:lineRule="auto"/>
        <w:rPr>
          <w:lang w:val="es-ES_tradnl"/>
        </w:rPr>
      </w:pPr>
    </w:p>
    <w:p w:rsidR="00BE28DC" w:rsidRPr="00976BFF" w:rsidRDefault="00BE28DC" w:rsidP="00BE28DC">
      <w:pPr>
        <w:spacing w:after="0" w:line="240" w:lineRule="auto"/>
        <w:rPr>
          <w:lang w:val="es-ES_tradnl"/>
        </w:rPr>
      </w:pPr>
    </w:p>
    <w:p w:rsidR="003D39E3" w:rsidRPr="00976BFF" w:rsidRDefault="00E6624A" w:rsidP="006068D8">
      <w:pPr>
        <w:pStyle w:val="Heading1"/>
        <w:rPr>
          <w:lang w:val="es-ES_tradnl"/>
        </w:rPr>
      </w:pPr>
      <w:bookmarkStart w:id="21" w:name="_Toc344927161"/>
      <w:r w:rsidRPr="00976BFF">
        <w:rPr>
          <w:lang w:val="es-ES_tradnl"/>
        </w:rPr>
        <w:t>RESUMEN DE LAS EVALUACIONES</w:t>
      </w:r>
      <w:bookmarkEnd w:id="21"/>
    </w:p>
    <w:p w:rsidR="003D39E3" w:rsidRPr="00976BFF" w:rsidRDefault="00C13B3D" w:rsidP="006068D8">
      <w:pPr>
        <w:pStyle w:val="Heading2"/>
        <w:rPr>
          <w:lang w:val="es-ES_tradnl"/>
        </w:rPr>
      </w:pPr>
      <w:bookmarkStart w:id="22" w:name="_Toc344927162"/>
      <w:r w:rsidRPr="00976BFF">
        <w:rPr>
          <w:lang w:val="es-ES_tradnl"/>
        </w:rPr>
        <w:t>Aspectos</w:t>
      </w:r>
      <w:r w:rsidR="00E6624A" w:rsidRPr="00976BFF">
        <w:rPr>
          <w:lang w:val="es-ES_tradnl"/>
        </w:rPr>
        <w:t xml:space="preserve"> técnic</w:t>
      </w:r>
      <w:r w:rsidRPr="00976BFF">
        <w:rPr>
          <w:lang w:val="es-ES_tradnl"/>
        </w:rPr>
        <w:t>os</w:t>
      </w:r>
      <w:r w:rsidR="001D2940" w:rsidRPr="00976BFF">
        <w:rPr>
          <w:lang w:val="es-ES_tradnl"/>
        </w:rPr>
        <w:t xml:space="preserve"> (inclu</w:t>
      </w:r>
      <w:r w:rsidR="00E6624A" w:rsidRPr="00976BFF">
        <w:rPr>
          <w:lang w:val="es-ES_tradnl"/>
        </w:rPr>
        <w:t xml:space="preserve">ida la evaluación económica del </w:t>
      </w:r>
      <w:r w:rsidR="00650A31">
        <w:rPr>
          <w:lang w:val="es-ES_tradnl"/>
        </w:rPr>
        <w:t>programa</w:t>
      </w:r>
      <w:r w:rsidR="001D2940" w:rsidRPr="00976BFF">
        <w:rPr>
          <w:lang w:val="es-ES_tradnl"/>
        </w:rPr>
        <w:t>)</w:t>
      </w:r>
      <w:bookmarkEnd w:id="22"/>
      <w:r w:rsidR="001D2940" w:rsidRPr="00976BFF">
        <w:rPr>
          <w:lang w:val="es-ES_tradnl"/>
        </w:rPr>
        <w:t xml:space="preserve"> </w:t>
      </w:r>
    </w:p>
    <w:p w:rsidR="003D39E3" w:rsidRPr="00976BFF" w:rsidRDefault="003D39E3" w:rsidP="003D39E3">
      <w:pPr>
        <w:pStyle w:val="NoSpacing"/>
        <w:ind w:left="360"/>
        <w:rPr>
          <w:rFonts w:ascii="Times New Roman" w:hAnsi="Times New Roman" w:cs="Times New Roman"/>
          <w:lang w:val="es-ES_tradnl"/>
        </w:rPr>
      </w:pPr>
    </w:p>
    <w:p w:rsidR="0007594F" w:rsidRPr="00976BFF" w:rsidRDefault="00E6624A" w:rsidP="00625FD2">
      <w:pPr>
        <w:pStyle w:val="MainPara"/>
        <w:rPr>
          <w:lang w:val="es-ES_tradnl"/>
        </w:rPr>
      </w:pPr>
      <w:r w:rsidRPr="00976BFF">
        <w:rPr>
          <w:b/>
          <w:lang w:val="es-ES_tradnl"/>
        </w:rPr>
        <w:t>Pertinencia estratégica y solidez técnica</w:t>
      </w:r>
      <w:r w:rsidR="00AE76EC" w:rsidRPr="000B5989">
        <w:rPr>
          <w:b/>
          <w:lang w:val="es-ES_tradnl"/>
        </w:rPr>
        <w:t>.</w:t>
      </w:r>
      <w:r w:rsidR="00AE76EC" w:rsidRPr="00976BFF">
        <w:rPr>
          <w:lang w:val="es-ES_tradnl"/>
        </w:rPr>
        <w:t xml:space="preserve"> </w:t>
      </w:r>
      <w:r w:rsidR="00064915" w:rsidRPr="00976BFF">
        <w:rPr>
          <w:lang w:val="es-ES_tradnl"/>
        </w:rPr>
        <w:t xml:space="preserve">La pertinencia estratégica del </w:t>
      </w:r>
      <w:r w:rsidR="00650A31">
        <w:rPr>
          <w:lang w:val="es-ES_tradnl"/>
        </w:rPr>
        <w:t>programa</w:t>
      </w:r>
      <w:r w:rsidR="00064915" w:rsidRPr="00976BFF">
        <w:rPr>
          <w:lang w:val="es-ES_tradnl"/>
        </w:rPr>
        <w:t xml:space="preserve"> se basa en los tres elementos que se mencionan a continuación: a) las obras de rehabilitación y mantenimiento de la red vial nacional de Uruguay son fundamentales para lograr que el transporte terrestre sea eficaz en función de los costos en un país que pretende convertirse en una plataforma logística en el </w:t>
      </w:r>
      <w:r w:rsidR="00C80044">
        <w:rPr>
          <w:lang w:val="es-ES_tradnl"/>
        </w:rPr>
        <w:t>C</w:t>
      </w:r>
      <w:r w:rsidR="00C80044" w:rsidRPr="00976BFF">
        <w:rPr>
          <w:lang w:val="es-ES_tradnl"/>
        </w:rPr>
        <w:t xml:space="preserve">ono </w:t>
      </w:r>
      <w:r w:rsidR="00C80044">
        <w:rPr>
          <w:lang w:val="es-ES_tradnl"/>
        </w:rPr>
        <w:t>S</w:t>
      </w:r>
      <w:r w:rsidR="00C80044" w:rsidRPr="00976BFF">
        <w:rPr>
          <w:lang w:val="es-ES_tradnl"/>
        </w:rPr>
        <w:t xml:space="preserve">ur </w:t>
      </w:r>
      <w:r w:rsidR="00064915" w:rsidRPr="00976BFF">
        <w:rPr>
          <w:lang w:val="es-ES_tradnl"/>
        </w:rPr>
        <w:t xml:space="preserve">(según la estrategia para 2030 de Uruguay); b) el MTOP, a través de la DNV, es la entidad responsable de mantener y desarrollar la red vial, y c) pese a algunos retrasos en la inversión en mantenimiento vial, el </w:t>
      </w:r>
      <w:r w:rsidR="00650A31">
        <w:rPr>
          <w:lang w:val="es-ES_tradnl"/>
        </w:rPr>
        <w:t>programa</w:t>
      </w:r>
      <w:r w:rsidR="00064915" w:rsidRPr="00976BFF">
        <w:rPr>
          <w:lang w:val="es-ES_tradnl"/>
        </w:rPr>
        <w:t xml:space="preserve"> está estructurado para abordar la cuestión eficazmente. El </w:t>
      </w:r>
      <w:r w:rsidR="00650A31">
        <w:rPr>
          <w:lang w:val="es-ES_tradnl"/>
        </w:rPr>
        <w:t>programa</w:t>
      </w:r>
      <w:r w:rsidR="00064915" w:rsidRPr="00976BFF">
        <w:rPr>
          <w:lang w:val="es-ES_tradnl"/>
        </w:rPr>
        <w:t xml:space="preserve"> incluye todas las actividades necesarias para abordar las diversas cuestiones de mantenimiento y rehabilitación vial identificadas, con el objetivo de mantener la red vial nacional en buenas o muy buenas condiciones; las normas técnicas para el </w:t>
      </w:r>
      <w:r w:rsidR="00650A31">
        <w:rPr>
          <w:lang w:val="es-ES_tradnl"/>
        </w:rPr>
        <w:t>programa</w:t>
      </w:r>
      <w:r w:rsidR="00064915" w:rsidRPr="00976BFF">
        <w:rPr>
          <w:lang w:val="es-ES_tradnl"/>
        </w:rPr>
        <w:t xml:space="preserve"> son superiores a la experiencia y la práctica internacional</w:t>
      </w:r>
      <w:r w:rsidR="00643CDE" w:rsidRPr="00976BFF">
        <w:rPr>
          <w:lang w:val="es-ES_tradnl"/>
        </w:rPr>
        <w:t>.</w:t>
      </w:r>
    </w:p>
    <w:p w:rsidR="00A764A2" w:rsidRPr="00976BFF" w:rsidRDefault="00064915" w:rsidP="00625FD2">
      <w:pPr>
        <w:pStyle w:val="MainPara"/>
        <w:rPr>
          <w:lang w:val="es-ES_tradnl"/>
        </w:rPr>
      </w:pPr>
      <w:r w:rsidRPr="00976BFF">
        <w:rPr>
          <w:b/>
          <w:lang w:val="es-ES_tradnl"/>
        </w:rPr>
        <w:t>Marco de gastos</w:t>
      </w:r>
      <w:r w:rsidR="001750CE" w:rsidRPr="000B5989">
        <w:rPr>
          <w:b/>
          <w:lang w:val="es-ES_tradnl"/>
        </w:rPr>
        <w:t>.</w:t>
      </w:r>
      <w:r w:rsidR="001750CE" w:rsidRPr="00976BFF">
        <w:rPr>
          <w:lang w:val="es-ES_tradnl"/>
        </w:rPr>
        <w:t xml:space="preserve"> </w:t>
      </w:r>
      <w:r w:rsidRPr="00976BFF">
        <w:rPr>
          <w:lang w:val="es-ES_tradnl"/>
        </w:rPr>
        <w:t xml:space="preserve">El marco de gastos del Programa de Rehabilitación y Mantenimiento Vial de Uruguay indica que el presupuesto para el </w:t>
      </w:r>
      <w:r w:rsidR="001321C4">
        <w:rPr>
          <w:lang w:val="es-ES_tradnl"/>
        </w:rPr>
        <w:t>p</w:t>
      </w:r>
      <w:r w:rsidR="009B073D" w:rsidRPr="00976BFF">
        <w:rPr>
          <w:lang w:val="es-ES_tradnl"/>
        </w:rPr>
        <w:t>rograma</w:t>
      </w:r>
      <w:r w:rsidRPr="00976BFF">
        <w:rPr>
          <w:lang w:val="es-ES_tradnl"/>
        </w:rPr>
        <w:t xml:space="preserve"> del Gobierno ha aumentado el 75% en valor nominal</w:t>
      </w:r>
      <w:r w:rsidR="001321C4">
        <w:rPr>
          <w:lang w:val="es-ES_tradnl"/>
        </w:rPr>
        <w:t xml:space="preserve"> entre</w:t>
      </w:r>
      <w:r w:rsidR="001321C4" w:rsidRPr="00976BFF">
        <w:rPr>
          <w:lang w:val="es-ES_tradnl"/>
        </w:rPr>
        <w:t xml:space="preserve"> 2005 </w:t>
      </w:r>
      <w:r w:rsidR="001321C4">
        <w:rPr>
          <w:lang w:val="es-ES_tradnl"/>
        </w:rPr>
        <w:t>y</w:t>
      </w:r>
      <w:r w:rsidR="001321C4" w:rsidRPr="00976BFF">
        <w:rPr>
          <w:lang w:val="es-ES_tradnl"/>
        </w:rPr>
        <w:t xml:space="preserve"> 2011</w:t>
      </w:r>
      <w:r w:rsidRPr="00976BFF">
        <w:rPr>
          <w:lang w:val="es-ES_tradnl"/>
        </w:rPr>
        <w:t xml:space="preserve">. </w:t>
      </w:r>
      <w:r w:rsidR="00D12667" w:rsidRPr="00976BFF">
        <w:rPr>
          <w:lang w:val="es-ES_tradnl"/>
        </w:rPr>
        <w:t>Existe concordancia entre l</w:t>
      </w:r>
      <w:r w:rsidRPr="00976BFF">
        <w:rPr>
          <w:lang w:val="es-ES_tradnl"/>
        </w:rPr>
        <w:t xml:space="preserve">as </w:t>
      </w:r>
      <w:r w:rsidR="00D12667" w:rsidRPr="00976BFF">
        <w:rPr>
          <w:lang w:val="es-ES_tradnl"/>
        </w:rPr>
        <w:t xml:space="preserve">prioridades del MTOP y sus asignaciones presupuestarias para el </w:t>
      </w:r>
      <w:r w:rsidR="00650A31">
        <w:rPr>
          <w:lang w:val="es-ES_tradnl"/>
        </w:rPr>
        <w:t>programa</w:t>
      </w:r>
      <w:r w:rsidR="00C80044">
        <w:rPr>
          <w:lang w:val="es-ES_tradnl"/>
        </w:rPr>
        <w:t>;</w:t>
      </w:r>
      <w:r w:rsidR="00C80044" w:rsidRPr="00976BFF">
        <w:rPr>
          <w:lang w:val="es-ES_tradnl"/>
        </w:rPr>
        <w:t xml:space="preserve"> </w:t>
      </w:r>
      <w:r w:rsidR="00D12667" w:rsidRPr="00976BFF">
        <w:rPr>
          <w:lang w:val="es-ES_tradnl"/>
        </w:rPr>
        <w:t>la DNV representa el 75% de</w:t>
      </w:r>
      <w:r w:rsidR="009E1D39" w:rsidRPr="00976BFF">
        <w:rPr>
          <w:lang w:val="es-ES_tradnl"/>
        </w:rPr>
        <w:t>l</w:t>
      </w:r>
      <w:r w:rsidR="00D12667" w:rsidRPr="00976BFF">
        <w:rPr>
          <w:lang w:val="es-ES_tradnl"/>
        </w:rPr>
        <w:t xml:space="preserve"> </w:t>
      </w:r>
      <w:r w:rsidR="009E1D39" w:rsidRPr="00976BFF">
        <w:rPr>
          <w:lang w:val="es-ES_tradnl"/>
        </w:rPr>
        <w:t>tope</w:t>
      </w:r>
      <w:r w:rsidR="00D12667" w:rsidRPr="00976BFF">
        <w:rPr>
          <w:lang w:val="es-ES_tradnl"/>
        </w:rPr>
        <w:t xml:space="preserve"> de gasto presupuestario del MTOP. Este orden de magnitud </w:t>
      </w:r>
      <w:r w:rsidR="00660B8B">
        <w:rPr>
          <w:lang w:val="es-ES_tradnl"/>
        </w:rPr>
        <w:t>se ha mantenido</w:t>
      </w:r>
      <w:r w:rsidR="00D12667" w:rsidRPr="00976BFF">
        <w:rPr>
          <w:lang w:val="es-ES_tradnl"/>
        </w:rPr>
        <w:t xml:space="preserve"> constante durante los últimos años. En lo referente a la ejecución del presupuesto, en el período 2005-09 la DNV logró ejecutar el 100% de los recursos asignados al </w:t>
      </w:r>
      <w:r w:rsidR="001321C4">
        <w:rPr>
          <w:lang w:val="es-ES_tradnl"/>
        </w:rPr>
        <w:t>p</w:t>
      </w:r>
      <w:r w:rsidR="009B073D" w:rsidRPr="00976BFF">
        <w:rPr>
          <w:lang w:val="es-ES_tradnl"/>
        </w:rPr>
        <w:t>rograma</w:t>
      </w:r>
      <w:r w:rsidR="00D12667" w:rsidRPr="00976BFF">
        <w:rPr>
          <w:lang w:val="es-ES_tradnl"/>
        </w:rPr>
        <w:t xml:space="preserve"> del Gobierno. </w:t>
      </w:r>
      <w:r w:rsidR="000A1993" w:rsidRPr="00976BFF">
        <w:rPr>
          <w:lang w:val="es-ES_tradnl"/>
        </w:rPr>
        <w:t xml:space="preserve">El riesgo de que el financiamiento para el </w:t>
      </w:r>
      <w:r w:rsidR="00650A31">
        <w:rPr>
          <w:lang w:val="es-ES_tradnl"/>
        </w:rPr>
        <w:t>programa</w:t>
      </w:r>
      <w:r w:rsidR="000A1993" w:rsidRPr="00976BFF">
        <w:rPr>
          <w:lang w:val="es-ES_tradnl"/>
        </w:rPr>
        <w:t xml:space="preserve"> no sea suficiente es moderado y se mitigará </w:t>
      </w:r>
      <w:r w:rsidR="00C80044">
        <w:rPr>
          <w:lang w:val="es-ES_tradnl"/>
        </w:rPr>
        <w:t xml:space="preserve">de acuerdo con </w:t>
      </w:r>
      <w:r w:rsidR="000A1993" w:rsidRPr="00976BFF">
        <w:rPr>
          <w:lang w:val="es-ES_tradnl"/>
        </w:rPr>
        <w:t xml:space="preserve">las siguientes variables predictivas: a) las asignaciones presupuestarias del </w:t>
      </w:r>
      <w:r w:rsidR="001321C4">
        <w:rPr>
          <w:lang w:val="es-ES_tradnl"/>
        </w:rPr>
        <w:t>p</w:t>
      </w:r>
      <w:r w:rsidR="009B073D" w:rsidRPr="00976BFF">
        <w:rPr>
          <w:lang w:val="es-ES_tradnl"/>
        </w:rPr>
        <w:t>rograma</w:t>
      </w:r>
      <w:r w:rsidR="000A1993" w:rsidRPr="00976BFF">
        <w:rPr>
          <w:lang w:val="es-ES_tradnl"/>
        </w:rPr>
        <w:t xml:space="preserve"> tendieron a aumentar durante los últimos años; b) los antecedentes de 2005-09 demuestran que el financiamiento del Gobierno es adecuadamente previsible, y c) el propio sistema de I</w:t>
      </w:r>
      <w:r w:rsidR="00754B52" w:rsidRPr="00976BFF">
        <w:rPr>
          <w:lang w:val="es-ES_tradnl"/>
        </w:rPr>
        <w:t xml:space="preserve">VD constituye un incentivo para que el MEF proporcione al </w:t>
      </w:r>
      <w:r w:rsidR="00650A31">
        <w:rPr>
          <w:lang w:val="es-ES_tradnl"/>
        </w:rPr>
        <w:t>programa</w:t>
      </w:r>
      <w:r w:rsidR="00754B52" w:rsidRPr="00976BFF">
        <w:rPr>
          <w:lang w:val="es-ES_tradnl"/>
        </w:rPr>
        <w:t xml:space="preserve"> los niveles previstos de financiamiento, pues caso contrario el </w:t>
      </w:r>
      <w:r w:rsidR="00650A31">
        <w:rPr>
          <w:lang w:val="es-ES_tradnl"/>
        </w:rPr>
        <w:t>programa</w:t>
      </w:r>
      <w:r w:rsidR="00754B52" w:rsidRPr="00976BFF">
        <w:rPr>
          <w:lang w:val="es-ES_tradnl"/>
        </w:rPr>
        <w:t xml:space="preserve"> no </w:t>
      </w:r>
      <w:r w:rsidR="001321C4">
        <w:rPr>
          <w:lang w:val="es-ES_tradnl"/>
        </w:rPr>
        <w:t>se ejecuta</w:t>
      </w:r>
      <w:r w:rsidR="00754B52" w:rsidRPr="00976BFF">
        <w:rPr>
          <w:lang w:val="es-ES_tradnl"/>
        </w:rPr>
        <w:t xml:space="preserve"> ni se desembolsa el importe del préstamo</w:t>
      </w:r>
      <w:r w:rsidR="0097631A" w:rsidRPr="00976BFF">
        <w:rPr>
          <w:lang w:val="es-ES_tradnl"/>
        </w:rPr>
        <w:t>.</w:t>
      </w:r>
      <w:r w:rsidR="00A7612F" w:rsidRPr="00976BFF">
        <w:rPr>
          <w:lang w:val="es-ES_tradnl"/>
        </w:rPr>
        <w:t xml:space="preserve"> </w:t>
      </w:r>
    </w:p>
    <w:p w:rsidR="00A764A2" w:rsidRPr="00976BFF" w:rsidRDefault="00754B52" w:rsidP="00625FD2">
      <w:pPr>
        <w:pStyle w:val="MainPara"/>
        <w:rPr>
          <w:lang w:val="es-ES_tradnl"/>
        </w:rPr>
      </w:pPr>
      <w:r w:rsidRPr="00976BFF">
        <w:rPr>
          <w:b/>
          <w:lang w:val="es-ES_tradnl"/>
        </w:rPr>
        <w:t>Fundamentos económicos</w:t>
      </w:r>
      <w:r w:rsidR="001750CE" w:rsidRPr="000B5989">
        <w:rPr>
          <w:b/>
          <w:lang w:val="es-ES_tradnl"/>
        </w:rPr>
        <w:t>.</w:t>
      </w:r>
      <w:r w:rsidR="00612FFC" w:rsidRPr="00976BFF">
        <w:rPr>
          <w:lang w:val="es-ES_tradnl"/>
        </w:rPr>
        <w:t xml:space="preserve"> </w:t>
      </w:r>
      <w:r w:rsidRPr="00976BFF">
        <w:rPr>
          <w:lang w:val="es-ES_tradnl"/>
        </w:rPr>
        <w:t>Además de los costos económicos que se cuantifican más adelante, el mantenimiento y la rehabilitación de la infraestructura vial constituyen un instrumento fundamental para promover el crecimiento incluyente en Uruguay</w:t>
      </w:r>
      <w:r w:rsidR="00C80044">
        <w:rPr>
          <w:lang w:val="es-ES_tradnl"/>
        </w:rPr>
        <w:t xml:space="preserve"> ya que </w:t>
      </w:r>
      <w:r w:rsidR="00C80044" w:rsidRPr="00976BFF">
        <w:rPr>
          <w:lang w:val="es-ES_tradnl"/>
        </w:rPr>
        <w:t>apoy</w:t>
      </w:r>
      <w:r w:rsidR="00C80044">
        <w:rPr>
          <w:lang w:val="es-ES_tradnl"/>
        </w:rPr>
        <w:t>an</w:t>
      </w:r>
      <w:r w:rsidR="00C80044" w:rsidRPr="00976BFF">
        <w:rPr>
          <w:lang w:val="es-ES_tradnl"/>
        </w:rPr>
        <w:t xml:space="preserve"> </w:t>
      </w:r>
      <w:r w:rsidRPr="00976BFF">
        <w:rPr>
          <w:lang w:val="es-ES_tradnl"/>
        </w:rPr>
        <w:t xml:space="preserve">al crecimiento y la competitividad de la industria y la agroindustria a través de cadenas de logística más confiables. Asimismo, el </w:t>
      </w:r>
      <w:r w:rsidR="00650A31">
        <w:rPr>
          <w:lang w:val="es-ES_tradnl"/>
        </w:rPr>
        <w:t>programa</w:t>
      </w:r>
      <w:r w:rsidRPr="00976BFF">
        <w:rPr>
          <w:lang w:val="es-ES_tradnl"/>
        </w:rPr>
        <w:t xml:space="preserve"> promoverá, a través de la mejora del transporte, un mayor nivel </w:t>
      </w:r>
      <w:r w:rsidR="00C94783">
        <w:rPr>
          <w:lang w:val="es-ES_tradnl"/>
        </w:rPr>
        <w:t xml:space="preserve">de </w:t>
      </w:r>
      <w:r w:rsidRPr="00976BFF">
        <w:rPr>
          <w:lang w:val="es-ES_tradnl"/>
        </w:rPr>
        <w:t xml:space="preserve">acceso a los puertos, los mercados, la educación, la salud y otros servicios sociales para un amplio espectro de personas. Por último, se prevé que el </w:t>
      </w:r>
      <w:r w:rsidR="00650A31">
        <w:rPr>
          <w:lang w:val="es-ES_tradnl"/>
        </w:rPr>
        <w:t>programa</w:t>
      </w:r>
      <w:r w:rsidRPr="00976BFF">
        <w:rPr>
          <w:lang w:val="es-ES_tradnl"/>
        </w:rPr>
        <w:t xml:space="preserve"> tendrá un cierto impacto positivo en la seguridad vial, en un país </w:t>
      </w:r>
      <w:r w:rsidR="00343526" w:rsidRPr="00976BFF">
        <w:rPr>
          <w:lang w:val="es-ES_tradnl"/>
        </w:rPr>
        <w:t xml:space="preserve">con una de las tasas de </w:t>
      </w:r>
      <w:r w:rsidR="001321C4">
        <w:rPr>
          <w:lang w:val="es-ES_tradnl"/>
        </w:rPr>
        <w:t>mortalidad por</w:t>
      </w:r>
      <w:r w:rsidR="00343526" w:rsidRPr="00976BFF">
        <w:rPr>
          <w:lang w:val="es-ES_tradnl"/>
        </w:rPr>
        <w:t xml:space="preserve"> accidentes de tránsito más altas de la región: el mejoramiento de la infraestructura es un componente fundamental del enfoque holístico necesario </w:t>
      </w:r>
      <w:r w:rsidR="00396408" w:rsidRPr="00976BFF">
        <w:rPr>
          <w:lang w:val="es-ES_tradnl"/>
        </w:rPr>
        <w:t xml:space="preserve">para abordar las cuestiones relativas a la seguridad vial. Los beneficios cuantificados que se han de derivar de las inversiones comprendidas en el </w:t>
      </w:r>
      <w:r w:rsidR="00650A31">
        <w:rPr>
          <w:lang w:val="es-ES_tradnl"/>
        </w:rPr>
        <w:t>programa</w:t>
      </w:r>
      <w:r w:rsidR="00343526" w:rsidRPr="00976BFF">
        <w:rPr>
          <w:lang w:val="es-ES_tradnl"/>
        </w:rPr>
        <w:t xml:space="preserve"> </w:t>
      </w:r>
      <w:r w:rsidR="00396408" w:rsidRPr="00976BFF">
        <w:rPr>
          <w:lang w:val="es-ES_tradnl"/>
        </w:rPr>
        <w:t>incluyen el ahorro que realizarán los usuarios viales en los costos de operación de vehículos, y el ahorro de la DNV en los costos de reconstrucción de caminos y tiempo de viaje de pasajeros y cargas. Se calcula que en el curso de 15 años, el valor neto actualizado (VNA), a una tasa de descuento del 12%, y la tasa interna de rentabilidad (TIR)</w:t>
      </w:r>
      <w:r w:rsidR="001321C4">
        <w:rPr>
          <w:lang w:val="es-ES_tradnl"/>
        </w:rPr>
        <w:t xml:space="preserve"> conexa</w:t>
      </w:r>
      <w:r w:rsidR="00396408" w:rsidRPr="00976BFF">
        <w:rPr>
          <w:lang w:val="es-ES_tradnl"/>
        </w:rPr>
        <w:t xml:space="preserve"> de las inversiones incluidas en </w:t>
      </w:r>
      <w:r w:rsidR="00C80044">
        <w:rPr>
          <w:lang w:val="es-ES_tradnl"/>
        </w:rPr>
        <w:t xml:space="preserve">la situación hipotética </w:t>
      </w:r>
      <w:r w:rsidR="00396408" w:rsidRPr="00976BFF">
        <w:rPr>
          <w:lang w:val="es-ES_tradnl"/>
        </w:rPr>
        <w:t xml:space="preserve">del </w:t>
      </w:r>
      <w:r w:rsidR="00650A31">
        <w:rPr>
          <w:lang w:val="es-ES_tradnl"/>
        </w:rPr>
        <w:t>programa</w:t>
      </w:r>
      <w:r w:rsidR="00396408" w:rsidRPr="00976BFF">
        <w:rPr>
          <w:lang w:val="es-ES_tradnl"/>
        </w:rPr>
        <w:t xml:space="preserve"> con financiamiento del Banco ascenderán a una suma equivalente a </w:t>
      </w:r>
      <w:r w:rsidR="003010D2" w:rsidRPr="00976BFF">
        <w:rPr>
          <w:lang w:val="es-ES_tradnl"/>
        </w:rPr>
        <w:t>US$</w:t>
      </w:r>
      <w:r w:rsidR="009E06F4" w:rsidRPr="00976BFF">
        <w:rPr>
          <w:lang w:val="es-ES_tradnl"/>
        </w:rPr>
        <w:t>1</w:t>
      </w:r>
      <w:r w:rsidR="00E13F26" w:rsidRPr="00976BFF">
        <w:rPr>
          <w:lang w:val="es-ES_tradnl"/>
        </w:rPr>
        <w:t>44</w:t>
      </w:r>
      <w:r w:rsidR="003010D2" w:rsidRPr="00976BFF">
        <w:rPr>
          <w:lang w:val="es-ES_tradnl"/>
        </w:rPr>
        <w:t xml:space="preserve"> millon</w:t>
      </w:r>
      <w:r w:rsidR="00396408" w:rsidRPr="00976BFF">
        <w:rPr>
          <w:lang w:val="es-ES_tradnl"/>
        </w:rPr>
        <w:t xml:space="preserve">es y el </w:t>
      </w:r>
      <w:r w:rsidR="009E06F4" w:rsidRPr="00976BFF">
        <w:rPr>
          <w:lang w:val="es-ES_tradnl"/>
        </w:rPr>
        <w:t>29</w:t>
      </w:r>
      <w:r w:rsidR="00396408" w:rsidRPr="00976BFF">
        <w:rPr>
          <w:lang w:val="es-ES_tradnl"/>
        </w:rPr>
        <w:t>%, respectivamente</w:t>
      </w:r>
      <w:r w:rsidR="003010D2" w:rsidRPr="00976BFF">
        <w:rPr>
          <w:lang w:val="es-ES_tradnl"/>
        </w:rPr>
        <w:t>.</w:t>
      </w:r>
    </w:p>
    <w:p w:rsidR="00B40685" w:rsidRPr="00976BFF" w:rsidRDefault="00062BBC" w:rsidP="00625FD2">
      <w:pPr>
        <w:pStyle w:val="MainPara"/>
        <w:rPr>
          <w:lang w:val="es-ES_tradnl"/>
        </w:rPr>
      </w:pPr>
      <w:r w:rsidRPr="00976BFF">
        <w:rPr>
          <w:b/>
          <w:lang w:val="es-ES_tradnl"/>
        </w:rPr>
        <w:t xml:space="preserve">Sistemas técnicos y mecanismos de ejecución de </w:t>
      </w:r>
      <w:r w:rsidR="00650A31">
        <w:rPr>
          <w:b/>
          <w:lang w:val="es-ES_tradnl"/>
        </w:rPr>
        <w:t>programa</w:t>
      </w:r>
      <w:r w:rsidR="00406984" w:rsidRPr="000B5989">
        <w:rPr>
          <w:b/>
          <w:lang w:val="es-ES_tradnl"/>
        </w:rPr>
        <w:t>.</w:t>
      </w:r>
      <w:r w:rsidR="00406984" w:rsidRPr="00976BFF">
        <w:rPr>
          <w:lang w:val="es-ES_tradnl"/>
        </w:rPr>
        <w:t xml:space="preserve"> </w:t>
      </w:r>
      <w:r w:rsidR="00B42895" w:rsidRPr="00976BFF">
        <w:rPr>
          <w:lang w:val="es-ES_tradnl"/>
        </w:rPr>
        <w:t xml:space="preserve">En general, se considera que los sistemas y procesos técnicos del </w:t>
      </w:r>
      <w:r w:rsidR="00650A31">
        <w:rPr>
          <w:lang w:val="es-ES_tradnl"/>
        </w:rPr>
        <w:t>programa</w:t>
      </w:r>
      <w:r w:rsidR="00B42895" w:rsidRPr="00976BFF">
        <w:rPr>
          <w:lang w:val="es-ES_tradnl"/>
        </w:rPr>
        <w:t xml:space="preserve"> y los mecanismos de ejecución son satisfactorios. No obstante, se han identificado cuestiones que podrían mejorarse y se describen en la sección </w:t>
      </w:r>
      <w:r w:rsidR="004B39CC" w:rsidRPr="00976BFF">
        <w:rPr>
          <w:lang w:val="es-ES_tradnl"/>
        </w:rPr>
        <w:t xml:space="preserve">IV.E, </w:t>
      </w:r>
      <w:r w:rsidR="00C80044">
        <w:rPr>
          <w:lang w:val="es-ES_tradnl"/>
        </w:rPr>
        <w:t>“</w:t>
      </w:r>
      <w:r w:rsidR="007A653A" w:rsidRPr="000B5989">
        <w:rPr>
          <w:lang w:val="es-ES_tradnl"/>
        </w:rPr>
        <w:t xml:space="preserve">Plan de Acción del </w:t>
      </w:r>
      <w:r w:rsidR="00650A31" w:rsidRPr="000B5989">
        <w:rPr>
          <w:lang w:val="es-ES_tradnl"/>
        </w:rPr>
        <w:t>programa</w:t>
      </w:r>
      <w:r w:rsidR="00C80044">
        <w:rPr>
          <w:lang w:val="es-ES_tradnl"/>
        </w:rPr>
        <w:t>”</w:t>
      </w:r>
      <w:r w:rsidR="00F9391C" w:rsidRPr="00976BFF">
        <w:rPr>
          <w:lang w:val="es-ES_tradnl"/>
        </w:rPr>
        <w:t xml:space="preserve"> </w:t>
      </w:r>
      <w:r w:rsidR="00B42895" w:rsidRPr="00976BFF">
        <w:rPr>
          <w:lang w:val="es-ES_tradnl"/>
        </w:rPr>
        <w:t>y en el anexo</w:t>
      </w:r>
      <w:r w:rsidR="00F9391C" w:rsidRPr="00976BFF">
        <w:rPr>
          <w:lang w:val="es-ES_tradnl"/>
        </w:rPr>
        <w:t xml:space="preserve"> 4. </w:t>
      </w:r>
      <w:r w:rsidR="008C7964" w:rsidRPr="00976BFF">
        <w:rPr>
          <w:lang w:val="es-ES_tradnl"/>
        </w:rPr>
        <w:t xml:space="preserve">En el marco del </w:t>
      </w:r>
      <w:r w:rsidR="00650A31">
        <w:rPr>
          <w:lang w:val="es-ES_tradnl"/>
        </w:rPr>
        <w:t>programa</w:t>
      </w:r>
      <w:r w:rsidR="008C7964" w:rsidRPr="00976BFF">
        <w:rPr>
          <w:lang w:val="es-ES_tradnl"/>
        </w:rPr>
        <w:t xml:space="preserve">, se está llevando a </w:t>
      </w:r>
      <w:r w:rsidR="009914EF" w:rsidRPr="00976BFF">
        <w:rPr>
          <w:lang w:val="es-ES_tradnl"/>
        </w:rPr>
        <w:t>cabo</w:t>
      </w:r>
      <w:r w:rsidR="008C7964" w:rsidRPr="00976BFF">
        <w:rPr>
          <w:lang w:val="es-ES_tradnl"/>
        </w:rPr>
        <w:t xml:space="preserve"> una acertada planificación basada en un sistema de gestión de pavimentos respaldado por el modelo de desarrollo y gestión </w:t>
      </w:r>
      <w:r w:rsidR="008743EA" w:rsidRPr="00976BFF">
        <w:rPr>
          <w:lang w:val="es-ES_tradnl"/>
        </w:rPr>
        <w:t>vial</w:t>
      </w:r>
      <w:r w:rsidR="008C7964" w:rsidRPr="00976BFF">
        <w:rPr>
          <w:lang w:val="es-ES_tradnl"/>
        </w:rPr>
        <w:t xml:space="preserve">. El diseño de ingeniería para la rehabilitación vial es sencillo y se podría lograr un cierto aumento de la eficiencia en este nivel (véase el </w:t>
      </w:r>
      <w:r w:rsidR="007A653A" w:rsidRPr="00976BFF">
        <w:rPr>
          <w:lang w:val="es-ES_tradnl"/>
        </w:rPr>
        <w:t xml:space="preserve">Plan de Acción del </w:t>
      </w:r>
      <w:r w:rsidR="00650A31">
        <w:rPr>
          <w:lang w:val="es-ES_tradnl"/>
        </w:rPr>
        <w:t>programa</w:t>
      </w:r>
      <w:r w:rsidR="008C7964" w:rsidRPr="00976BFF">
        <w:rPr>
          <w:lang w:val="es-ES_tradnl"/>
        </w:rPr>
        <w:t xml:space="preserve">). </w:t>
      </w:r>
      <w:r w:rsidR="00590965" w:rsidRPr="00976BFF">
        <w:rPr>
          <w:lang w:val="es-ES_tradnl"/>
        </w:rPr>
        <w:t>Sobre la base de las visitas sobre el terreno que el equipo realizó durante la etapa de preparación, la calidad de las obras de mantenimiento vial ejecutadas por la DNV es en general aceptable, aunque con grandes variaciones entre regiones y cuadrillas. Las obras de mantenimiento de rutina ejecutadas por la DNV son adecuadas para los caminos de poco tr</w:t>
      </w:r>
      <w:r w:rsidR="00C510D3" w:rsidRPr="00976BFF">
        <w:rPr>
          <w:lang w:val="es-ES_tradnl"/>
        </w:rPr>
        <w:t>áfico que abarcan, y se pueden flexibilizar en ca</w:t>
      </w:r>
      <w:r w:rsidR="001C47AE">
        <w:rPr>
          <w:lang w:val="es-ES_tradnl"/>
        </w:rPr>
        <w:t xml:space="preserve">so de ajustes presupuestarios. </w:t>
      </w:r>
      <w:r w:rsidR="00C510D3" w:rsidRPr="00976BFF">
        <w:rPr>
          <w:lang w:val="es-ES_tradnl"/>
        </w:rPr>
        <w:t>La supervisión de las obras se adapta globalmente a la complejidad relativamente baja de las obras de rehabilitación, aunque la falta de personal plantea problemas que podrían menoscabar la eficacia del proceso de supervisión</w:t>
      </w:r>
      <w:r w:rsidR="00B66E38" w:rsidRPr="00976BFF">
        <w:rPr>
          <w:lang w:val="es-ES_tradnl"/>
        </w:rPr>
        <w:t>.</w:t>
      </w:r>
      <w:r w:rsidR="00EE1F87" w:rsidRPr="00976BFF">
        <w:rPr>
          <w:u w:val="single"/>
          <w:lang w:val="es-ES_tradnl"/>
        </w:rPr>
        <w:t xml:space="preserve"> </w:t>
      </w:r>
    </w:p>
    <w:p w:rsidR="00B40685" w:rsidRPr="00976BFF" w:rsidRDefault="00046F2F" w:rsidP="00625FD2">
      <w:pPr>
        <w:pStyle w:val="MainPara"/>
        <w:rPr>
          <w:lang w:val="es-ES_tradnl"/>
        </w:rPr>
      </w:pPr>
      <w:r w:rsidRPr="00976BFF">
        <w:rPr>
          <w:b/>
          <w:lang w:val="es-ES_tradnl"/>
        </w:rPr>
        <w:t>Seguimiento y evaluación</w:t>
      </w:r>
      <w:r w:rsidR="00406984" w:rsidRPr="000B5989">
        <w:rPr>
          <w:b/>
          <w:lang w:val="es-ES_tradnl"/>
        </w:rPr>
        <w:t>.</w:t>
      </w:r>
      <w:r w:rsidR="00406984" w:rsidRPr="00976BFF">
        <w:rPr>
          <w:lang w:val="es-ES_tradnl"/>
        </w:rPr>
        <w:t xml:space="preserve"> </w:t>
      </w:r>
      <w:r w:rsidRPr="00976BFF">
        <w:rPr>
          <w:lang w:val="es-ES_tradnl"/>
        </w:rPr>
        <w:t xml:space="preserve">Se considera que los sistemas de seguimiento y evaluación existentes en la DNV y CVU permiten realizar un seguimiento satisfactorio de las actividades y los resultados del </w:t>
      </w:r>
      <w:r w:rsidR="00650A31">
        <w:rPr>
          <w:lang w:val="es-ES_tradnl"/>
        </w:rPr>
        <w:t>programa</w:t>
      </w:r>
      <w:r w:rsidRPr="00976BFF">
        <w:rPr>
          <w:lang w:val="es-ES_tradnl"/>
        </w:rPr>
        <w:t xml:space="preserve">. No se ha identificado ninguna deficiencia importante en comparación con la práctica estándar; algunos aspectos se consideran prácticas óptimas: el </w:t>
      </w:r>
      <w:r w:rsidR="006F1BF4" w:rsidRPr="00976BFF">
        <w:rPr>
          <w:lang w:val="es-ES_tradnl"/>
        </w:rPr>
        <w:t>seguimiento de las condiciones de la red vial nacional que realiza la DNV del MTOP e incluye el estado del pavimento, el volumen de tráfico terrestre y la</w:t>
      </w:r>
      <w:r w:rsidR="002D6F04" w:rsidRPr="00976BFF">
        <w:rPr>
          <w:lang w:val="es-ES_tradnl"/>
        </w:rPr>
        <w:t xml:space="preserve"> carga por ejes</w:t>
      </w:r>
      <w:r w:rsidR="006F1BF4" w:rsidRPr="00976BFF">
        <w:rPr>
          <w:lang w:val="es-ES_tradnl"/>
        </w:rPr>
        <w:t xml:space="preserve"> es excepcional </w:t>
      </w:r>
      <w:r w:rsidR="002D6F04" w:rsidRPr="00976BFF">
        <w:rPr>
          <w:lang w:val="es-ES_tradnl"/>
        </w:rPr>
        <w:t xml:space="preserve">en comparación con el de otros países de la región. En vista de ello, muchos de los indicadores incluidos en el marco de resultados del </w:t>
      </w:r>
      <w:r w:rsidR="00650A31">
        <w:rPr>
          <w:lang w:val="es-ES_tradnl"/>
        </w:rPr>
        <w:t>programa</w:t>
      </w:r>
      <w:r w:rsidR="002D6F04" w:rsidRPr="00976BFF">
        <w:rPr>
          <w:lang w:val="es-ES_tradnl"/>
        </w:rPr>
        <w:t xml:space="preserve"> se basarán en datos aportados por el sistema de información de la DNV</w:t>
      </w:r>
      <w:r w:rsidR="009E06F4" w:rsidRPr="00976BFF">
        <w:rPr>
          <w:lang w:val="es-ES_tradnl"/>
        </w:rPr>
        <w:t>.</w:t>
      </w:r>
    </w:p>
    <w:p w:rsidR="00BE28DC" w:rsidRPr="00976BFF" w:rsidRDefault="00BE28DC" w:rsidP="00BE28DC">
      <w:pPr>
        <w:rPr>
          <w:lang w:val="es-ES_tradnl"/>
        </w:rPr>
      </w:pPr>
    </w:p>
    <w:p w:rsidR="0064190C" w:rsidRPr="00976BFF" w:rsidRDefault="00C13B3D">
      <w:pPr>
        <w:pStyle w:val="Heading2"/>
        <w:rPr>
          <w:lang w:val="es-ES_tradnl"/>
        </w:rPr>
      </w:pPr>
      <w:bookmarkStart w:id="23" w:name="_Toc344927163"/>
      <w:r w:rsidRPr="00976BFF">
        <w:rPr>
          <w:lang w:val="es-ES_tradnl"/>
        </w:rPr>
        <w:t>Aspectos</w:t>
      </w:r>
      <w:r w:rsidR="002D6F04" w:rsidRPr="00976BFF">
        <w:rPr>
          <w:lang w:val="es-ES_tradnl"/>
        </w:rPr>
        <w:t xml:space="preserve"> fiduciari</w:t>
      </w:r>
      <w:r w:rsidRPr="00976BFF">
        <w:rPr>
          <w:lang w:val="es-ES_tradnl"/>
        </w:rPr>
        <w:t>os</w:t>
      </w:r>
      <w:bookmarkEnd w:id="23"/>
    </w:p>
    <w:p w:rsidR="00AE76EC" w:rsidRPr="00976BFF" w:rsidRDefault="006C2374" w:rsidP="00625FD2">
      <w:pPr>
        <w:pStyle w:val="MainPara"/>
        <w:rPr>
          <w:lang w:val="es-ES_tradnl"/>
        </w:rPr>
      </w:pPr>
      <w:r w:rsidRPr="00976BFF">
        <w:rPr>
          <w:lang w:val="es-ES_tradnl"/>
        </w:rPr>
        <w:t xml:space="preserve">En general, se considera que los sistemas fiduciarios del </w:t>
      </w:r>
      <w:r w:rsidR="00650A31">
        <w:rPr>
          <w:lang w:val="es-ES_tradnl"/>
        </w:rPr>
        <w:t>programa</w:t>
      </w:r>
      <w:r w:rsidRPr="00976BFF">
        <w:rPr>
          <w:lang w:val="es-ES_tradnl"/>
        </w:rPr>
        <w:t xml:space="preserve">, incluidos los mecanismos fiduciarios para ejecutar los contratos financiados por el BID y por el </w:t>
      </w:r>
      <w:r w:rsidR="003A6494" w:rsidRPr="00976BFF">
        <w:rPr>
          <w:lang w:val="es-ES_tradnl"/>
        </w:rPr>
        <w:t>FONPLATA</w:t>
      </w:r>
      <w:r w:rsidRPr="00976BFF">
        <w:rPr>
          <w:lang w:val="es-ES_tradnl"/>
        </w:rPr>
        <w:t xml:space="preserve">, son satisfactorios y brindan un grado razonable de seguridad de que los fondos del </w:t>
      </w:r>
      <w:r w:rsidR="00650A31">
        <w:rPr>
          <w:lang w:val="es-ES_tradnl"/>
        </w:rPr>
        <w:t>programa</w:t>
      </w:r>
      <w:r w:rsidRPr="00976BFF">
        <w:rPr>
          <w:lang w:val="es-ES_tradnl"/>
        </w:rPr>
        <w:t xml:space="preserve"> se utilizarán para los fines previstos. Se ha determinado </w:t>
      </w:r>
      <w:r w:rsidR="005943C0" w:rsidRPr="00976BFF">
        <w:rPr>
          <w:lang w:val="es-ES_tradnl"/>
        </w:rPr>
        <w:t xml:space="preserve">que no existe ningún riesgo fiduciario importante que pueda impedir que el </w:t>
      </w:r>
      <w:r w:rsidR="00650A31">
        <w:rPr>
          <w:lang w:val="es-ES_tradnl"/>
        </w:rPr>
        <w:t>programa</w:t>
      </w:r>
      <w:r w:rsidR="005943C0" w:rsidRPr="00976BFF">
        <w:rPr>
          <w:lang w:val="es-ES_tradnl"/>
        </w:rPr>
        <w:t xml:space="preserve"> genere los resultados previstos</w:t>
      </w:r>
      <w:r w:rsidR="00E96DD0" w:rsidRPr="00976BFF">
        <w:rPr>
          <w:lang w:val="es-ES_tradnl"/>
        </w:rPr>
        <w:t xml:space="preserve">. </w:t>
      </w:r>
    </w:p>
    <w:p w:rsidR="0007594F" w:rsidRPr="00976BFF" w:rsidRDefault="005943C0" w:rsidP="00625FD2">
      <w:pPr>
        <w:pStyle w:val="MainPara"/>
        <w:rPr>
          <w:lang w:val="es-ES_tradnl"/>
        </w:rPr>
      </w:pPr>
      <w:r w:rsidRPr="00976BFF">
        <w:rPr>
          <w:b/>
          <w:lang w:val="es-ES_tradnl"/>
        </w:rPr>
        <w:t>Adquisiciones</w:t>
      </w:r>
      <w:r w:rsidR="0069123C" w:rsidRPr="000B5989">
        <w:rPr>
          <w:b/>
          <w:lang w:val="es-ES_tradnl"/>
        </w:rPr>
        <w:t>.</w:t>
      </w:r>
      <w:r w:rsidR="0069123C" w:rsidRPr="00976BFF">
        <w:rPr>
          <w:lang w:val="es-ES_tradnl"/>
        </w:rPr>
        <w:t xml:space="preserve"> </w:t>
      </w:r>
      <w:r w:rsidRPr="00976BFF">
        <w:rPr>
          <w:lang w:val="es-ES_tradnl"/>
        </w:rPr>
        <w:t xml:space="preserve">El análisis cuantitativo de los procesos de contratación de obras del </w:t>
      </w:r>
      <w:r w:rsidR="00650A31">
        <w:rPr>
          <w:lang w:val="es-ES_tradnl"/>
        </w:rPr>
        <w:t>programa</w:t>
      </w:r>
      <w:r w:rsidRPr="00976BFF">
        <w:rPr>
          <w:lang w:val="es-ES_tradnl"/>
        </w:rPr>
        <w:t xml:space="preserve"> durante los últimos cuatro años pone de relieve el buen desempeño de las adquisiciones en términos de economía y eficiencia, respaldado por un alto nivel de competitividad y transparencia. </w:t>
      </w:r>
      <w:r w:rsidR="00CB0B46" w:rsidRPr="00976BFF">
        <w:rPr>
          <w:lang w:val="es-ES_tradnl"/>
        </w:rPr>
        <w:t xml:space="preserve">Los datos recabados en la evaluación fiduciaria demuestran que los procesos de adquisiciones aplicados por la DNV son transparentes y competitivos. </w:t>
      </w:r>
      <w:r w:rsidR="0082455B" w:rsidRPr="00976BFF">
        <w:rPr>
          <w:lang w:val="es-ES_tradnl"/>
        </w:rPr>
        <w:t xml:space="preserve">La licitación pública es el método normal de adquisiciones en el país, y todos los contratos con un costo estimado superior al equivalente a </w:t>
      </w:r>
      <w:r w:rsidR="00EC0D40" w:rsidRPr="00976BFF">
        <w:rPr>
          <w:lang w:val="es-ES_tradnl"/>
        </w:rPr>
        <w:t>US$700</w:t>
      </w:r>
      <w:r w:rsidR="0082455B" w:rsidRPr="00976BFF">
        <w:rPr>
          <w:lang w:val="es-ES_tradnl"/>
        </w:rPr>
        <w:t xml:space="preserve"> se publican en el sitio web de libre acceso denominado </w:t>
      </w:r>
      <w:r w:rsidR="00C80044">
        <w:rPr>
          <w:lang w:val="es-ES_tradnl"/>
        </w:rPr>
        <w:t>“</w:t>
      </w:r>
      <w:r w:rsidR="009C0703" w:rsidRPr="000B5989">
        <w:rPr>
          <w:lang w:val="es-ES_tradnl"/>
        </w:rPr>
        <w:t>Comprasestatales</w:t>
      </w:r>
      <w:r w:rsidR="00C80044" w:rsidRPr="000B5989">
        <w:rPr>
          <w:lang w:val="es-ES_tradnl"/>
        </w:rPr>
        <w:t>”</w:t>
      </w:r>
      <w:r w:rsidR="00EC0D40" w:rsidRPr="00976BFF">
        <w:rPr>
          <w:lang w:val="es-ES_tradnl"/>
        </w:rPr>
        <w:t xml:space="preserve">. </w:t>
      </w:r>
      <w:r w:rsidR="0082455B" w:rsidRPr="00976BFF">
        <w:rPr>
          <w:lang w:val="es-ES_tradnl"/>
        </w:rPr>
        <w:t xml:space="preserve">Las adquisiciones realizadas por </w:t>
      </w:r>
      <w:r w:rsidR="00D50235" w:rsidRPr="00976BFF">
        <w:rPr>
          <w:lang w:val="es-ES_tradnl"/>
        </w:rPr>
        <w:t xml:space="preserve">CVU </w:t>
      </w:r>
      <w:r w:rsidR="0082455B" w:rsidRPr="00976BFF">
        <w:rPr>
          <w:lang w:val="es-ES_tradnl"/>
        </w:rPr>
        <w:t>son transparentes y</w:t>
      </w:r>
      <w:r w:rsidR="005F4FDF">
        <w:rPr>
          <w:lang w:val="es-ES_tradnl"/>
        </w:rPr>
        <w:t xml:space="preserve"> los contratos</w:t>
      </w:r>
      <w:r w:rsidR="0082455B" w:rsidRPr="00976BFF">
        <w:rPr>
          <w:lang w:val="es-ES_tradnl"/>
        </w:rPr>
        <w:t xml:space="preserve"> se adjudican al licitante calificado que presenta la oferta más baja. </w:t>
      </w:r>
      <w:r w:rsidR="00A54E75" w:rsidRPr="00976BFF">
        <w:rPr>
          <w:lang w:val="es-ES_tradnl"/>
        </w:rPr>
        <w:t xml:space="preserve">Todas las obras adjudicadas por CVU se difunden a los licitantes antes de la firma del contrato, en el marco de un </w:t>
      </w:r>
      <w:r w:rsidR="009914EF" w:rsidRPr="00976BFF">
        <w:rPr>
          <w:lang w:val="es-ES_tradnl"/>
        </w:rPr>
        <w:t>procedimiento</w:t>
      </w:r>
      <w:r w:rsidR="00A54E75" w:rsidRPr="00976BFF">
        <w:rPr>
          <w:lang w:val="es-ES_tradnl"/>
        </w:rPr>
        <w:t xml:space="preserve"> local denominado “vistas”</w:t>
      </w:r>
      <w:r w:rsidR="00AE76EC" w:rsidRPr="00976BFF">
        <w:rPr>
          <w:lang w:val="es-ES_tradnl"/>
        </w:rPr>
        <w:t>.</w:t>
      </w:r>
    </w:p>
    <w:p w:rsidR="0059595E" w:rsidRPr="00976BFF" w:rsidRDefault="00A54E75" w:rsidP="0059595E">
      <w:pPr>
        <w:pStyle w:val="MainPara"/>
        <w:rPr>
          <w:lang w:val="es-ES_tradnl"/>
        </w:rPr>
      </w:pPr>
      <w:r w:rsidRPr="00976BFF">
        <w:rPr>
          <w:lang w:val="es-ES_tradnl"/>
        </w:rPr>
        <w:t>Los mencionados resultados son, en parte, consecuencia del sistemas de adquisiciones consolidado y maduro que se aplica en Uruguay y se basa en un marco regulatorio que ha evolucionado gradualmente durante los últimos 24 años. Con todo, es posible incorporar mejoras en el marco regulatorio y se han incluido algunas en la versión de 2012 del TOCAF</w:t>
      </w:r>
      <w:r w:rsidR="00C94783">
        <w:rPr>
          <w:lang w:val="es-ES_tradnl"/>
        </w:rPr>
        <w:t>,</w:t>
      </w:r>
      <w:r w:rsidRPr="00976BFF">
        <w:rPr>
          <w:lang w:val="es-ES_tradnl"/>
        </w:rPr>
        <w:t xml:space="preserve"> que han mejorado marcadamente el actual marco jurídico para las adquisiciones. Las deficiencias restantes tienen escaso impacto en el desempeño del </w:t>
      </w:r>
      <w:r w:rsidR="00650A31">
        <w:rPr>
          <w:lang w:val="es-ES_tradnl"/>
        </w:rPr>
        <w:t>programa</w:t>
      </w:r>
      <w:r w:rsidRPr="00976BFF">
        <w:rPr>
          <w:lang w:val="es-ES_tradnl"/>
        </w:rPr>
        <w:t xml:space="preserve"> y no plantean grandes riesgos </w:t>
      </w:r>
      <w:r w:rsidR="00EA10ED" w:rsidRPr="00976BFF">
        <w:rPr>
          <w:lang w:val="es-ES_tradnl"/>
        </w:rPr>
        <w:t>en lo que respecta a</w:t>
      </w:r>
      <w:r w:rsidRPr="00976BFF">
        <w:rPr>
          <w:lang w:val="es-ES_tradnl"/>
        </w:rPr>
        <w:t xml:space="preserve"> su ejecución</w:t>
      </w:r>
      <w:r w:rsidR="00AA5DA8" w:rsidRPr="00976BFF">
        <w:rPr>
          <w:lang w:val="es-ES_tradnl"/>
        </w:rPr>
        <w:t xml:space="preserve">. </w:t>
      </w:r>
    </w:p>
    <w:p w:rsidR="00A764A2" w:rsidRPr="00976BFF" w:rsidRDefault="00EA10ED" w:rsidP="00625FD2">
      <w:pPr>
        <w:pStyle w:val="MainPara"/>
        <w:rPr>
          <w:lang w:val="es-ES_tradnl"/>
        </w:rPr>
      </w:pPr>
      <w:r w:rsidRPr="00976BFF">
        <w:rPr>
          <w:lang w:val="es-ES_tradnl"/>
        </w:rPr>
        <w:t xml:space="preserve">Sobre la base de los datos disponibles para todos los contratos de obras celebrados durante </w:t>
      </w:r>
      <w:r w:rsidR="006D76C4" w:rsidRPr="00976BFF">
        <w:rPr>
          <w:lang w:val="es-ES_tradnl"/>
        </w:rPr>
        <w:t xml:space="preserve">2008-11, </w:t>
      </w:r>
      <w:r w:rsidRPr="00976BFF">
        <w:rPr>
          <w:lang w:val="es-ES_tradnl"/>
        </w:rPr>
        <w:t>la lentitud del proceso decisorio durante la evaluación de las ofertas y la adjudicación de los contratos es el principal aspecto que pone en riesgo la consecución de resultados en el plazo previsto y podría incidir en los precios a pagar. La falta de personal también podría agravar el problema si aumenta la demanda de procesos de adquisiciones</w:t>
      </w:r>
      <w:r w:rsidR="001F5B08" w:rsidRPr="00976BFF">
        <w:rPr>
          <w:lang w:val="es-ES_tradnl"/>
        </w:rPr>
        <w:t xml:space="preserve">, aunque no se espera que se registren aumentos de ese tipo, dado que el nivel de gastos previsto del </w:t>
      </w:r>
      <w:r w:rsidR="00650A31">
        <w:rPr>
          <w:lang w:val="es-ES_tradnl"/>
        </w:rPr>
        <w:t>programa</w:t>
      </w:r>
      <w:r w:rsidR="001F5B08" w:rsidRPr="00976BFF">
        <w:rPr>
          <w:lang w:val="es-ES_tradnl"/>
        </w:rPr>
        <w:t xml:space="preserve"> concuerda en gran medida con el anterior historial</w:t>
      </w:r>
      <w:r w:rsidR="006D76C4" w:rsidRPr="00976BFF">
        <w:rPr>
          <w:lang w:val="es-ES_tradnl"/>
        </w:rPr>
        <w:t>.</w:t>
      </w:r>
    </w:p>
    <w:p w:rsidR="00A764A2" w:rsidRPr="00976BFF" w:rsidRDefault="001F5B08" w:rsidP="00625FD2">
      <w:pPr>
        <w:pStyle w:val="MainPara"/>
        <w:rPr>
          <w:lang w:val="es-ES_tradnl"/>
        </w:rPr>
      </w:pPr>
      <w:r w:rsidRPr="00976BFF">
        <w:rPr>
          <w:b/>
          <w:lang w:val="es-ES_tradnl"/>
        </w:rPr>
        <w:t>Gestión financiera</w:t>
      </w:r>
      <w:r w:rsidR="009C0703" w:rsidRPr="00976BFF">
        <w:rPr>
          <w:b/>
          <w:lang w:val="es-ES_tradnl"/>
        </w:rPr>
        <w:t xml:space="preserve">. </w:t>
      </w:r>
      <w:r w:rsidRPr="00976BFF">
        <w:rPr>
          <w:lang w:val="es-ES_tradnl"/>
        </w:rPr>
        <w:t>En general</w:t>
      </w:r>
      <w:r w:rsidR="00F84601" w:rsidRPr="00976BFF">
        <w:rPr>
          <w:lang w:val="es-ES_tradnl"/>
        </w:rPr>
        <w:t xml:space="preserve">, </w:t>
      </w:r>
      <w:r w:rsidRPr="00976BFF">
        <w:rPr>
          <w:lang w:val="es-ES_tradnl"/>
        </w:rPr>
        <w:t xml:space="preserve">se considera que los mecanismos de gestión financiera del </w:t>
      </w:r>
      <w:r w:rsidR="00650A31">
        <w:rPr>
          <w:lang w:val="es-ES_tradnl"/>
        </w:rPr>
        <w:t>programa</w:t>
      </w:r>
      <w:r w:rsidRPr="00976BFF">
        <w:rPr>
          <w:lang w:val="es-ES_tradnl"/>
        </w:rPr>
        <w:t xml:space="preserve"> son satisfactorios y brindan un grado razonable de seguridad de que los fondos del </w:t>
      </w:r>
      <w:r w:rsidR="00650A31">
        <w:rPr>
          <w:lang w:val="es-ES_tradnl"/>
        </w:rPr>
        <w:t>programa</w:t>
      </w:r>
      <w:r w:rsidRPr="00976BFF">
        <w:rPr>
          <w:lang w:val="es-ES_tradnl"/>
        </w:rPr>
        <w:t xml:space="preserve"> se utilizarán para los fines previstos, tanto en el </w:t>
      </w:r>
      <w:r w:rsidR="00F30EE8" w:rsidRPr="00976BFF">
        <w:rPr>
          <w:lang w:val="es-ES_tradnl"/>
        </w:rPr>
        <w:t xml:space="preserve">MTOP </w:t>
      </w:r>
      <w:r w:rsidRPr="00976BFF">
        <w:rPr>
          <w:lang w:val="es-ES_tradnl"/>
        </w:rPr>
        <w:t xml:space="preserve">como en </w:t>
      </w:r>
      <w:r w:rsidR="00F30EE8" w:rsidRPr="00976BFF">
        <w:rPr>
          <w:lang w:val="es-ES_tradnl"/>
        </w:rPr>
        <w:t>CVU</w:t>
      </w:r>
      <w:r w:rsidR="00F84601" w:rsidRPr="00976BFF">
        <w:rPr>
          <w:lang w:val="es-ES_tradnl"/>
        </w:rPr>
        <w:t>.</w:t>
      </w:r>
      <w:r w:rsidR="00AE76EC" w:rsidRPr="00976BFF">
        <w:rPr>
          <w:lang w:val="es-ES_tradnl"/>
        </w:rPr>
        <w:t xml:space="preserve"> </w:t>
      </w:r>
      <w:r w:rsidR="00CF07A8" w:rsidRPr="00976BFF">
        <w:rPr>
          <w:lang w:val="es-ES_tradnl"/>
        </w:rPr>
        <w:t>El sistema presupuestario uruguayo</w:t>
      </w:r>
      <w:r w:rsidR="00732DC4" w:rsidRPr="00976BFF">
        <w:rPr>
          <w:lang w:val="es-ES_tradnl"/>
        </w:rPr>
        <w:t xml:space="preserve"> permite que el Gobierno asigne estratégicamente sus recursos sobre la base de sus políticas y prioridades enunciadas, inclusive a nivel del </w:t>
      </w:r>
      <w:r w:rsidR="00AE76EC" w:rsidRPr="00976BFF">
        <w:rPr>
          <w:lang w:val="es-ES_tradnl"/>
        </w:rPr>
        <w:t>MTOP.</w:t>
      </w:r>
      <w:r w:rsidR="0059595E" w:rsidRPr="00976BFF">
        <w:rPr>
          <w:lang w:val="es-ES_tradnl"/>
        </w:rPr>
        <w:t xml:space="preserve"> </w:t>
      </w:r>
      <w:r w:rsidR="009253A4" w:rsidRPr="00976BFF">
        <w:rPr>
          <w:lang w:val="es-ES_tradnl"/>
        </w:rPr>
        <w:t xml:space="preserve">Uruguay </w:t>
      </w:r>
      <w:r w:rsidR="00732DC4" w:rsidRPr="00976BFF">
        <w:rPr>
          <w:lang w:val="es-ES_tradnl"/>
        </w:rPr>
        <w:t xml:space="preserve">tiene un sistema aceptable de gestión de las finanzas públicas que contribuyó a la consecución de </w:t>
      </w:r>
      <w:r w:rsidR="009914EF" w:rsidRPr="00976BFF">
        <w:rPr>
          <w:lang w:val="es-ES_tradnl"/>
        </w:rPr>
        <w:t>importantes</w:t>
      </w:r>
      <w:r w:rsidR="00732DC4" w:rsidRPr="00976BFF">
        <w:rPr>
          <w:lang w:val="es-ES_tradnl"/>
        </w:rPr>
        <w:t xml:space="preserve"> resultados económicos, financieros y sociales en la última década. </w:t>
      </w:r>
      <w:r w:rsidR="009914EF" w:rsidRPr="00976BFF">
        <w:rPr>
          <w:lang w:val="es-ES_tradnl"/>
        </w:rPr>
        <w:t>Además, este sistema brinda un grado razonable de seguridad de que los riesgos fiduciarios relativos a los fondos del Ban</w:t>
      </w:r>
      <w:r w:rsidR="009914EF">
        <w:rPr>
          <w:lang w:val="es-ES_tradnl"/>
        </w:rPr>
        <w:t>c</w:t>
      </w:r>
      <w:r w:rsidR="009914EF" w:rsidRPr="00976BFF">
        <w:rPr>
          <w:lang w:val="es-ES_tradnl"/>
        </w:rPr>
        <w:t xml:space="preserve">o Mundial serían moderados y permite considerar la ejecución del </w:t>
      </w:r>
      <w:r w:rsidR="00650A31">
        <w:rPr>
          <w:lang w:val="es-ES_tradnl"/>
        </w:rPr>
        <w:t>programa</w:t>
      </w:r>
      <w:r w:rsidR="009914EF" w:rsidRPr="00976BFF">
        <w:rPr>
          <w:lang w:val="es-ES_tradnl"/>
        </w:rPr>
        <w:t xml:space="preserve"> propuesto a través de los sistemas existentes, tanto nacionales como del MTOP, en lo que respecta a la formulación y ejecución del presupuesto, las auditorías y los controles internos, el sistema contable y la presentación de informes, así como la supervisión y las auditorías externas. </w:t>
      </w:r>
      <w:r w:rsidR="003B5481" w:rsidRPr="00976BFF">
        <w:rPr>
          <w:lang w:val="es-ES_tradnl"/>
        </w:rPr>
        <w:t xml:space="preserve">Asimismo, se considera que los mecanismos de tesorería </w:t>
      </w:r>
      <w:r w:rsidR="005F4FDF">
        <w:rPr>
          <w:lang w:val="es-ES_tradnl"/>
        </w:rPr>
        <w:t xml:space="preserve">existentes </w:t>
      </w:r>
      <w:r w:rsidR="003B5481" w:rsidRPr="00976BFF">
        <w:rPr>
          <w:lang w:val="es-ES_tradnl"/>
        </w:rPr>
        <w:t xml:space="preserve">son lo suficientemente sólidos como para gestionar los recursos del </w:t>
      </w:r>
      <w:r w:rsidR="00650A31">
        <w:rPr>
          <w:lang w:val="es-ES_tradnl"/>
        </w:rPr>
        <w:t>programa</w:t>
      </w:r>
      <w:r w:rsidR="003B5481" w:rsidRPr="00976BFF">
        <w:rPr>
          <w:lang w:val="es-ES_tradnl"/>
        </w:rPr>
        <w:t xml:space="preserve"> y no se requieren medidas adicionales de fortalecimiento en es</w:t>
      </w:r>
      <w:r w:rsidR="005F4FDF">
        <w:rPr>
          <w:lang w:val="es-ES_tradnl"/>
        </w:rPr>
        <w:t>t</w:t>
      </w:r>
      <w:r w:rsidR="003B5481" w:rsidRPr="00976BFF">
        <w:rPr>
          <w:lang w:val="es-ES_tradnl"/>
        </w:rPr>
        <w:t>e sentido</w:t>
      </w:r>
      <w:r w:rsidR="009253A4" w:rsidRPr="00976BFF">
        <w:rPr>
          <w:lang w:val="es-ES_tradnl"/>
        </w:rPr>
        <w:t>.</w:t>
      </w:r>
    </w:p>
    <w:p w:rsidR="00A764A2" w:rsidRPr="00976BFF" w:rsidRDefault="00B41815" w:rsidP="00625FD2">
      <w:pPr>
        <w:pStyle w:val="MainPara"/>
        <w:rPr>
          <w:lang w:val="es-ES_tradnl"/>
        </w:rPr>
      </w:pPr>
      <w:r w:rsidRPr="00976BFF">
        <w:rPr>
          <w:lang w:val="es-ES_tradnl"/>
        </w:rPr>
        <w:t xml:space="preserve">Con todo, la evaluación fiduciaria no revela algunas deficiencias del sistema de gestión de las finanzas públicas relacionadas con la clasificación presupuestaria, </w:t>
      </w:r>
      <w:r w:rsidR="001B1A88" w:rsidRPr="00976BFF">
        <w:rPr>
          <w:lang w:val="es-ES_tradnl"/>
        </w:rPr>
        <w:t xml:space="preserve">el diseño del Sistema Integrado de Información Financiera </w:t>
      </w:r>
      <w:r w:rsidR="0059595E" w:rsidRPr="00976BFF">
        <w:rPr>
          <w:lang w:val="es-ES_tradnl"/>
        </w:rPr>
        <w:t>(SIIF)</w:t>
      </w:r>
      <w:r w:rsidR="001B1A88" w:rsidRPr="00976BFF">
        <w:rPr>
          <w:lang w:val="es-ES_tradnl"/>
        </w:rPr>
        <w:t xml:space="preserve"> y las carencias de la función de auditoría interna en el </w:t>
      </w:r>
      <w:r w:rsidR="00F84601" w:rsidRPr="00976BFF">
        <w:rPr>
          <w:lang w:val="es-ES_tradnl"/>
        </w:rPr>
        <w:t xml:space="preserve">MEF </w:t>
      </w:r>
      <w:r w:rsidR="001B1A88" w:rsidRPr="00976BFF">
        <w:rPr>
          <w:lang w:val="es-ES_tradnl"/>
        </w:rPr>
        <w:t>y el</w:t>
      </w:r>
      <w:r w:rsidR="00F84601" w:rsidRPr="00976BFF">
        <w:rPr>
          <w:lang w:val="es-ES_tradnl"/>
        </w:rPr>
        <w:t xml:space="preserve"> MTOP.</w:t>
      </w:r>
      <w:r w:rsidR="00FF7CCA" w:rsidRPr="00976BFF">
        <w:rPr>
          <w:lang w:val="es-ES_tradnl"/>
        </w:rPr>
        <w:t xml:space="preserve"> </w:t>
      </w:r>
      <w:r w:rsidR="005C294E" w:rsidRPr="00976BFF">
        <w:rPr>
          <w:lang w:val="es-ES_tradnl"/>
        </w:rPr>
        <w:t xml:space="preserve">Estas deficiencias se abordan a través del </w:t>
      </w:r>
      <w:r w:rsidR="007A653A" w:rsidRPr="00976BFF">
        <w:rPr>
          <w:lang w:val="es-ES_tradnl"/>
        </w:rPr>
        <w:t xml:space="preserve">Plan de Acción del </w:t>
      </w:r>
      <w:r w:rsidR="00650A31">
        <w:rPr>
          <w:lang w:val="es-ES_tradnl"/>
        </w:rPr>
        <w:t>programa</w:t>
      </w:r>
      <w:r w:rsidR="005C294E" w:rsidRPr="00976BFF">
        <w:rPr>
          <w:lang w:val="es-ES_tradnl"/>
        </w:rPr>
        <w:t xml:space="preserve"> y algunas actividades de fortalecimiento institucional financiadas por el BID</w:t>
      </w:r>
      <w:r w:rsidR="00FF7CCA" w:rsidRPr="00976BFF">
        <w:rPr>
          <w:lang w:val="es-ES_tradnl"/>
        </w:rPr>
        <w:t>.</w:t>
      </w:r>
    </w:p>
    <w:p w:rsidR="004B06EA" w:rsidRPr="00976BFF" w:rsidRDefault="004B06EA" w:rsidP="00A22658">
      <w:pPr>
        <w:pStyle w:val="MainPara"/>
        <w:autoSpaceDE w:val="0"/>
        <w:rPr>
          <w:lang w:val="es-ES_tradnl"/>
        </w:rPr>
      </w:pPr>
      <w:r w:rsidRPr="00976BFF">
        <w:rPr>
          <w:b/>
          <w:lang w:val="es-ES_tradnl"/>
        </w:rPr>
        <w:t>Fraud</w:t>
      </w:r>
      <w:r w:rsidR="005C294E" w:rsidRPr="00976BFF">
        <w:rPr>
          <w:b/>
          <w:lang w:val="es-ES_tradnl"/>
        </w:rPr>
        <w:t>e y corrupción</w:t>
      </w:r>
      <w:r w:rsidRPr="000B5989">
        <w:rPr>
          <w:b/>
          <w:lang w:val="es-ES_tradnl"/>
        </w:rPr>
        <w:t>.</w:t>
      </w:r>
      <w:r w:rsidRPr="00976BFF">
        <w:rPr>
          <w:lang w:val="es-ES_tradnl"/>
        </w:rPr>
        <w:t xml:space="preserve"> </w:t>
      </w:r>
      <w:r w:rsidR="00E5271D" w:rsidRPr="00976BFF">
        <w:rPr>
          <w:lang w:val="es-ES_tradnl"/>
        </w:rPr>
        <w:t xml:space="preserve">En el portal del Banco Mundial que contiene datos sobre indicadores de </w:t>
      </w:r>
      <w:r w:rsidR="00C80044">
        <w:rPr>
          <w:lang w:val="es-ES_tradnl"/>
        </w:rPr>
        <w:t xml:space="preserve">gestión de </w:t>
      </w:r>
      <w:r w:rsidR="00C80044" w:rsidRPr="00976BFF">
        <w:rPr>
          <w:lang w:val="es-ES_tradnl"/>
        </w:rPr>
        <w:t>gob</w:t>
      </w:r>
      <w:r w:rsidR="00C80044">
        <w:rPr>
          <w:lang w:val="es-ES_tradnl"/>
        </w:rPr>
        <w:t>i</w:t>
      </w:r>
      <w:r w:rsidR="00C80044" w:rsidRPr="00976BFF">
        <w:rPr>
          <w:lang w:val="es-ES_tradnl"/>
        </w:rPr>
        <w:t>ern</w:t>
      </w:r>
      <w:r w:rsidR="00C80044">
        <w:rPr>
          <w:lang w:val="es-ES_tradnl"/>
        </w:rPr>
        <w:t xml:space="preserve">o </w:t>
      </w:r>
      <w:r w:rsidR="00E5271D" w:rsidRPr="00976BFF">
        <w:rPr>
          <w:lang w:val="es-ES_tradnl"/>
        </w:rPr>
        <w:t>específicos</w:t>
      </w:r>
      <w:r w:rsidRPr="00976BFF">
        <w:rPr>
          <w:rStyle w:val="FootnoteReference"/>
          <w:lang w:val="es-ES_tradnl"/>
        </w:rPr>
        <w:footnoteReference w:id="17"/>
      </w:r>
      <w:r w:rsidRPr="00976BFF">
        <w:rPr>
          <w:lang w:val="es-ES_tradnl"/>
        </w:rPr>
        <w:t xml:space="preserve"> </w:t>
      </w:r>
      <w:r w:rsidR="00E5271D" w:rsidRPr="00976BFF">
        <w:rPr>
          <w:lang w:val="es-ES_tradnl"/>
        </w:rPr>
        <w:t xml:space="preserve">se observa que, en 2011, Uruguay </w:t>
      </w:r>
      <w:r w:rsidR="00E17B6B" w:rsidRPr="00976BFF">
        <w:rPr>
          <w:lang w:val="es-ES_tradnl"/>
        </w:rPr>
        <w:t xml:space="preserve">fue calificado con 8 puntos (de un total de 10) en el indicador de transparencia, rendición de cuentas y corrupción en el sector público y con 10 puntos (de un total de 10) en el indicador relativo </w:t>
      </w:r>
      <w:r w:rsidR="00E17B6B" w:rsidRPr="00766354">
        <w:rPr>
          <w:lang w:val="es-ES_tradnl"/>
        </w:rPr>
        <w:t xml:space="preserve">al imperio de la ley. Estos resultados son superiores a los registrados no solo en los países de América Latina sino también </w:t>
      </w:r>
      <w:r w:rsidR="00130B7B" w:rsidRPr="00766354">
        <w:rPr>
          <w:lang w:val="es-ES_tradnl"/>
        </w:rPr>
        <w:t>en otros países de ingreso mediano</w:t>
      </w:r>
      <w:r w:rsidR="005F4FDF" w:rsidRPr="00766354">
        <w:rPr>
          <w:lang w:val="es-ES_tradnl"/>
        </w:rPr>
        <w:t xml:space="preserve"> alto</w:t>
      </w:r>
      <w:r w:rsidR="00130B7B" w:rsidRPr="00766354">
        <w:rPr>
          <w:lang w:val="es-ES_tradnl"/>
        </w:rPr>
        <w:t xml:space="preserve"> de todo el planeta.</w:t>
      </w:r>
      <w:r w:rsidR="00130B7B" w:rsidRPr="00976BFF">
        <w:rPr>
          <w:lang w:val="es-ES_tradnl"/>
        </w:rPr>
        <w:t xml:space="preserve"> Uruguay cuenta con una sólida combinación de organismos estatales que le permite abordar tanto la prevención como la penalización del fraude y la corrupción en el marco del </w:t>
      </w:r>
      <w:r w:rsidR="00650A31">
        <w:rPr>
          <w:lang w:val="es-ES_tradnl"/>
        </w:rPr>
        <w:t>programa</w:t>
      </w:r>
      <w:r w:rsidR="00130B7B" w:rsidRPr="00976BFF">
        <w:rPr>
          <w:lang w:val="es-ES_tradnl"/>
        </w:rPr>
        <w:t xml:space="preserve">. Las instituciones encargadas de combatir el fraude y la corrupción funcionan adecuadamente en forma individual y </w:t>
      </w:r>
      <w:r w:rsidR="004271CE" w:rsidRPr="00976BFF">
        <w:rPr>
          <w:lang w:val="es-ES_tradnl"/>
        </w:rPr>
        <w:t xml:space="preserve">coordinan sus actividades como parte del </w:t>
      </w:r>
      <w:r w:rsidR="00DA7BC8" w:rsidRPr="00976BFF">
        <w:rPr>
          <w:lang w:val="es-ES_tradnl"/>
        </w:rPr>
        <w:t xml:space="preserve">sistema de lucha contra la corrupción que se aplica en el país. </w:t>
      </w:r>
      <w:r w:rsidR="0016655A" w:rsidRPr="00976BFF">
        <w:rPr>
          <w:lang w:val="es-ES_tradnl"/>
        </w:rPr>
        <w:t xml:space="preserve">Aunque, en general, el sector vial puede ser vulnerable al fraude y la corrupción, se considera que el riesgo es bajo en el contexto de Uruguay, y los sistemas del </w:t>
      </w:r>
      <w:r w:rsidR="00650A31">
        <w:rPr>
          <w:lang w:val="es-ES_tradnl"/>
        </w:rPr>
        <w:t>programa</w:t>
      </w:r>
      <w:r w:rsidR="0016655A" w:rsidRPr="00976BFF">
        <w:rPr>
          <w:lang w:val="es-ES_tradnl"/>
        </w:rPr>
        <w:t xml:space="preserve"> se desempeñan adecuadamente y brindan un grado </w:t>
      </w:r>
      <w:r w:rsidR="009914EF" w:rsidRPr="00976BFF">
        <w:rPr>
          <w:lang w:val="es-ES_tradnl"/>
        </w:rPr>
        <w:t>razonable</w:t>
      </w:r>
      <w:r w:rsidR="0016655A" w:rsidRPr="00976BFF">
        <w:rPr>
          <w:lang w:val="es-ES_tradnl"/>
        </w:rPr>
        <w:t xml:space="preserve"> de rendición de cuentas, transparencia y participación. Las principales dificultades que afrontan los sistemas nacionales en lo referente al fraude y la corrupción, como probablemente ocurre en muchos otros países, </w:t>
      </w:r>
      <w:r w:rsidR="005A7066" w:rsidRPr="00976BFF">
        <w:rPr>
          <w:lang w:val="es-ES_tradnl"/>
        </w:rPr>
        <w:t xml:space="preserve">están relacionadas con </w:t>
      </w:r>
      <w:r w:rsidR="0016655A" w:rsidRPr="00976BFF">
        <w:rPr>
          <w:lang w:val="es-ES_tradnl"/>
        </w:rPr>
        <w:t xml:space="preserve">la aplicación de </w:t>
      </w:r>
      <w:r w:rsidR="005A7066" w:rsidRPr="00976BFF">
        <w:rPr>
          <w:lang w:val="es-ES_tradnl"/>
        </w:rPr>
        <w:t xml:space="preserve">todas </w:t>
      </w:r>
      <w:r w:rsidR="0016655A" w:rsidRPr="00976BFF">
        <w:rPr>
          <w:lang w:val="es-ES_tradnl"/>
        </w:rPr>
        <w:t>las normas existentes</w:t>
      </w:r>
      <w:r w:rsidR="005F4FDF">
        <w:rPr>
          <w:lang w:val="es-ES_tradnl"/>
        </w:rPr>
        <w:t xml:space="preserve"> y se producen debido a la</w:t>
      </w:r>
      <w:r w:rsidR="005A7066" w:rsidRPr="00976BFF">
        <w:rPr>
          <w:lang w:val="es-ES_tradnl"/>
        </w:rPr>
        <w:t xml:space="preserve"> escas</w:t>
      </w:r>
      <w:r w:rsidR="005F4FDF">
        <w:rPr>
          <w:lang w:val="es-ES_tradnl"/>
        </w:rPr>
        <w:t>a capacidad en materia de</w:t>
      </w:r>
      <w:r w:rsidR="005A7066" w:rsidRPr="00976BFF">
        <w:rPr>
          <w:lang w:val="es-ES_tradnl"/>
        </w:rPr>
        <w:t xml:space="preserve"> recursos técnicos y humanos disponible en el MTOP y en algunos de los organismos de control o </w:t>
      </w:r>
      <w:r w:rsidR="009914EF" w:rsidRPr="00976BFF">
        <w:rPr>
          <w:lang w:val="es-ES_tradnl"/>
        </w:rPr>
        <w:t>supervisión</w:t>
      </w:r>
      <w:r w:rsidR="005A7066" w:rsidRPr="00976BFF">
        <w:rPr>
          <w:lang w:val="es-ES_tradnl"/>
        </w:rPr>
        <w:t xml:space="preserve">. Se han identificado los siguientes riesgos concretos de fraude y corrupción: a) la falta de un mecanismo formal de </w:t>
      </w:r>
      <w:r w:rsidR="00A42B67" w:rsidRPr="00976BFF">
        <w:rPr>
          <w:lang w:val="es-ES_tradnl"/>
        </w:rPr>
        <w:t>r</w:t>
      </w:r>
      <w:r w:rsidR="00A42B67" w:rsidRPr="00766354">
        <w:rPr>
          <w:lang w:val="es-ES_tradnl"/>
        </w:rPr>
        <w:t>eclamación</w:t>
      </w:r>
      <w:r w:rsidR="005A7066" w:rsidRPr="00976BFF">
        <w:rPr>
          <w:lang w:val="es-ES_tradnl"/>
        </w:rPr>
        <w:t xml:space="preserve"> para los ciudadanos, y b) la falta de una lista centralizada de inhabilitación que incluya a las empresas y personas físicas penalizadas por actos de fraude y corrupción</w:t>
      </w:r>
      <w:r w:rsidR="00A82B46">
        <w:rPr>
          <w:lang w:val="es-ES_tradnl"/>
        </w:rPr>
        <w:t>.</w:t>
      </w:r>
      <w:r w:rsidR="00A82B46" w:rsidRPr="00976BFF">
        <w:rPr>
          <w:lang w:val="es-ES_tradnl"/>
        </w:rPr>
        <w:t xml:space="preserve"> </w:t>
      </w:r>
      <w:r w:rsidR="00A82B46">
        <w:rPr>
          <w:lang w:val="es-ES_tradnl"/>
        </w:rPr>
        <w:t>L</w:t>
      </w:r>
      <w:r w:rsidR="00A82B46" w:rsidRPr="00976BFF">
        <w:rPr>
          <w:lang w:val="es-ES_tradnl"/>
        </w:rPr>
        <w:t xml:space="preserve">os </w:t>
      </w:r>
      <w:r w:rsidR="005A7066" w:rsidRPr="00976BFF">
        <w:rPr>
          <w:lang w:val="es-ES_tradnl"/>
        </w:rPr>
        <w:t xml:space="preserve">principales riesgos se abordan a través del </w:t>
      </w:r>
      <w:r w:rsidR="007A653A" w:rsidRPr="00976BFF">
        <w:rPr>
          <w:lang w:val="es-ES_tradnl"/>
        </w:rPr>
        <w:t xml:space="preserve">Plan de Acción del </w:t>
      </w:r>
      <w:r w:rsidR="00650A31">
        <w:rPr>
          <w:lang w:val="es-ES_tradnl"/>
        </w:rPr>
        <w:t>programa</w:t>
      </w:r>
      <w:r w:rsidR="005A7066" w:rsidRPr="00976BFF">
        <w:rPr>
          <w:lang w:val="es-ES_tradnl"/>
        </w:rPr>
        <w:t xml:space="preserve">. El anexo 4, </w:t>
      </w:r>
      <w:r w:rsidR="00A82B46">
        <w:rPr>
          <w:lang w:val="es-ES_tradnl"/>
        </w:rPr>
        <w:t>“</w:t>
      </w:r>
      <w:r w:rsidR="005A7066" w:rsidRPr="00976BFF">
        <w:rPr>
          <w:lang w:val="es-ES_tradnl"/>
        </w:rPr>
        <w:t>Resumen de la evaluación técnica</w:t>
      </w:r>
      <w:r w:rsidR="00A82B46">
        <w:rPr>
          <w:lang w:val="es-ES_tradnl"/>
        </w:rPr>
        <w:t>”</w:t>
      </w:r>
      <w:r w:rsidR="005A7066" w:rsidRPr="00976BFF">
        <w:rPr>
          <w:lang w:val="es-ES_tradnl"/>
        </w:rPr>
        <w:t>, contiene una lista completa de los riesgos y las medidas para gestionarlos.</w:t>
      </w:r>
    </w:p>
    <w:p w:rsidR="00034121" w:rsidRPr="00976BFF" w:rsidRDefault="00034121" w:rsidP="0059595E">
      <w:pPr>
        <w:rPr>
          <w:rFonts w:ascii="Times New Roman" w:hAnsi="Times New Roman" w:cs="Times New Roman"/>
          <w:lang w:val="es-ES_tradnl"/>
        </w:rPr>
      </w:pPr>
    </w:p>
    <w:p w:rsidR="003D39E3" w:rsidRPr="00976BFF" w:rsidRDefault="002A2687" w:rsidP="006068D8">
      <w:pPr>
        <w:pStyle w:val="Heading2"/>
        <w:rPr>
          <w:lang w:val="es-ES_tradnl"/>
        </w:rPr>
      </w:pPr>
      <w:bookmarkStart w:id="24" w:name="_Toc344927164"/>
      <w:r w:rsidRPr="00976BFF">
        <w:rPr>
          <w:lang w:val="es-ES_tradnl"/>
        </w:rPr>
        <w:t>Aspectos ambientales y sociales</w:t>
      </w:r>
      <w:bookmarkEnd w:id="24"/>
      <w:r w:rsidR="006E34CD" w:rsidRPr="00976BFF">
        <w:rPr>
          <w:lang w:val="es-ES_tradnl"/>
        </w:rPr>
        <w:t xml:space="preserve"> </w:t>
      </w:r>
    </w:p>
    <w:p w:rsidR="0007594F" w:rsidRPr="00976BFF" w:rsidRDefault="00961F2E" w:rsidP="00A22658">
      <w:pPr>
        <w:pStyle w:val="MainPara"/>
        <w:autoSpaceDE w:val="0"/>
        <w:rPr>
          <w:lang w:val="es-ES_tradnl"/>
        </w:rPr>
      </w:pPr>
      <w:r w:rsidRPr="00976BFF">
        <w:rPr>
          <w:lang w:val="es-ES_tradnl"/>
        </w:rPr>
        <w:t xml:space="preserve">Se considera que el </w:t>
      </w:r>
      <w:r w:rsidR="00650A31">
        <w:rPr>
          <w:lang w:val="es-ES_tradnl"/>
        </w:rPr>
        <w:t>programa</w:t>
      </w:r>
      <w:r w:rsidRPr="00976BFF">
        <w:rPr>
          <w:lang w:val="es-ES_tradnl"/>
        </w:rPr>
        <w:t xml:space="preserve"> tiene un buen desempeño ambiental y social, dado que por su naturaleza, </w:t>
      </w:r>
      <w:r w:rsidR="005F4FDF">
        <w:rPr>
          <w:lang w:val="es-ES_tradnl"/>
        </w:rPr>
        <w:t>su</w:t>
      </w:r>
      <w:r w:rsidRPr="00976BFF">
        <w:rPr>
          <w:lang w:val="es-ES_tradnl"/>
        </w:rPr>
        <w:t xml:space="preserve">s actividades tienen un bajo impacto. El </w:t>
      </w:r>
      <w:r w:rsidR="00650A31">
        <w:rPr>
          <w:lang w:val="es-ES_tradnl"/>
        </w:rPr>
        <w:t>programa</w:t>
      </w:r>
      <w:r w:rsidRPr="00976BFF">
        <w:rPr>
          <w:lang w:val="es-ES_tradnl"/>
        </w:rPr>
        <w:t xml:space="preserve"> no incluye actividades que puedan tener un gran impacto negativo en el medio ambiente y la sociedad</w:t>
      </w:r>
      <w:r w:rsidR="001472F9" w:rsidRPr="00976BFF">
        <w:rPr>
          <w:vertAlign w:val="superscript"/>
          <w:lang w:val="es-ES_tradnl"/>
        </w:rPr>
        <w:footnoteReference w:id="18"/>
      </w:r>
      <w:r w:rsidR="00532EF9" w:rsidRPr="00976BFF">
        <w:rPr>
          <w:lang w:val="es-ES_tradnl"/>
        </w:rPr>
        <w:t xml:space="preserve"> </w:t>
      </w:r>
      <w:r w:rsidRPr="00976BFF">
        <w:rPr>
          <w:lang w:val="es-ES_tradnl"/>
        </w:rPr>
        <w:t xml:space="preserve">y, en consonancia con operaciones anteriores financiadas por el Banco Mundial en </w:t>
      </w:r>
      <w:r w:rsidR="00990961" w:rsidRPr="00976BFF">
        <w:rPr>
          <w:lang w:val="es-ES_tradnl"/>
        </w:rPr>
        <w:t xml:space="preserve">Uruguay, </w:t>
      </w:r>
      <w:r w:rsidRPr="00976BFF">
        <w:rPr>
          <w:lang w:val="es-ES_tradnl"/>
        </w:rPr>
        <w:t xml:space="preserve">el impacto ambiental y social de las obras de rehabilitación y mantenimiento vial es bajo. Podrían producirse algunos reasentamientos parciales, en caso de </w:t>
      </w:r>
      <w:r w:rsidR="00551D96" w:rsidRPr="00976BFF">
        <w:rPr>
          <w:lang w:val="es-ES_tradnl"/>
        </w:rPr>
        <w:t xml:space="preserve">reordenamiento vial para intensificar la </w:t>
      </w:r>
      <w:r w:rsidR="00233B56" w:rsidRPr="00976BFF">
        <w:rPr>
          <w:lang w:val="es-ES_tradnl"/>
        </w:rPr>
        <w:t xml:space="preserve">seguridad. El </w:t>
      </w:r>
      <w:r w:rsidR="00650A31">
        <w:rPr>
          <w:lang w:val="es-ES_tradnl"/>
        </w:rPr>
        <w:t>programa</w:t>
      </w:r>
      <w:r w:rsidR="00233B56" w:rsidRPr="00976BFF">
        <w:rPr>
          <w:lang w:val="es-ES_tradnl"/>
        </w:rPr>
        <w:t xml:space="preserve"> no afectará a pueblos indígenas, </w:t>
      </w:r>
      <w:r w:rsidR="00A82B46">
        <w:rPr>
          <w:lang w:val="es-ES_tradnl"/>
        </w:rPr>
        <w:t>ya que en Uruguay no hay grupos o comunidades que se identifiquen como tales</w:t>
      </w:r>
      <w:r w:rsidR="00233B56" w:rsidRPr="00976BFF">
        <w:rPr>
          <w:lang w:val="es-ES_tradnl"/>
        </w:rPr>
        <w:t xml:space="preserve">. </w:t>
      </w:r>
      <w:r w:rsidR="00533EA4" w:rsidRPr="00976BFF">
        <w:rPr>
          <w:lang w:val="es-ES_tradnl"/>
        </w:rPr>
        <w:t>L</w:t>
      </w:r>
      <w:r w:rsidR="00233B56" w:rsidRPr="00976BFF">
        <w:rPr>
          <w:lang w:val="es-ES_tradnl"/>
        </w:rPr>
        <w:t>a evaluación de los sistemas ambientales y sociales</w:t>
      </w:r>
      <w:r w:rsidR="00533EA4" w:rsidRPr="00976BFF">
        <w:rPr>
          <w:lang w:val="es-ES_tradnl"/>
        </w:rPr>
        <w:t xml:space="preserve"> indica que los sistemas ambientales y sociales del </w:t>
      </w:r>
      <w:r w:rsidR="00650A31">
        <w:rPr>
          <w:lang w:val="es-ES_tradnl"/>
        </w:rPr>
        <w:t>programa</w:t>
      </w:r>
      <w:r w:rsidR="00533EA4" w:rsidRPr="00976BFF">
        <w:rPr>
          <w:lang w:val="es-ES_tradnl"/>
        </w:rPr>
        <w:t xml:space="preserve"> brindan un grado razonable de seguridad de que </w:t>
      </w:r>
      <w:r w:rsidR="007511C1">
        <w:rPr>
          <w:lang w:val="es-ES_tradnl"/>
        </w:rPr>
        <w:t xml:space="preserve">este </w:t>
      </w:r>
      <w:r w:rsidR="00533EA4" w:rsidRPr="00976BFF">
        <w:rPr>
          <w:lang w:val="es-ES_tradnl"/>
        </w:rPr>
        <w:t xml:space="preserve">puede ejecutarse en virtud de los principios de la </w:t>
      </w:r>
      <w:r w:rsidR="00C86502" w:rsidRPr="00976BFF">
        <w:rPr>
          <w:lang w:val="es-ES_tradnl"/>
        </w:rPr>
        <w:t>OP</w:t>
      </w:r>
      <w:r w:rsidR="00C11B0F" w:rsidRPr="00976BFF">
        <w:rPr>
          <w:lang w:val="es-ES_tradnl"/>
        </w:rPr>
        <w:t xml:space="preserve"> </w:t>
      </w:r>
      <w:r w:rsidR="00C86502" w:rsidRPr="00976BFF">
        <w:rPr>
          <w:lang w:val="es-ES_tradnl"/>
        </w:rPr>
        <w:t>9.00.</w:t>
      </w:r>
      <w:r w:rsidR="001B26CB" w:rsidRPr="00976BFF">
        <w:rPr>
          <w:lang w:val="es-ES_tradnl"/>
        </w:rPr>
        <w:t xml:space="preserve"> </w:t>
      </w:r>
      <w:r w:rsidR="00533EA4" w:rsidRPr="00976BFF">
        <w:rPr>
          <w:lang w:val="es-ES_tradnl"/>
        </w:rPr>
        <w:t xml:space="preserve">Aunque no se han observado diferencias significativas entre los sistemas sociales del </w:t>
      </w:r>
      <w:r w:rsidR="00650A31">
        <w:rPr>
          <w:lang w:val="es-ES_tradnl"/>
        </w:rPr>
        <w:t>programa</w:t>
      </w:r>
      <w:r w:rsidR="00533EA4" w:rsidRPr="00976BFF">
        <w:rPr>
          <w:lang w:val="es-ES_tradnl"/>
        </w:rPr>
        <w:t xml:space="preserve"> y los principios básicos de la </w:t>
      </w:r>
      <w:r w:rsidR="001B26CB" w:rsidRPr="00976BFF">
        <w:rPr>
          <w:lang w:val="es-ES_tradnl"/>
        </w:rPr>
        <w:t>OP</w:t>
      </w:r>
      <w:r w:rsidR="00C11B0F" w:rsidRPr="00976BFF">
        <w:rPr>
          <w:lang w:val="es-ES_tradnl"/>
        </w:rPr>
        <w:t xml:space="preserve"> </w:t>
      </w:r>
      <w:r w:rsidR="001B26CB" w:rsidRPr="00976BFF">
        <w:rPr>
          <w:lang w:val="es-ES_tradnl"/>
        </w:rPr>
        <w:t>9.00</w:t>
      </w:r>
      <w:r w:rsidR="00533EA4" w:rsidRPr="00976BFF">
        <w:rPr>
          <w:lang w:val="es-ES_tradnl"/>
        </w:rPr>
        <w:t xml:space="preserve">, se han señalado algunas diferencias relacionadas con los principios ambientales que se abordarán a través del </w:t>
      </w:r>
      <w:r w:rsidR="007A653A" w:rsidRPr="00976BFF">
        <w:rPr>
          <w:lang w:val="es-ES_tradnl"/>
        </w:rPr>
        <w:t xml:space="preserve">Plan de Acción del </w:t>
      </w:r>
      <w:r w:rsidR="00650A31">
        <w:rPr>
          <w:lang w:val="es-ES_tradnl"/>
        </w:rPr>
        <w:t>programa</w:t>
      </w:r>
      <w:r w:rsidR="00533EA4" w:rsidRPr="00976BFF">
        <w:rPr>
          <w:lang w:val="es-ES_tradnl"/>
        </w:rPr>
        <w:t xml:space="preserve"> (anexo 8) y el marco de resultados. Se considera que los mecanismos específicos establecidos para los contratos financiados por el BID que se incluyen en el </w:t>
      </w:r>
      <w:r w:rsidR="00650A31">
        <w:rPr>
          <w:lang w:val="es-ES_tradnl"/>
        </w:rPr>
        <w:t>programa</w:t>
      </w:r>
      <w:r w:rsidR="00533EA4" w:rsidRPr="00976BFF">
        <w:rPr>
          <w:lang w:val="es-ES_tradnl"/>
        </w:rPr>
        <w:t xml:space="preserve"> son adecuados para afrontar adecuadamente los problemas ambientales y sociales que podrían plantearse en relación con las actividades del </w:t>
      </w:r>
      <w:r w:rsidR="00650A31">
        <w:rPr>
          <w:lang w:val="es-ES_tradnl"/>
        </w:rPr>
        <w:t>programa</w:t>
      </w:r>
      <w:r w:rsidR="00533EA4" w:rsidRPr="00976BFF">
        <w:rPr>
          <w:lang w:val="es-ES_tradnl"/>
        </w:rPr>
        <w:t xml:space="preserve"> y son compatibles con los principios de la </w:t>
      </w:r>
      <w:r w:rsidR="004959F5" w:rsidRPr="00976BFF">
        <w:rPr>
          <w:lang w:val="es-ES_tradnl"/>
        </w:rPr>
        <w:t>OP 9.00</w:t>
      </w:r>
      <w:r w:rsidR="00B23787" w:rsidRPr="00976BFF">
        <w:rPr>
          <w:lang w:val="es-ES_tradnl"/>
        </w:rPr>
        <w:t>.</w:t>
      </w:r>
    </w:p>
    <w:p w:rsidR="00532EF9" w:rsidRPr="00976BFF" w:rsidRDefault="00533EA4" w:rsidP="00625FD2">
      <w:pPr>
        <w:pStyle w:val="MainPara"/>
        <w:rPr>
          <w:lang w:val="es-ES_tradnl"/>
        </w:rPr>
      </w:pPr>
      <w:r w:rsidRPr="00976BFF">
        <w:rPr>
          <w:lang w:val="es-ES_tradnl"/>
        </w:rPr>
        <w:t xml:space="preserve">La evaluación de los sistemas ambientales y sociales, cuyas conclusiones se resumen en el anexo 6, se ha analizado con las principales partes interesadas en el </w:t>
      </w:r>
      <w:r w:rsidR="00650A31">
        <w:rPr>
          <w:lang w:val="es-ES_tradnl"/>
        </w:rPr>
        <w:t>programa</w:t>
      </w:r>
      <w:r w:rsidRPr="00976BFF">
        <w:rPr>
          <w:lang w:val="es-ES_tradnl"/>
        </w:rPr>
        <w:t xml:space="preserve"> durante tres talleres sucesivos, entre febrero y septiembre de </w:t>
      </w:r>
      <w:r w:rsidR="00532EF9" w:rsidRPr="00976BFF">
        <w:rPr>
          <w:lang w:val="es-ES_tradnl"/>
        </w:rPr>
        <w:t xml:space="preserve">2012. </w:t>
      </w:r>
    </w:p>
    <w:p w:rsidR="0007594F" w:rsidRPr="00976BFF" w:rsidRDefault="00533EA4" w:rsidP="00625FD2">
      <w:pPr>
        <w:pStyle w:val="MainPara"/>
        <w:rPr>
          <w:lang w:val="es-ES_tradnl"/>
        </w:rPr>
      </w:pPr>
      <w:r w:rsidRPr="00976BFF">
        <w:rPr>
          <w:b/>
          <w:lang w:val="es-ES_tradnl"/>
        </w:rPr>
        <w:t>Aspectos ambientales</w:t>
      </w:r>
      <w:r w:rsidR="0039661E" w:rsidRPr="00976BFF">
        <w:rPr>
          <w:b/>
          <w:lang w:val="es-ES_tradnl"/>
        </w:rPr>
        <w:t xml:space="preserve">. </w:t>
      </w:r>
      <w:r w:rsidRPr="00976BFF">
        <w:rPr>
          <w:lang w:val="es-ES_tradnl"/>
        </w:rPr>
        <w:t xml:space="preserve">En el marco de la evaluación inicial se confirmó que el </w:t>
      </w:r>
      <w:r w:rsidR="00650A31">
        <w:rPr>
          <w:lang w:val="es-ES_tradnl"/>
        </w:rPr>
        <w:t>programa</w:t>
      </w:r>
      <w:r w:rsidRPr="00976BFF">
        <w:rPr>
          <w:lang w:val="es-ES_tradnl"/>
        </w:rPr>
        <w:t xml:space="preserve"> no incluye actividades de alto riesgo, como se definen en la </w:t>
      </w:r>
      <w:r w:rsidR="00675D7F" w:rsidRPr="00976BFF">
        <w:rPr>
          <w:lang w:val="es-ES_tradnl"/>
        </w:rPr>
        <w:t>OP 9.00</w:t>
      </w:r>
      <w:r w:rsidR="00EF2D6D" w:rsidRPr="00976BFF">
        <w:rPr>
          <w:lang w:val="es-ES_tradnl"/>
        </w:rPr>
        <w:t xml:space="preserve">. </w:t>
      </w:r>
      <w:r w:rsidRPr="00976BFF">
        <w:rPr>
          <w:lang w:val="es-ES_tradnl"/>
        </w:rPr>
        <w:t xml:space="preserve">En consecuencia, </w:t>
      </w:r>
      <w:r w:rsidR="00AB4867" w:rsidRPr="00976BFF">
        <w:rPr>
          <w:lang w:val="es-ES_tradnl"/>
        </w:rPr>
        <w:t xml:space="preserve">se determinó que </w:t>
      </w:r>
      <w:r w:rsidR="006E3AA8" w:rsidRPr="00976BFF">
        <w:rPr>
          <w:lang w:val="es-ES_tradnl"/>
        </w:rPr>
        <w:t xml:space="preserve">existe una baja posibilidad de que se produzcan impactos ambientales negativos. Los impactos de las obras de rehabilitación y mantenimiento vial se producirán principalmente en las </w:t>
      </w:r>
      <w:r w:rsidR="006E3AA8" w:rsidRPr="00766354">
        <w:rPr>
          <w:lang w:val="es-ES_tradnl"/>
        </w:rPr>
        <w:t>servidumbres de paso y</w:t>
      </w:r>
      <w:r w:rsidR="006E3AA8" w:rsidRPr="00976BFF">
        <w:rPr>
          <w:lang w:val="es-ES_tradnl"/>
        </w:rPr>
        <w:t xml:space="preserve"> los obradores, en zonas rurales (en algunos casos en zonas urbanas). El mayor impacto se produciría durante los períodos de rehabilitación (desde algunos meses hasta uno a dos años) y el menor, durante las fases de mantenimiento. El principal impacto está relacionado con obras en puentes, </w:t>
      </w:r>
      <w:r w:rsidR="008B1995" w:rsidRPr="00976BFF">
        <w:rPr>
          <w:lang w:val="es-ES_tradnl"/>
        </w:rPr>
        <w:t>actividades</w:t>
      </w:r>
      <w:r w:rsidR="006E3AA8" w:rsidRPr="00976BFF">
        <w:rPr>
          <w:lang w:val="es-ES_tradnl"/>
        </w:rPr>
        <w:t xml:space="preserve"> en las instalaciones de los obradores</w:t>
      </w:r>
      <w:r w:rsidR="008B1995" w:rsidRPr="00976BFF">
        <w:rPr>
          <w:lang w:val="es-ES_tradnl"/>
        </w:rPr>
        <w:t xml:space="preserve">, plantas asfálticas y pozos de relleno, </w:t>
      </w:r>
      <w:r w:rsidR="00412E01" w:rsidRPr="00976BFF">
        <w:rPr>
          <w:lang w:val="es-ES_tradnl"/>
        </w:rPr>
        <w:t xml:space="preserve">cierto nivel de generación de desechos peligrosos (aceites usados, emisiones en la atmósfera), ruido, polvo, </w:t>
      </w:r>
      <w:r w:rsidR="00260904" w:rsidRPr="00976BFF">
        <w:rPr>
          <w:lang w:val="es-ES_tradnl"/>
        </w:rPr>
        <w:t xml:space="preserve">presencia de </w:t>
      </w:r>
      <w:r w:rsidR="00412E01" w:rsidRPr="00976BFF">
        <w:rPr>
          <w:lang w:val="es-ES_tradnl"/>
        </w:rPr>
        <w:t>contratistas en comunidades rurales pequeñas</w:t>
      </w:r>
      <w:r w:rsidR="00260904" w:rsidRPr="00976BFF">
        <w:rPr>
          <w:lang w:val="es-ES_tradnl"/>
        </w:rPr>
        <w:t xml:space="preserve"> durante varios años</w:t>
      </w:r>
      <w:r w:rsidR="00412E01" w:rsidRPr="00976BFF">
        <w:rPr>
          <w:lang w:val="es-ES_tradnl"/>
        </w:rPr>
        <w:t xml:space="preserve">, y cuestiones </w:t>
      </w:r>
      <w:r w:rsidR="00260904" w:rsidRPr="00976BFF">
        <w:rPr>
          <w:lang w:val="es-ES_tradnl"/>
        </w:rPr>
        <w:t xml:space="preserve">relativas a la higiene y la seguridad. Además del beneficio general para la economía y las necesidades de transporte del país, los impactos positivos incluyen la implementación de medidas de seguridad vial, la construcción de veredas, caminos locales paralelos, señalización vial y </w:t>
      </w:r>
      <w:r w:rsidR="002D6A1D">
        <w:rPr>
          <w:lang w:val="es-ES_tradnl"/>
        </w:rPr>
        <w:t>alumbrado</w:t>
      </w:r>
      <w:r w:rsidR="00260904" w:rsidRPr="00976BFF">
        <w:rPr>
          <w:lang w:val="es-ES_tradnl"/>
        </w:rPr>
        <w:t xml:space="preserve"> de carreteras</w:t>
      </w:r>
      <w:r w:rsidR="00DD441F" w:rsidRPr="00976BFF">
        <w:rPr>
          <w:lang w:val="es-ES_tradnl"/>
        </w:rPr>
        <w:t xml:space="preserve">. </w:t>
      </w:r>
    </w:p>
    <w:p w:rsidR="0007594F" w:rsidRPr="00976BFF" w:rsidRDefault="00232B04" w:rsidP="00625FD2">
      <w:pPr>
        <w:pStyle w:val="MainPara"/>
        <w:rPr>
          <w:lang w:val="es-ES_tradnl"/>
        </w:rPr>
      </w:pPr>
      <w:r w:rsidRPr="00976BFF">
        <w:rPr>
          <w:lang w:val="es-ES_tradnl"/>
        </w:rPr>
        <w:t xml:space="preserve">La documentación ambiental examinada y la información recabada durante las consultas con las principales partes interesadas y en las visitas a varios </w:t>
      </w:r>
      <w:r w:rsidR="00CF2DDE">
        <w:rPr>
          <w:lang w:val="es-ES_tradnl"/>
        </w:rPr>
        <w:t>emplazamientos</w:t>
      </w:r>
      <w:r w:rsidRPr="00976BFF">
        <w:rPr>
          <w:lang w:val="es-ES_tradnl"/>
        </w:rPr>
        <w:t xml:space="preserve"> de proyecto</w:t>
      </w:r>
      <w:r w:rsidR="00CF2DDE">
        <w:rPr>
          <w:lang w:val="es-ES_tradnl"/>
        </w:rPr>
        <w:t>s</w:t>
      </w:r>
      <w:r w:rsidRPr="00976BFF">
        <w:rPr>
          <w:lang w:val="es-ES_tradnl"/>
        </w:rPr>
        <w:t xml:space="preserve"> indican que los procesos de gestión ambiental son adecuados para prevenir y reducir el impacto ambiental y social negativo y cumplen en general con los principios básicos y los elementos clave de la </w:t>
      </w:r>
      <w:r w:rsidR="00DD441F" w:rsidRPr="00976BFF">
        <w:rPr>
          <w:lang w:val="es-ES_tradnl"/>
        </w:rPr>
        <w:t>OP 9.00.</w:t>
      </w:r>
      <w:r w:rsidR="00852C7C" w:rsidRPr="00976BFF">
        <w:rPr>
          <w:lang w:val="es-ES_tradnl"/>
        </w:rPr>
        <w:t xml:space="preserve"> </w:t>
      </w:r>
      <w:r w:rsidRPr="00976BFF">
        <w:rPr>
          <w:lang w:val="es-ES_tradnl"/>
        </w:rPr>
        <w:t xml:space="preserve">En lo referente a la </w:t>
      </w:r>
      <w:r w:rsidR="00C41395" w:rsidRPr="00976BFF">
        <w:rPr>
          <w:lang w:val="es-ES_tradnl"/>
        </w:rPr>
        <w:t>OP 9.</w:t>
      </w:r>
      <w:r w:rsidR="009E7C38" w:rsidRPr="00976BFF">
        <w:rPr>
          <w:lang w:val="es-ES_tradnl"/>
        </w:rPr>
        <w:t>0</w:t>
      </w:r>
      <w:r w:rsidR="00C41395" w:rsidRPr="00976BFF">
        <w:rPr>
          <w:lang w:val="es-ES_tradnl"/>
        </w:rPr>
        <w:t>0</w:t>
      </w:r>
      <w:r w:rsidRPr="00976BFF">
        <w:rPr>
          <w:lang w:val="es-ES_tradnl"/>
        </w:rPr>
        <w:t xml:space="preserve">, las principales deficiencias identificadas están relacionadas con a) mecanismos formales de resolución de quejas y una mejor comunicación con las partes interesadas (deficiencia abordada a través del </w:t>
      </w:r>
      <w:r w:rsidR="007A653A" w:rsidRPr="00976BFF">
        <w:rPr>
          <w:lang w:val="es-ES_tradnl"/>
        </w:rPr>
        <w:t xml:space="preserve">Plan de Acción del </w:t>
      </w:r>
      <w:r w:rsidR="00650A31">
        <w:rPr>
          <w:lang w:val="es-ES_tradnl"/>
        </w:rPr>
        <w:t>programa</w:t>
      </w:r>
      <w:r w:rsidRPr="00976BFF">
        <w:rPr>
          <w:lang w:val="es-ES_tradnl"/>
        </w:rPr>
        <w:t>)</w:t>
      </w:r>
      <w:r w:rsidR="007511C1">
        <w:rPr>
          <w:lang w:val="es-ES_tradnl"/>
        </w:rPr>
        <w:t>,</w:t>
      </w:r>
      <w:r w:rsidRPr="00976BFF">
        <w:rPr>
          <w:lang w:val="es-ES_tradnl"/>
        </w:rPr>
        <w:t xml:space="preserve"> y b) la legislación relativa a materiales peligrosos (deficiencia abordada a través del IVD-3).</w:t>
      </w:r>
      <w:r w:rsidR="00AA5726" w:rsidRPr="00976BFF">
        <w:rPr>
          <w:lang w:val="es-ES_tradnl"/>
        </w:rPr>
        <w:t xml:space="preserve"> </w:t>
      </w:r>
    </w:p>
    <w:p w:rsidR="0007594F" w:rsidRPr="00976BFF" w:rsidRDefault="002F3E03" w:rsidP="00625FD2">
      <w:pPr>
        <w:pStyle w:val="MainPara"/>
        <w:rPr>
          <w:lang w:val="es-ES_tradnl"/>
        </w:rPr>
      </w:pPr>
      <w:r w:rsidRPr="00976BFF">
        <w:rPr>
          <w:lang w:val="es-ES_tradnl"/>
        </w:rPr>
        <w:t xml:space="preserve">Como se describe en detalle en la evaluación integrada de los riesgos (anexo 7), los principales riesgos ambientales identificados incluyen: a) el riesgo de que las obras tengan un impacto negativo en el medio ambiente, especialmente en las zonas protegidas, a raíz de una inadecuada supervisión ambiental o debido al deficiente desempeño ambiental de malos contratistas; b) el riesgo de que las partes interesadas presenten reclamaciones relacionadas con la mala gestión ambiental y </w:t>
      </w:r>
      <w:r w:rsidR="00CF2DDE">
        <w:rPr>
          <w:lang w:val="es-ES_tradnl"/>
        </w:rPr>
        <w:t>la</w:t>
      </w:r>
      <w:r w:rsidRPr="00976BFF">
        <w:rPr>
          <w:lang w:val="es-ES_tradnl"/>
        </w:rPr>
        <w:t xml:space="preserve"> falta de comunicación entre los encargados de las o</w:t>
      </w:r>
      <w:r w:rsidR="001C47AE">
        <w:rPr>
          <w:lang w:val="es-ES_tradnl"/>
        </w:rPr>
        <w:t xml:space="preserve">bras y las partes interesadas. </w:t>
      </w:r>
      <w:r w:rsidR="00312B25" w:rsidRPr="00976BFF">
        <w:rPr>
          <w:lang w:val="es-ES_tradnl"/>
        </w:rPr>
        <w:t xml:space="preserve">El marco de resultados (a través del IVD-3) y el </w:t>
      </w:r>
      <w:r w:rsidR="007A653A" w:rsidRPr="00976BFF">
        <w:rPr>
          <w:lang w:val="es-ES_tradnl"/>
        </w:rPr>
        <w:t xml:space="preserve">Plan de Acción del </w:t>
      </w:r>
      <w:r w:rsidR="00650A31">
        <w:rPr>
          <w:lang w:val="es-ES_tradnl"/>
        </w:rPr>
        <w:t>programa</w:t>
      </w:r>
      <w:r w:rsidR="00312B25" w:rsidRPr="00976BFF">
        <w:rPr>
          <w:lang w:val="es-ES_tradnl"/>
        </w:rPr>
        <w:t xml:space="preserve"> incluyen medidas para reducir estos riesgos y lograr una adecuada gestión ambiental, transparencia y comunicación con las partes interesadas</w:t>
      </w:r>
      <w:r w:rsidR="00337AF1" w:rsidRPr="00976BFF">
        <w:rPr>
          <w:lang w:val="es-ES_tradnl"/>
        </w:rPr>
        <w:t>.</w:t>
      </w:r>
    </w:p>
    <w:p w:rsidR="00765834" w:rsidRPr="00976BFF" w:rsidRDefault="00312B25" w:rsidP="00625FD2">
      <w:pPr>
        <w:pStyle w:val="MainPara"/>
        <w:rPr>
          <w:lang w:val="es-ES_tradnl"/>
        </w:rPr>
      </w:pPr>
      <w:r w:rsidRPr="00976BFF">
        <w:rPr>
          <w:b/>
          <w:lang w:val="es-ES_tradnl"/>
        </w:rPr>
        <w:t>Aspecto s</w:t>
      </w:r>
      <w:r w:rsidR="0039661E" w:rsidRPr="00976BFF">
        <w:rPr>
          <w:b/>
          <w:lang w:val="es-ES_tradnl"/>
        </w:rPr>
        <w:t xml:space="preserve">ocial. </w:t>
      </w:r>
      <w:r w:rsidR="0083726B" w:rsidRPr="00976BFF">
        <w:rPr>
          <w:lang w:val="es-ES_tradnl"/>
        </w:rPr>
        <w:t xml:space="preserve">Las actividades que se han de financiar en el marco del </w:t>
      </w:r>
      <w:r w:rsidR="00650A31">
        <w:rPr>
          <w:lang w:val="es-ES_tradnl"/>
        </w:rPr>
        <w:t>programa</w:t>
      </w:r>
      <w:r w:rsidR="0083726B" w:rsidRPr="00976BFF">
        <w:rPr>
          <w:lang w:val="es-ES_tradnl"/>
        </w:rPr>
        <w:t xml:space="preserve"> no requerirán que se adquieran servidumbres de paso, salvo </w:t>
      </w:r>
      <w:r w:rsidR="007511C1">
        <w:rPr>
          <w:lang w:val="es-ES_tradnl"/>
        </w:rPr>
        <w:t xml:space="preserve">cuando </w:t>
      </w:r>
      <w:r w:rsidR="0083726B" w:rsidRPr="00976BFF">
        <w:rPr>
          <w:lang w:val="es-ES_tradnl"/>
        </w:rPr>
        <w:t xml:space="preserve">el reordenamiento vial deba modificarse a nivel local para corregir curvas o realizar otras mejoras </w:t>
      </w:r>
      <w:r w:rsidR="001A3867" w:rsidRPr="00976BFF">
        <w:rPr>
          <w:lang w:val="es-ES_tradnl"/>
        </w:rPr>
        <w:t>que permitan</w:t>
      </w:r>
      <w:r w:rsidR="0083726B" w:rsidRPr="00976BFF">
        <w:rPr>
          <w:lang w:val="es-ES_tradnl"/>
        </w:rPr>
        <w:t xml:space="preserve"> aumentar la seguridad vial. Normalmente, las actividades de mantenimiento y rehabilitación vial </w:t>
      </w:r>
      <w:r w:rsidR="001A3867" w:rsidRPr="00976BFF">
        <w:rPr>
          <w:lang w:val="es-ES_tradnl"/>
        </w:rPr>
        <w:t>se realizan dentro de la servidumbre de paso de los caminos nacionales y no requieren adquisición de terrenos ni ocasionan desplazamientos físicos o por razones económicas. En las raras ocasiones en que ello sucede, el impacto social es pequeño: por lo general solo es necesario adquirir franjas estrechas de tierra</w:t>
      </w:r>
      <w:r w:rsidR="00203B88" w:rsidRPr="00976BFF">
        <w:rPr>
          <w:lang w:val="es-ES_tradnl"/>
        </w:rPr>
        <w:t xml:space="preserve"> sin casas ni otras estructuras (viviendas). Durante toda la ejecución del anterior proyecto de transporte respaldado por el Banco Mundial, no hubo casos de desplazamiento físico de habitantes derivado de la adquisición de terrenos, salvo en un subproyecto.</w:t>
      </w:r>
    </w:p>
    <w:p w:rsidR="0007594F" w:rsidRPr="00976BFF" w:rsidRDefault="00203B88" w:rsidP="00625FD2">
      <w:pPr>
        <w:pStyle w:val="MainPara"/>
        <w:rPr>
          <w:lang w:val="es-ES_tradnl"/>
        </w:rPr>
      </w:pPr>
      <w:r w:rsidRPr="00976BFF">
        <w:rPr>
          <w:lang w:val="es-ES_tradnl"/>
        </w:rPr>
        <w:t xml:space="preserve">La </w:t>
      </w:r>
      <w:r w:rsidR="00EB0B7A" w:rsidRPr="00976BFF">
        <w:rPr>
          <w:lang w:val="es-ES_tradnl"/>
        </w:rPr>
        <w:t>DNTop ha</w:t>
      </w:r>
      <w:r w:rsidRPr="00976BFF">
        <w:rPr>
          <w:lang w:val="es-ES_tradnl"/>
        </w:rPr>
        <w:t xml:space="preserve"> dado muestras de su capacidad al aplicar, de manera eficaz, las disposiciones de la Ley de Expropiación de Bienes Raíces. Esta ley brinda protección a las personas afectadas por procesos de expropiación (propietarios</w:t>
      </w:r>
      <w:r w:rsidR="009D7C49" w:rsidRPr="00976BFF">
        <w:rPr>
          <w:lang w:val="es-ES_tradnl"/>
        </w:rPr>
        <w:t xml:space="preserve"> con título</w:t>
      </w:r>
      <w:r w:rsidRPr="00976BFF">
        <w:rPr>
          <w:lang w:val="es-ES_tradnl"/>
        </w:rPr>
        <w:t xml:space="preserve">, </w:t>
      </w:r>
      <w:r w:rsidR="00B42086" w:rsidRPr="00976BFF">
        <w:rPr>
          <w:lang w:val="es-ES_tradnl"/>
        </w:rPr>
        <w:t>arrendatarios</w:t>
      </w:r>
      <w:r w:rsidRPr="00976BFF">
        <w:rPr>
          <w:lang w:val="es-ES_tradnl"/>
        </w:rPr>
        <w:t xml:space="preserve"> con contrato, </w:t>
      </w:r>
      <w:r w:rsidR="009D7C49" w:rsidRPr="00976BFF">
        <w:rPr>
          <w:lang w:val="es-ES_tradnl"/>
        </w:rPr>
        <w:t>ocupantes con permisos</w:t>
      </w:r>
      <w:r w:rsidRPr="00976BFF">
        <w:rPr>
          <w:lang w:val="es-ES_tradnl"/>
        </w:rPr>
        <w:t xml:space="preserve"> y ocupantes con derechos </w:t>
      </w:r>
      <w:r w:rsidR="009D7C49" w:rsidRPr="00976BFF">
        <w:rPr>
          <w:lang w:val="es-ES_tradnl"/>
        </w:rPr>
        <w:t>posesorios</w:t>
      </w:r>
      <w:r w:rsidRPr="00976BFF">
        <w:rPr>
          <w:lang w:val="es-ES_tradnl"/>
        </w:rPr>
        <w:t xml:space="preserve"> derivados de la ocupación de la tierra durante más de 10 años)</w:t>
      </w:r>
      <w:r w:rsidR="009D7C49" w:rsidRPr="00976BFF">
        <w:rPr>
          <w:lang w:val="es-ES_tradnl"/>
        </w:rPr>
        <w:t xml:space="preserve"> pero no protege a las personas que no poseen derechos o permisos de ocupación. </w:t>
      </w:r>
      <w:r w:rsidR="00031B17" w:rsidRPr="00976BFF">
        <w:rPr>
          <w:lang w:val="es-ES_tradnl"/>
        </w:rPr>
        <w:t xml:space="preserve">En el caso improbable de que un futuro subproyecto afecte un asentamiento informal o ilegal, la </w:t>
      </w:r>
      <w:r w:rsidR="00A65656">
        <w:rPr>
          <w:lang w:val="es-ES_tradnl"/>
        </w:rPr>
        <w:t>u</w:t>
      </w:r>
      <w:r w:rsidR="00A65656" w:rsidRPr="00976BFF">
        <w:rPr>
          <w:lang w:val="es-ES_tradnl"/>
        </w:rPr>
        <w:t xml:space="preserve">nidad </w:t>
      </w:r>
      <w:r w:rsidR="00A65656">
        <w:rPr>
          <w:lang w:val="es-ES_tradnl"/>
        </w:rPr>
        <w:t>s</w:t>
      </w:r>
      <w:r w:rsidR="00A65656" w:rsidRPr="00976BFF">
        <w:rPr>
          <w:lang w:val="es-ES_tradnl"/>
        </w:rPr>
        <w:t xml:space="preserve">ocial </w:t>
      </w:r>
      <w:r w:rsidR="00031B17" w:rsidRPr="00976BFF">
        <w:rPr>
          <w:lang w:val="es-ES_tradnl"/>
        </w:rPr>
        <w:t xml:space="preserve">de la DNTop sería responsable de </w:t>
      </w:r>
      <w:r w:rsidR="00CF2DDE">
        <w:rPr>
          <w:lang w:val="es-ES_tradnl"/>
        </w:rPr>
        <w:t>elaborar</w:t>
      </w:r>
      <w:r w:rsidR="00031B17" w:rsidRPr="00976BFF">
        <w:rPr>
          <w:lang w:val="es-ES_tradnl"/>
        </w:rPr>
        <w:t xml:space="preserve"> planes de reubicación para ayudar a las personas desplazadas, independientemente de su situación jurídica, como lo hizo en forma satisfactoria en el complejo caso de la carretera de circunvalación de Montevideo. </w:t>
      </w:r>
      <w:r w:rsidR="00F5117A" w:rsidRPr="00976BFF">
        <w:rPr>
          <w:lang w:val="es-ES_tradnl"/>
        </w:rPr>
        <w:t xml:space="preserve">En lo referente a las cuestiones de expropiación y reasentamiento, no se identificaron diferencias importantes entre el marco regulatorio y la práctica, y los principios básicos de la </w:t>
      </w:r>
      <w:r w:rsidR="00EB0B7A" w:rsidRPr="00976BFF">
        <w:rPr>
          <w:lang w:val="es-ES_tradnl"/>
        </w:rPr>
        <w:t>OP</w:t>
      </w:r>
      <w:r w:rsidR="00131D9E" w:rsidRPr="00976BFF">
        <w:rPr>
          <w:lang w:val="es-ES_tradnl"/>
        </w:rPr>
        <w:t xml:space="preserve"> </w:t>
      </w:r>
      <w:r w:rsidR="00EB0B7A" w:rsidRPr="00976BFF">
        <w:rPr>
          <w:lang w:val="es-ES_tradnl"/>
        </w:rPr>
        <w:t>9.00.</w:t>
      </w:r>
    </w:p>
    <w:p w:rsidR="0007594F" w:rsidRPr="00976BFF" w:rsidRDefault="00417254" w:rsidP="00625FD2">
      <w:pPr>
        <w:pStyle w:val="MainPara"/>
        <w:rPr>
          <w:lang w:val="es-ES_tradnl"/>
        </w:rPr>
      </w:pPr>
      <w:r w:rsidRPr="00976BFF">
        <w:rPr>
          <w:lang w:val="es-ES_tradnl"/>
        </w:rPr>
        <w:t xml:space="preserve">El nivel de riesgo asociado a los sistemas de gestión social del </w:t>
      </w:r>
      <w:r w:rsidR="00650A31">
        <w:rPr>
          <w:lang w:val="es-ES_tradnl"/>
        </w:rPr>
        <w:t>programa</w:t>
      </w:r>
      <w:r w:rsidRPr="00976BFF">
        <w:rPr>
          <w:lang w:val="es-ES_tradnl"/>
        </w:rPr>
        <w:t xml:space="preserve"> es bajo. Los riesgos están relacionados con tres áreas deficientes: a) el riesgo a mediano plazo</w:t>
      </w:r>
      <w:r w:rsidR="00CC283B" w:rsidRPr="00976BFF">
        <w:rPr>
          <w:lang w:val="es-ES_tradnl"/>
        </w:rPr>
        <w:t xml:space="preserve"> de desorganización institucional en la </w:t>
      </w:r>
      <w:r w:rsidR="00637508" w:rsidRPr="00976BFF">
        <w:rPr>
          <w:lang w:val="es-ES_tradnl"/>
        </w:rPr>
        <w:t>DNTop</w:t>
      </w:r>
      <w:r w:rsidR="00DD441F" w:rsidRPr="00976BFF">
        <w:rPr>
          <w:lang w:val="es-ES_tradnl"/>
        </w:rPr>
        <w:t>;</w:t>
      </w:r>
      <w:r w:rsidR="00637508" w:rsidRPr="00976BFF">
        <w:rPr>
          <w:lang w:val="es-ES_tradnl"/>
        </w:rPr>
        <w:t xml:space="preserve"> </w:t>
      </w:r>
      <w:r w:rsidR="00131D9E" w:rsidRPr="00976BFF">
        <w:rPr>
          <w:lang w:val="es-ES_tradnl"/>
        </w:rPr>
        <w:t>b</w:t>
      </w:r>
      <w:r w:rsidR="00C22DEA" w:rsidRPr="00976BFF">
        <w:rPr>
          <w:lang w:val="es-ES_tradnl"/>
        </w:rPr>
        <w:t xml:space="preserve">) </w:t>
      </w:r>
      <w:r w:rsidR="00CC283B" w:rsidRPr="00976BFF">
        <w:rPr>
          <w:lang w:val="es-ES_tradnl"/>
        </w:rPr>
        <w:t>el riesgo de gestión inadecuada de los procesos de reasentamiento involuntario, y c) el riesgo de falta de equidad en la compensación por la adquisición de servidumbres de paso. El IVL-3 incluye un resultado orientado a consolidar los procesos y abordar estas deficiencias</w:t>
      </w:r>
      <w:r w:rsidR="00556CB3" w:rsidRPr="00976BFF">
        <w:rPr>
          <w:lang w:val="es-ES_tradnl"/>
        </w:rPr>
        <w:t>.</w:t>
      </w:r>
    </w:p>
    <w:p w:rsidR="002B77E0" w:rsidRPr="00976BFF" w:rsidRDefault="002B77E0" w:rsidP="00152B18">
      <w:pPr>
        <w:pStyle w:val="NoSpacing"/>
        <w:ind w:left="360"/>
        <w:rPr>
          <w:rFonts w:ascii="Times New Roman" w:hAnsi="Times New Roman" w:cs="Times New Roman"/>
          <w:lang w:val="es-ES_tradnl"/>
        </w:rPr>
      </w:pPr>
    </w:p>
    <w:p w:rsidR="00B66636" w:rsidRPr="00976BFF" w:rsidRDefault="00CC283B" w:rsidP="006068D8">
      <w:pPr>
        <w:pStyle w:val="Heading2"/>
        <w:rPr>
          <w:lang w:val="es-ES_tradnl"/>
        </w:rPr>
      </w:pPr>
      <w:bookmarkStart w:id="25" w:name="_Toc344927165"/>
      <w:r w:rsidRPr="00976BFF">
        <w:rPr>
          <w:lang w:val="es-ES_tradnl"/>
        </w:rPr>
        <w:t>Resumen de la evaluación integrada de los riesgos</w:t>
      </w:r>
      <w:bookmarkEnd w:id="25"/>
    </w:p>
    <w:p w:rsidR="00A764A2" w:rsidRPr="00976BFF" w:rsidRDefault="00CC283B" w:rsidP="00625FD2">
      <w:pPr>
        <w:pStyle w:val="MainPara"/>
        <w:rPr>
          <w:lang w:val="es-ES_tradnl"/>
        </w:rPr>
      </w:pPr>
      <w:r w:rsidRPr="00976BFF">
        <w:rPr>
          <w:lang w:val="es-ES_tradnl"/>
        </w:rPr>
        <w:t xml:space="preserve">El anexo </w:t>
      </w:r>
      <w:r w:rsidR="00131D9E" w:rsidRPr="00976BFF">
        <w:rPr>
          <w:lang w:val="es-ES_tradnl"/>
        </w:rPr>
        <w:t xml:space="preserve">7, </w:t>
      </w:r>
      <w:r w:rsidR="007511C1">
        <w:rPr>
          <w:lang w:val="es-ES_tradnl"/>
        </w:rPr>
        <w:t>“</w:t>
      </w:r>
      <w:r w:rsidRPr="000B5989">
        <w:rPr>
          <w:lang w:val="es-ES_tradnl"/>
        </w:rPr>
        <w:t>Evaluación integrada de los riesgos</w:t>
      </w:r>
      <w:r w:rsidR="007511C1">
        <w:rPr>
          <w:lang w:val="es-ES_tradnl"/>
        </w:rPr>
        <w:t>”</w:t>
      </w:r>
      <w:r w:rsidR="00131D9E" w:rsidRPr="00976BFF">
        <w:rPr>
          <w:lang w:val="es-ES_tradnl"/>
        </w:rPr>
        <w:t xml:space="preserve">, </w:t>
      </w:r>
      <w:r w:rsidRPr="00976BFF">
        <w:rPr>
          <w:lang w:val="es-ES_tradnl"/>
        </w:rPr>
        <w:t xml:space="preserve">contiene una descripción detallada de la evaluación de los riesgos. Todos los riesgos se consideran “moderados” o “bajos”. La categoría “otros riesgos” del cuadro 3 </w:t>
      </w:r>
      <w:r w:rsidRPr="00976BFF">
        <w:rPr>
          <w:i/>
          <w:lang w:val="es-ES_tradnl"/>
        </w:rPr>
        <w:t>infra</w:t>
      </w:r>
      <w:r w:rsidRPr="00976BFF">
        <w:rPr>
          <w:lang w:val="es-ES_tradnl"/>
        </w:rPr>
        <w:t xml:space="preserve"> incluye</w:t>
      </w:r>
      <w:r w:rsidR="002C01D8" w:rsidRPr="00976BFF">
        <w:rPr>
          <w:lang w:val="es-ES_tradnl"/>
        </w:rPr>
        <w:t xml:space="preserve"> el riesgo de que el </w:t>
      </w:r>
      <w:r w:rsidR="00CF2DDE">
        <w:rPr>
          <w:lang w:val="es-ES_tradnl"/>
        </w:rPr>
        <w:t>p</w:t>
      </w:r>
      <w:r w:rsidR="009B073D" w:rsidRPr="00976BFF">
        <w:rPr>
          <w:lang w:val="es-ES_tradnl"/>
        </w:rPr>
        <w:t>rograma</w:t>
      </w:r>
      <w:r w:rsidR="002C01D8" w:rsidRPr="00976BFF">
        <w:rPr>
          <w:lang w:val="es-ES_tradnl"/>
        </w:rPr>
        <w:t xml:space="preserve"> vial de Uruguay no disponga de financiamiento suficiente después de la finalización del </w:t>
      </w:r>
      <w:r w:rsidR="00650A31">
        <w:rPr>
          <w:lang w:val="es-ES_tradnl"/>
        </w:rPr>
        <w:t>programa</w:t>
      </w:r>
      <w:r w:rsidR="002C01D8" w:rsidRPr="00976BFF">
        <w:rPr>
          <w:lang w:val="es-ES_tradnl"/>
        </w:rPr>
        <w:t>, con la consiguiente disminución de la calidad general de la red (riesgo relativo a la sostenibilidad</w:t>
      </w:r>
      <w:r w:rsidR="007F210C" w:rsidRPr="00976BFF">
        <w:rPr>
          <w:lang w:val="es-ES_tradnl"/>
        </w:rPr>
        <w:t>).</w:t>
      </w:r>
    </w:p>
    <w:p w:rsidR="009F5F8A" w:rsidRPr="00976BFF" w:rsidRDefault="009F5F8A">
      <w:pPr>
        <w:rPr>
          <w:lang w:val="es-ES_tradnl"/>
        </w:rPr>
      </w:pPr>
    </w:p>
    <w:tbl>
      <w:tblPr>
        <w:tblStyle w:val="TableGrid"/>
        <w:tblW w:w="0" w:type="auto"/>
        <w:jc w:val="center"/>
        <w:tblInd w:w="738" w:type="dxa"/>
        <w:tblLook w:val="04A0" w:firstRow="1" w:lastRow="0" w:firstColumn="1" w:lastColumn="0" w:noHBand="0" w:noVBand="1"/>
      </w:tblPr>
      <w:tblGrid>
        <w:gridCol w:w="3420"/>
        <w:gridCol w:w="1350"/>
      </w:tblGrid>
      <w:tr w:rsidR="00893B83" w:rsidRPr="00377DAB">
        <w:trPr>
          <w:jc w:val="center"/>
        </w:trPr>
        <w:tc>
          <w:tcPr>
            <w:tcW w:w="4770" w:type="dxa"/>
            <w:gridSpan w:val="2"/>
            <w:tcBorders>
              <w:top w:val="nil"/>
              <w:left w:val="nil"/>
              <w:bottom w:val="nil"/>
              <w:right w:val="nil"/>
            </w:tcBorders>
            <w:shd w:val="clear" w:color="auto" w:fill="auto"/>
          </w:tcPr>
          <w:p w:rsidR="00A764A2" w:rsidRPr="00976BFF" w:rsidRDefault="002C01D8" w:rsidP="009F5F8A">
            <w:pPr>
              <w:jc w:val="center"/>
              <w:rPr>
                <w:rFonts w:ascii="Times New Roman" w:hAnsi="Times New Roman" w:cs="Times New Roman"/>
                <w:b/>
                <w:lang w:val="es-ES_tradnl"/>
              </w:rPr>
            </w:pPr>
            <w:r w:rsidRPr="00976BFF">
              <w:rPr>
                <w:rFonts w:ascii="Times New Roman" w:hAnsi="Times New Roman" w:cs="Times New Roman"/>
                <w:b/>
                <w:lang w:val="es-ES_tradnl"/>
              </w:rPr>
              <w:t>Cuadro</w:t>
            </w:r>
            <w:r w:rsidR="00C41F5D" w:rsidRPr="00976BFF">
              <w:rPr>
                <w:rFonts w:ascii="Times New Roman" w:hAnsi="Times New Roman" w:cs="Times New Roman"/>
                <w:b/>
                <w:lang w:val="es-ES_tradnl"/>
              </w:rPr>
              <w:t xml:space="preserve"> </w:t>
            </w:r>
            <w:r w:rsidR="00F331EB" w:rsidRPr="00976BFF">
              <w:rPr>
                <w:rFonts w:ascii="Times New Roman" w:hAnsi="Times New Roman" w:cs="Times New Roman"/>
                <w:b/>
                <w:lang w:val="es-ES_tradnl"/>
              </w:rPr>
              <w:t>3</w:t>
            </w:r>
            <w:r w:rsidRPr="00976BFF">
              <w:rPr>
                <w:rFonts w:ascii="Times New Roman" w:hAnsi="Times New Roman" w:cs="Times New Roman"/>
                <w:b/>
                <w:lang w:val="es-ES_tradnl"/>
              </w:rPr>
              <w:t>. Resumen de la evaluación integrada de los riesgos</w:t>
            </w:r>
          </w:p>
          <w:p w:rsidR="009F5F8A" w:rsidRPr="00976BFF" w:rsidRDefault="009F5F8A" w:rsidP="009F5F8A">
            <w:pPr>
              <w:jc w:val="center"/>
              <w:rPr>
                <w:rFonts w:ascii="Times New Roman" w:hAnsi="Times New Roman" w:cs="Times New Roman"/>
                <w:b/>
                <w:lang w:val="es-ES_tradnl"/>
              </w:rPr>
            </w:pPr>
          </w:p>
        </w:tc>
      </w:tr>
      <w:tr w:rsidR="00643CDE" w:rsidRPr="00976BFF">
        <w:trPr>
          <w:jc w:val="center"/>
        </w:trPr>
        <w:tc>
          <w:tcPr>
            <w:tcW w:w="3420" w:type="dxa"/>
            <w:tcBorders>
              <w:top w:val="single" w:sz="4" w:space="0" w:color="auto"/>
            </w:tcBorders>
            <w:shd w:val="clear" w:color="auto" w:fill="auto"/>
          </w:tcPr>
          <w:p w:rsidR="0064190C" w:rsidRPr="00976BFF" w:rsidRDefault="002C01D8">
            <w:pPr>
              <w:pStyle w:val="NoSpacing"/>
              <w:rPr>
                <w:rFonts w:ascii="Times New Roman" w:hAnsi="Times New Roman" w:cs="Times New Roman"/>
                <w:b/>
                <w:i/>
                <w:lang w:val="es-ES_tradnl"/>
              </w:rPr>
            </w:pPr>
            <w:r w:rsidRPr="00976BFF">
              <w:rPr>
                <w:rFonts w:ascii="Times New Roman" w:hAnsi="Times New Roman" w:cs="Times New Roman"/>
                <w:b/>
                <w:i/>
                <w:lang w:val="es-ES_tradnl"/>
              </w:rPr>
              <w:t>Categoría de riesgo</w:t>
            </w:r>
          </w:p>
        </w:tc>
        <w:tc>
          <w:tcPr>
            <w:tcW w:w="1350" w:type="dxa"/>
            <w:tcBorders>
              <w:top w:val="single" w:sz="4" w:space="0" w:color="auto"/>
            </w:tcBorders>
            <w:shd w:val="clear" w:color="auto" w:fill="auto"/>
          </w:tcPr>
          <w:p w:rsidR="00643CDE" w:rsidRPr="00976BFF" w:rsidRDefault="002C01D8" w:rsidP="00643CDE">
            <w:pPr>
              <w:pStyle w:val="NoSpacing"/>
              <w:rPr>
                <w:rFonts w:ascii="Times New Roman" w:hAnsi="Times New Roman" w:cs="Times New Roman"/>
                <w:b/>
                <w:i/>
                <w:lang w:val="es-ES_tradnl"/>
              </w:rPr>
            </w:pPr>
            <w:r w:rsidRPr="00976BFF">
              <w:rPr>
                <w:rFonts w:ascii="Times New Roman" w:hAnsi="Times New Roman" w:cs="Times New Roman"/>
                <w:b/>
                <w:i/>
                <w:lang w:val="es-ES_tradnl"/>
              </w:rPr>
              <w:t>Calificación</w:t>
            </w:r>
          </w:p>
        </w:tc>
      </w:tr>
      <w:tr w:rsidR="00643CDE" w:rsidRPr="00976BFF">
        <w:trPr>
          <w:jc w:val="center"/>
        </w:trPr>
        <w:tc>
          <w:tcPr>
            <w:tcW w:w="3420" w:type="dxa"/>
            <w:shd w:val="clear" w:color="auto" w:fill="auto"/>
          </w:tcPr>
          <w:p w:rsidR="00643CDE" w:rsidRPr="00976BFF" w:rsidRDefault="002C01D8" w:rsidP="002C01D8">
            <w:pPr>
              <w:pStyle w:val="NoSpacing"/>
              <w:rPr>
                <w:rFonts w:ascii="Times New Roman" w:hAnsi="Times New Roman" w:cs="Times New Roman"/>
                <w:lang w:val="es-ES_tradnl"/>
              </w:rPr>
            </w:pPr>
            <w:r w:rsidRPr="00976BFF">
              <w:rPr>
                <w:rFonts w:ascii="Times New Roman" w:hAnsi="Times New Roman" w:cs="Times New Roman"/>
                <w:lang w:val="es-ES_tradnl"/>
              </w:rPr>
              <w:t>Aspectos técnicos</w:t>
            </w:r>
            <w:r w:rsidR="00C41F5D" w:rsidRPr="00976BFF">
              <w:rPr>
                <w:rFonts w:ascii="Times New Roman" w:hAnsi="Times New Roman" w:cs="Times New Roman"/>
                <w:lang w:val="es-ES_tradnl"/>
              </w:rPr>
              <w:t xml:space="preserve"> </w:t>
            </w:r>
          </w:p>
        </w:tc>
        <w:tc>
          <w:tcPr>
            <w:tcW w:w="1350" w:type="dxa"/>
            <w:shd w:val="clear" w:color="auto" w:fill="auto"/>
          </w:tcPr>
          <w:p w:rsidR="00643CDE" w:rsidRPr="00976BFF" w:rsidRDefault="00C41F5D" w:rsidP="002C01D8">
            <w:pPr>
              <w:pStyle w:val="NoSpacing"/>
              <w:rPr>
                <w:rFonts w:ascii="Times New Roman" w:hAnsi="Times New Roman" w:cs="Times New Roman"/>
                <w:b/>
                <w:lang w:val="es-ES_tradnl"/>
              </w:rPr>
            </w:pPr>
            <w:r w:rsidRPr="00976BFF">
              <w:rPr>
                <w:rFonts w:ascii="Times New Roman" w:hAnsi="Times New Roman" w:cs="Times New Roman"/>
                <w:b/>
                <w:lang w:val="es-ES_tradnl"/>
              </w:rPr>
              <w:t>M</w:t>
            </w:r>
            <w:r w:rsidR="00B93944" w:rsidRPr="00976BFF">
              <w:rPr>
                <w:rFonts w:ascii="Times New Roman" w:hAnsi="Times New Roman" w:cs="Times New Roman"/>
                <w:b/>
                <w:lang w:val="es-ES_tradnl"/>
              </w:rPr>
              <w:t>odera</w:t>
            </w:r>
            <w:r w:rsidR="002C01D8" w:rsidRPr="00976BFF">
              <w:rPr>
                <w:rFonts w:ascii="Times New Roman" w:hAnsi="Times New Roman" w:cs="Times New Roman"/>
                <w:b/>
                <w:lang w:val="es-ES_tradnl"/>
              </w:rPr>
              <w:t>do</w:t>
            </w:r>
          </w:p>
        </w:tc>
      </w:tr>
      <w:tr w:rsidR="00643CDE" w:rsidRPr="00976BFF">
        <w:trPr>
          <w:jc w:val="center"/>
        </w:trPr>
        <w:tc>
          <w:tcPr>
            <w:tcW w:w="3420" w:type="dxa"/>
            <w:shd w:val="clear" w:color="auto" w:fill="auto"/>
          </w:tcPr>
          <w:p w:rsidR="0064190C" w:rsidRPr="00976BFF" w:rsidRDefault="002C01D8" w:rsidP="002C01D8">
            <w:pPr>
              <w:pStyle w:val="NoSpacing"/>
              <w:rPr>
                <w:rFonts w:ascii="Times New Roman" w:hAnsi="Times New Roman" w:cs="Times New Roman"/>
                <w:lang w:val="es-ES_tradnl"/>
              </w:rPr>
            </w:pPr>
            <w:r w:rsidRPr="00976BFF">
              <w:rPr>
                <w:rFonts w:ascii="Times New Roman" w:hAnsi="Times New Roman" w:cs="Times New Roman"/>
                <w:lang w:val="es-ES_tradnl"/>
              </w:rPr>
              <w:t>Aspectos f</w:t>
            </w:r>
            <w:r w:rsidR="00C41F5D" w:rsidRPr="00976BFF">
              <w:rPr>
                <w:rFonts w:ascii="Times New Roman" w:hAnsi="Times New Roman" w:cs="Times New Roman"/>
                <w:lang w:val="es-ES_tradnl"/>
              </w:rPr>
              <w:t>iduciar</w:t>
            </w:r>
            <w:r w:rsidRPr="00976BFF">
              <w:rPr>
                <w:rFonts w:ascii="Times New Roman" w:hAnsi="Times New Roman" w:cs="Times New Roman"/>
                <w:lang w:val="es-ES_tradnl"/>
              </w:rPr>
              <w:t>ios</w:t>
            </w:r>
          </w:p>
        </w:tc>
        <w:tc>
          <w:tcPr>
            <w:tcW w:w="1350" w:type="dxa"/>
            <w:shd w:val="clear" w:color="auto" w:fill="auto"/>
          </w:tcPr>
          <w:p w:rsidR="00643CDE" w:rsidRPr="00976BFF" w:rsidRDefault="00C41F5D" w:rsidP="002C01D8">
            <w:pPr>
              <w:pStyle w:val="NoSpacing"/>
              <w:rPr>
                <w:rFonts w:ascii="Times New Roman" w:hAnsi="Times New Roman" w:cs="Times New Roman"/>
                <w:b/>
                <w:lang w:val="es-ES_tradnl"/>
              </w:rPr>
            </w:pPr>
            <w:r w:rsidRPr="00976BFF">
              <w:rPr>
                <w:rFonts w:ascii="Times New Roman" w:hAnsi="Times New Roman" w:cs="Times New Roman"/>
                <w:b/>
                <w:lang w:val="es-ES_tradnl"/>
              </w:rPr>
              <w:t>M</w:t>
            </w:r>
            <w:r w:rsidR="00B93944" w:rsidRPr="00976BFF">
              <w:rPr>
                <w:rFonts w:ascii="Times New Roman" w:hAnsi="Times New Roman" w:cs="Times New Roman"/>
                <w:b/>
                <w:lang w:val="es-ES_tradnl"/>
              </w:rPr>
              <w:t>odera</w:t>
            </w:r>
            <w:r w:rsidR="002C01D8" w:rsidRPr="00976BFF">
              <w:rPr>
                <w:rFonts w:ascii="Times New Roman" w:hAnsi="Times New Roman" w:cs="Times New Roman"/>
                <w:b/>
                <w:lang w:val="es-ES_tradnl"/>
              </w:rPr>
              <w:t>do</w:t>
            </w:r>
          </w:p>
        </w:tc>
      </w:tr>
      <w:tr w:rsidR="00643CDE" w:rsidRPr="00976BFF">
        <w:trPr>
          <w:jc w:val="center"/>
        </w:trPr>
        <w:tc>
          <w:tcPr>
            <w:tcW w:w="3420" w:type="dxa"/>
            <w:shd w:val="clear" w:color="auto" w:fill="auto"/>
          </w:tcPr>
          <w:p w:rsidR="00643CDE" w:rsidRPr="00976BFF" w:rsidRDefault="009914EF" w:rsidP="002C01D8">
            <w:pPr>
              <w:pStyle w:val="NoSpacing"/>
              <w:rPr>
                <w:rFonts w:ascii="Times New Roman" w:hAnsi="Times New Roman" w:cs="Times New Roman"/>
                <w:lang w:val="es-ES_tradnl"/>
              </w:rPr>
            </w:pPr>
            <w:r w:rsidRPr="00976BFF">
              <w:rPr>
                <w:rFonts w:ascii="Times New Roman" w:hAnsi="Times New Roman" w:cs="Times New Roman"/>
                <w:lang w:val="es-ES_tradnl"/>
              </w:rPr>
              <w:t>Aspectos</w:t>
            </w:r>
            <w:r w:rsidR="002C01D8" w:rsidRPr="00976BFF">
              <w:rPr>
                <w:rFonts w:ascii="Times New Roman" w:hAnsi="Times New Roman" w:cs="Times New Roman"/>
                <w:lang w:val="es-ES_tradnl"/>
              </w:rPr>
              <w:t xml:space="preserve"> ambientales y sociales</w:t>
            </w:r>
          </w:p>
        </w:tc>
        <w:tc>
          <w:tcPr>
            <w:tcW w:w="1350" w:type="dxa"/>
            <w:shd w:val="clear" w:color="auto" w:fill="auto"/>
          </w:tcPr>
          <w:p w:rsidR="00643CDE" w:rsidRPr="00976BFF" w:rsidRDefault="002C01D8" w:rsidP="00643CDE">
            <w:pPr>
              <w:pStyle w:val="NoSpacing"/>
              <w:rPr>
                <w:rFonts w:ascii="Times New Roman" w:hAnsi="Times New Roman" w:cs="Times New Roman"/>
                <w:b/>
                <w:lang w:val="es-ES_tradnl"/>
              </w:rPr>
            </w:pPr>
            <w:r w:rsidRPr="00976BFF">
              <w:rPr>
                <w:rFonts w:ascii="Times New Roman" w:hAnsi="Times New Roman" w:cs="Times New Roman"/>
                <w:b/>
                <w:lang w:val="es-ES_tradnl"/>
              </w:rPr>
              <w:t>Bajo</w:t>
            </w:r>
          </w:p>
        </w:tc>
      </w:tr>
      <w:tr w:rsidR="00643CDE" w:rsidRPr="00976BFF">
        <w:trPr>
          <w:jc w:val="center"/>
        </w:trPr>
        <w:tc>
          <w:tcPr>
            <w:tcW w:w="3420" w:type="dxa"/>
            <w:shd w:val="clear" w:color="auto" w:fill="auto"/>
          </w:tcPr>
          <w:p w:rsidR="00643CDE" w:rsidRPr="00976BFF" w:rsidRDefault="002C01D8" w:rsidP="00E57E6E">
            <w:pPr>
              <w:pStyle w:val="NoSpacing"/>
              <w:rPr>
                <w:rFonts w:ascii="Times New Roman" w:hAnsi="Times New Roman" w:cs="Times New Roman"/>
                <w:lang w:val="es-ES_tradnl"/>
              </w:rPr>
            </w:pPr>
            <w:r w:rsidRPr="00976BFF">
              <w:rPr>
                <w:rFonts w:ascii="Times New Roman" w:hAnsi="Times New Roman" w:cs="Times New Roman"/>
                <w:lang w:val="es-ES_tradnl"/>
              </w:rPr>
              <w:t xml:space="preserve">Indicadores vinculados </w:t>
            </w:r>
            <w:r w:rsidR="00E57E6E">
              <w:rPr>
                <w:rFonts w:ascii="Times New Roman" w:hAnsi="Times New Roman" w:cs="Times New Roman"/>
                <w:lang w:val="es-ES_tradnl"/>
              </w:rPr>
              <w:t>con</w:t>
            </w:r>
            <w:r w:rsidR="00E57E6E" w:rsidRPr="00976BFF">
              <w:rPr>
                <w:rFonts w:ascii="Times New Roman" w:hAnsi="Times New Roman" w:cs="Times New Roman"/>
                <w:lang w:val="es-ES_tradnl"/>
              </w:rPr>
              <w:t xml:space="preserve"> </w:t>
            </w:r>
            <w:r w:rsidRPr="00976BFF">
              <w:rPr>
                <w:rFonts w:ascii="Times New Roman" w:hAnsi="Times New Roman" w:cs="Times New Roman"/>
                <w:lang w:val="es-ES_tradnl"/>
              </w:rPr>
              <w:t>los desembolsos</w:t>
            </w:r>
            <w:r w:rsidR="00C41F5D" w:rsidRPr="00976BFF">
              <w:rPr>
                <w:rFonts w:ascii="Times New Roman" w:hAnsi="Times New Roman" w:cs="Times New Roman"/>
                <w:lang w:val="es-ES_tradnl"/>
              </w:rPr>
              <w:t xml:space="preserve"> </w:t>
            </w:r>
          </w:p>
        </w:tc>
        <w:tc>
          <w:tcPr>
            <w:tcW w:w="1350" w:type="dxa"/>
            <w:shd w:val="clear" w:color="auto" w:fill="auto"/>
          </w:tcPr>
          <w:p w:rsidR="00643CDE" w:rsidRPr="00976BFF" w:rsidRDefault="00C41F5D" w:rsidP="002C01D8">
            <w:pPr>
              <w:pStyle w:val="NoSpacing"/>
              <w:rPr>
                <w:rFonts w:ascii="Times New Roman" w:hAnsi="Times New Roman" w:cs="Times New Roman"/>
                <w:b/>
                <w:lang w:val="es-ES_tradnl"/>
              </w:rPr>
            </w:pPr>
            <w:r w:rsidRPr="00976BFF">
              <w:rPr>
                <w:rFonts w:ascii="Times New Roman" w:hAnsi="Times New Roman" w:cs="Times New Roman"/>
                <w:b/>
                <w:lang w:val="es-ES_tradnl"/>
              </w:rPr>
              <w:t>M</w:t>
            </w:r>
            <w:r w:rsidR="00B93944" w:rsidRPr="00976BFF">
              <w:rPr>
                <w:rFonts w:ascii="Times New Roman" w:hAnsi="Times New Roman" w:cs="Times New Roman"/>
                <w:b/>
                <w:lang w:val="es-ES_tradnl"/>
              </w:rPr>
              <w:t>odera</w:t>
            </w:r>
            <w:r w:rsidR="002C01D8" w:rsidRPr="00976BFF">
              <w:rPr>
                <w:rFonts w:ascii="Times New Roman" w:hAnsi="Times New Roman" w:cs="Times New Roman"/>
                <w:b/>
                <w:lang w:val="es-ES_tradnl"/>
              </w:rPr>
              <w:t>do</w:t>
            </w:r>
          </w:p>
        </w:tc>
      </w:tr>
      <w:tr w:rsidR="00643CDE" w:rsidRPr="00976BFF">
        <w:trPr>
          <w:jc w:val="center"/>
        </w:trPr>
        <w:tc>
          <w:tcPr>
            <w:tcW w:w="3420" w:type="dxa"/>
            <w:shd w:val="clear" w:color="auto" w:fill="auto"/>
          </w:tcPr>
          <w:p w:rsidR="00643CDE" w:rsidRPr="00976BFF" w:rsidRDefault="00C41F5D" w:rsidP="002C01D8">
            <w:pPr>
              <w:pStyle w:val="NoSpacing"/>
              <w:rPr>
                <w:rFonts w:ascii="Times New Roman" w:hAnsi="Times New Roman" w:cs="Times New Roman"/>
                <w:lang w:val="es-ES_tradnl"/>
              </w:rPr>
            </w:pPr>
            <w:r w:rsidRPr="00976BFF">
              <w:rPr>
                <w:rFonts w:ascii="Times New Roman" w:hAnsi="Times New Roman" w:cs="Times New Roman"/>
                <w:lang w:val="es-ES_tradnl"/>
              </w:rPr>
              <w:t>Ot</w:t>
            </w:r>
            <w:r w:rsidR="002C01D8" w:rsidRPr="00976BFF">
              <w:rPr>
                <w:rFonts w:ascii="Times New Roman" w:hAnsi="Times New Roman" w:cs="Times New Roman"/>
                <w:lang w:val="es-ES_tradnl"/>
              </w:rPr>
              <w:t>ros riesgos</w:t>
            </w:r>
            <w:r w:rsidRPr="00976BFF">
              <w:rPr>
                <w:rFonts w:ascii="Times New Roman" w:hAnsi="Times New Roman" w:cs="Times New Roman"/>
                <w:lang w:val="es-ES_tradnl"/>
              </w:rPr>
              <w:t xml:space="preserve"> </w:t>
            </w:r>
          </w:p>
        </w:tc>
        <w:tc>
          <w:tcPr>
            <w:tcW w:w="1350" w:type="dxa"/>
            <w:shd w:val="clear" w:color="auto" w:fill="auto"/>
          </w:tcPr>
          <w:p w:rsidR="00643CDE" w:rsidRPr="00976BFF" w:rsidRDefault="00C41F5D" w:rsidP="00643CDE">
            <w:pPr>
              <w:pStyle w:val="NoSpacing"/>
              <w:rPr>
                <w:rFonts w:ascii="Times New Roman" w:hAnsi="Times New Roman" w:cs="Times New Roman"/>
                <w:b/>
                <w:lang w:val="es-ES_tradnl"/>
              </w:rPr>
            </w:pPr>
            <w:r w:rsidRPr="00976BFF">
              <w:rPr>
                <w:rFonts w:ascii="Times New Roman" w:hAnsi="Times New Roman" w:cs="Times New Roman"/>
                <w:b/>
                <w:lang w:val="es-ES_tradnl"/>
              </w:rPr>
              <w:t>M</w:t>
            </w:r>
            <w:r w:rsidR="002C01D8" w:rsidRPr="00976BFF">
              <w:rPr>
                <w:rFonts w:ascii="Times New Roman" w:hAnsi="Times New Roman" w:cs="Times New Roman"/>
                <w:b/>
                <w:lang w:val="es-ES_tradnl"/>
              </w:rPr>
              <w:t>oderado</w:t>
            </w:r>
          </w:p>
        </w:tc>
      </w:tr>
      <w:tr w:rsidR="00643CDE" w:rsidRPr="00976BFF">
        <w:trPr>
          <w:jc w:val="center"/>
        </w:trPr>
        <w:tc>
          <w:tcPr>
            <w:tcW w:w="3420" w:type="dxa"/>
            <w:shd w:val="clear" w:color="auto" w:fill="auto"/>
          </w:tcPr>
          <w:p w:rsidR="00643CDE" w:rsidRPr="00976BFF" w:rsidRDefault="002C01D8" w:rsidP="002C01D8">
            <w:pPr>
              <w:pStyle w:val="NoSpacing"/>
              <w:rPr>
                <w:rFonts w:ascii="Times New Roman" w:hAnsi="Times New Roman" w:cs="Times New Roman"/>
                <w:b/>
                <w:lang w:val="es-ES_tradnl"/>
              </w:rPr>
            </w:pPr>
            <w:r w:rsidRPr="00976BFF">
              <w:rPr>
                <w:rFonts w:ascii="Times New Roman" w:hAnsi="Times New Roman" w:cs="Times New Roman"/>
                <w:b/>
                <w:lang w:val="es-ES_tradnl"/>
              </w:rPr>
              <w:t xml:space="preserve">Riesgo general del </w:t>
            </w:r>
            <w:r w:rsidR="00650A31">
              <w:rPr>
                <w:rFonts w:ascii="Times New Roman" w:hAnsi="Times New Roman" w:cs="Times New Roman"/>
                <w:b/>
                <w:lang w:val="es-ES_tradnl"/>
              </w:rPr>
              <w:t>programa</w:t>
            </w:r>
          </w:p>
        </w:tc>
        <w:tc>
          <w:tcPr>
            <w:tcW w:w="1350" w:type="dxa"/>
            <w:shd w:val="clear" w:color="auto" w:fill="auto"/>
          </w:tcPr>
          <w:p w:rsidR="00A764A2" w:rsidRPr="00976BFF" w:rsidRDefault="00C41F5D">
            <w:pPr>
              <w:pStyle w:val="NoSpacing"/>
              <w:contextualSpacing/>
              <w:jc w:val="both"/>
              <w:rPr>
                <w:rFonts w:ascii="Times New Roman" w:hAnsi="Times New Roman" w:cs="Times New Roman"/>
                <w:b/>
                <w:lang w:val="es-ES_tradnl"/>
              </w:rPr>
            </w:pPr>
            <w:r w:rsidRPr="00976BFF">
              <w:rPr>
                <w:rFonts w:ascii="Times New Roman" w:hAnsi="Times New Roman" w:cs="Times New Roman"/>
                <w:b/>
                <w:lang w:val="es-ES_tradnl"/>
              </w:rPr>
              <w:t>M</w:t>
            </w:r>
            <w:r w:rsidR="002C01D8" w:rsidRPr="00976BFF">
              <w:rPr>
                <w:rFonts w:ascii="Times New Roman" w:hAnsi="Times New Roman" w:cs="Times New Roman"/>
                <w:b/>
                <w:lang w:val="es-ES_tradnl"/>
              </w:rPr>
              <w:t>oderado</w:t>
            </w:r>
          </w:p>
        </w:tc>
      </w:tr>
    </w:tbl>
    <w:p w:rsidR="00E34A41" w:rsidRPr="00976BFF" w:rsidRDefault="00E34A41" w:rsidP="00152B18">
      <w:pPr>
        <w:pStyle w:val="NoSpacing"/>
        <w:rPr>
          <w:rFonts w:ascii="Times New Roman" w:hAnsi="Times New Roman" w:cs="Times New Roman"/>
          <w:lang w:val="es-ES_tradnl"/>
        </w:rPr>
      </w:pPr>
    </w:p>
    <w:p w:rsidR="0007594F" w:rsidRPr="00976BFF" w:rsidRDefault="00F96140" w:rsidP="00625FD2">
      <w:pPr>
        <w:pStyle w:val="MainPara"/>
        <w:rPr>
          <w:lang w:val="es-ES_tradnl"/>
        </w:rPr>
      </w:pPr>
      <w:r w:rsidRPr="00976BFF">
        <w:rPr>
          <w:lang w:val="es-ES_tradnl"/>
        </w:rPr>
        <w:t xml:space="preserve">Se considera que el riesgo general es moderado. Durante la ejecución, esta calificación se revisará una vez finalizadas y concertadas las medidas de mitigación de riesgos. El compromiso asumido por el Gobierno de Uruguay y las partes interesadas y el historial del </w:t>
      </w:r>
      <w:r w:rsidR="00C41F5D" w:rsidRPr="00976BFF">
        <w:rPr>
          <w:lang w:val="es-ES_tradnl"/>
        </w:rPr>
        <w:t>MTOP</w:t>
      </w:r>
      <w:r w:rsidRPr="00976BFF">
        <w:rPr>
          <w:lang w:val="es-ES_tradnl"/>
        </w:rPr>
        <w:t xml:space="preserve"> y la </w:t>
      </w:r>
      <w:r w:rsidR="00C41F5D" w:rsidRPr="00976BFF">
        <w:rPr>
          <w:lang w:val="es-ES_tradnl"/>
        </w:rPr>
        <w:t>DNV</w:t>
      </w:r>
      <w:r w:rsidRPr="00976BFF">
        <w:rPr>
          <w:lang w:val="es-ES_tradnl"/>
        </w:rPr>
        <w:t xml:space="preserve"> confirman que los riesgos serán manejables y que</w:t>
      </w:r>
      <w:r w:rsidR="00CF2DDE">
        <w:rPr>
          <w:lang w:val="es-ES_tradnl"/>
        </w:rPr>
        <w:t xml:space="preserve"> el </w:t>
      </w:r>
      <w:r w:rsidR="00650A31">
        <w:rPr>
          <w:lang w:val="es-ES_tradnl"/>
        </w:rPr>
        <w:t>programa</w:t>
      </w:r>
      <w:r w:rsidR="00CF2DDE">
        <w:rPr>
          <w:lang w:val="es-ES_tradnl"/>
        </w:rPr>
        <w:t xml:space="preserve"> incluirá</w:t>
      </w:r>
      <w:r w:rsidRPr="00976BFF">
        <w:rPr>
          <w:lang w:val="es-ES_tradnl"/>
        </w:rPr>
        <w:t xml:space="preserve"> las medidas necesarias de mitigación de riesgos</w:t>
      </w:r>
      <w:r w:rsidR="009C0F66" w:rsidRPr="00976BFF">
        <w:rPr>
          <w:lang w:val="es-ES_tradnl"/>
        </w:rPr>
        <w:t xml:space="preserve">. Los riesgos se tendrán en cuenta en el </w:t>
      </w:r>
      <w:r w:rsidR="007A653A" w:rsidRPr="00976BFF">
        <w:rPr>
          <w:lang w:val="es-ES_tradnl"/>
        </w:rPr>
        <w:t xml:space="preserve">Plan de Acción del </w:t>
      </w:r>
      <w:r w:rsidR="00650A31">
        <w:rPr>
          <w:lang w:val="es-ES_tradnl"/>
        </w:rPr>
        <w:t>programa</w:t>
      </w:r>
      <w:r w:rsidR="009C0F66" w:rsidRPr="00976BFF">
        <w:rPr>
          <w:lang w:val="es-ES_tradnl"/>
        </w:rPr>
        <w:t xml:space="preserve"> y se incluirán en el marco de resultados a los efectos de su seguimiento</w:t>
      </w:r>
      <w:r w:rsidR="00C41F5D" w:rsidRPr="00976BFF">
        <w:rPr>
          <w:lang w:val="es-ES_tradnl"/>
        </w:rPr>
        <w:t>.</w:t>
      </w:r>
    </w:p>
    <w:p w:rsidR="00196DE6" w:rsidRPr="00976BFF" w:rsidRDefault="00196DE6" w:rsidP="00152B18">
      <w:pPr>
        <w:pStyle w:val="NoSpacing"/>
        <w:ind w:left="390"/>
        <w:rPr>
          <w:rFonts w:ascii="Times New Roman" w:hAnsi="Times New Roman" w:cs="Times New Roman"/>
          <w:lang w:val="es-ES_tradnl"/>
        </w:rPr>
      </w:pPr>
    </w:p>
    <w:p w:rsidR="00B66636" w:rsidRPr="00976BFF" w:rsidRDefault="007A653A" w:rsidP="00C5318B">
      <w:pPr>
        <w:pStyle w:val="Heading2"/>
        <w:rPr>
          <w:b/>
          <w:lang w:val="es-ES_tradnl"/>
        </w:rPr>
      </w:pPr>
      <w:bookmarkStart w:id="26" w:name="_Toc344927166"/>
      <w:r w:rsidRPr="00976BFF">
        <w:rPr>
          <w:lang w:val="es-ES_tradnl"/>
        </w:rPr>
        <w:t xml:space="preserve">Plan de Acción del </w:t>
      </w:r>
      <w:bookmarkEnd w:id="26"/>
      <w:r w:rsidR="00650A31">
        <w:rPr>
          <w:lang w:val="es-ES_tradnl"/>
        </w:rPr>
        <w:t>programa</w:t>
      </w:r>
      <w:r w:rsidR="00C5318B" w:rsidRPr="00976BFF">
        <w:rPr>
          <w:lang w:val="es-ES_tradnl"/>
        </w:rPr>
        <w:t xml:space="preserve"> </w:t>
      </w:r>
    </w:p>
    <w:p w:rsidR="00CE1475" w:rsidRPr="00976BFF" w:rsidRDefault="00586470" w:rsidP="00625FD2">
      <w:pPr>
        <w:pStyle w:val="MainPara"/>
        <w:rPr>
          <w:lang w:val="es-ES_tradnl"/>
        </w:rPr>
      </w:pPr>
      <w:r w:rsidRPr="00976BFF">
        <w:rPr>
          <w:lang w:val="es-ES_tradnl"/>
        </w:rPr>
        <w:t xml:space="preserve">Sobre la base de las evaluaciones técnica, fiduciaria y ambiental y social, el Gobierno de Uruguay ha concertado un </w:t>
      </w:r>
      <w:r w:rsidR="007A653A" w:rsidRPr="00976BFF">
        <w:rPr>
          <w:lang w:val="es-ES_tradnl"/>
        </w:rPr>
        <w:t xml:space="preserve">Plan de Acción del </w:t>
      </w:r>
      <w:r w:rsidR="00650A31">
        <w:rPr>
          <w:lang w:val="es-ES_tradnl"/>
        </w:rPr>
        <w:t>programa</w:t>
      </w:r>
      <w:r w:rsidRPr="00976BFF">
        <w:rPr>
          <w:lang w:val="es-ES_tradnl"/>
        </w:rPr>
        <w:t xml:space="preserve"> por un plazo determinado (anexo 8). Se ha asignado prioridad a la información aportada al </w:t>
      </w:r>
      <w:r w:rsidR="007A653A" w:rsidRPr="00976BFF">
        <w:rPr>
          <w:lang w:val="es-ES_tradnl"/>
        </w:rPr>
        <w:t xml:space="preserve">Plan de Acción del </w:t>
      </w:r>
      <w:r w:rsidR="00650A31">
        <w:rPr>
          <w:lang w:val="es-ES_tradnl"/>
        </w:rPr>
        <w:t>programa</w:t>
      </w:r>
      <w:r w:rsidRPr="00976BFF">
        <w:rPr>
          <w:lang w:val="es-ES_tradnl"/>
        </w:rPr>
        <w:t xml:space="preserve"> por estas tres evaluaciones a fin de poner el acento de manera selectiva en las medidas más cruciales, </w:t>
      </w:r>
      <w:r w:rsidR="00E6022F" w:rsidRPr="00976BFF">
        <w:rPr>
          <w:lang w:val="es-ES_tradnl"/>
        </w:rPr>
        <w:t xml:space="preserve">con miras a respaldar el </w:t>
      </w:r>
      <w:r w:rsidR="00650A31">
        <w:rPr>
          <w:lang w:val="es-ES_tradnl"/>
        </w:rPr>
        <w:t>programa</w:t>
      </w:r>
      <w:r w:rsidR="00E6022F" w:rsidRPr="00976BFF">
        <w:rPr>
          <w:lang w:val="es-ES_tradnl"/>
        </w:rPr>
        <w:t xml:space="preserve"> de la manera más adecuada para lograr sus resultados</w:t>
      </w:r>
      <w:r w:rsidR="00C518B8" w:rsidRPr="00976BFF">
        <w:rPr>
          <w:lang w:val="es-ES_tradnl"/>
        </w:rPr>
        <w:t xml:space="preserve">. </w:t>
      </w:r>
    </w:p>
    <w:p w:rsidR="00A764A2" w:rsidRPr="00976BFF" w:rsidRDefault="00E6022F" w:rsidP="00625FD2">
      <w:pPr>
        <w:pStyle w:val="MainPara"/>
        <w:rPr>
          <w:lang w:val="es-ES_tradnl"/>
        </w:rPr>
      </w:pPr>
      <w:r w:rsidRPr="00976BFF">
        <w:rPr>
          <w:lang w:val="es-ES_tradnl"/>
        </w:rPr>
        <w:t xml:space="preserve">El </w:t>
      </w:r>
      <w:r w:rsidR="007A653A" w:rsidRPr="00976BFF">
        <w:rPr>
          <w:lang w:val="es-ES_tradnl"/>
        </w:rPr>
        <w:t xml:space="preserve">Plan de Acción del </w:t>
      </w:r>
      <w:r w:rsidR="00650A31">
        <w:rPr>
          <w:lang w:val="es-ES_tradnl"/>
        </w:rPr>
        <w:t>programa</w:t>
      </w:r>
      <w:r w:rsidRPr="00976BFF">
        <w:rPr>
          <w:lang w:val="es-ES_tradnl"/>
        </w:rPr>
        <w:t xml:space="preserve"> incluye nueve medidas</w:t>
      </w:r>
      <w:r w:rsidR="00C518B8" w:rsidRPr="00976BFF">
        <w:rPr>
          <w:lang w:val="es-ES_tradnl"/>
        </w:rPr>
        <w:t xml:space="preserve">: </w:t>
      </w:r>
      <w:r w:rsidR="00CE1475" w:rsidRPr="00976BFF">
        <w:rPr>
          <w:lang w:val="es-ES_tradnl"/>
        </w:rPr>
        <w:t>1</w:t>
      </w:r>
      <w:r w:rsidR="00C518B8" w:rsidRPr="00976BFF">
        <w:rPr>
          <w:lang w:val="es-ES_tradnl"/>
        </w:rPr>
        <w:t xml:space="preserve">) </w:t>
      </w:r>
      <w:r w:rsidR="009625F2">
        <w:rPr>
          <w:lang w:val="es-ES_tradnl"/>
        </w:rPr>
        <w:t>c</w:t>
      </w:r>
      <w:r w:rsidRPr="00976BFF">
        <w:rPr>
          <w:lang w:val="es-ES_tradnl"/>
        </w:rPr>
        <w:t xml:space="preserve">lasificación de la red vial nacional de </w:t>
      </w:r>
      <w:r w:rsidR="00CE1475" w:rsidRPr="00976BFF">
        <w:rPr>
          <w:lang w:val="es-ES_tradnl"/>
        </w:rPr>
        <w:t>Uruguay</w:t>
      </w:r>
      <w:r w:rsidR="007511C1">
        <w:rPr>
          <w:lang w:val="es-ES_tradnl"/>
        </w:rPr>
        <w:t>;</w:t>
      </w:r>
      <w:r w:rsidR="007511C1" w:rsidRPr="00976BFF">
        <w:rPr>
          <w:lang w:val="es-ES_tradnl"/>
        </w:rPr>
        <w:t xml:space="preserve"> </w:t>
      </w:r>
      <w:r w:rsidR="00CE1475" w:rsidRPr="00976BFF">
        <w:rPr>
          <w:lang w:val="es-ES_tradnl"/>
        </w:rPr>
        <w:t xml:space="preserve">2) </w:t>
      </w:r>
      <w:r w:rsidR="002E1973" w:rsidRPr="00CF2DDE">
        <w:rPr>
          <w:lang w:val="es-ES_tradnl"/>
        </w:rPr>
        <w:t xml:space="preserve">fortalecimiento de la capacidad analítica para elaborar modelos de transporte; </w:t>
      </w:r>
      <w:r w:rsidR="00CE1475" w:rsidRPr="00CF2DDE">
        <w:rPr>
          <w:lang w:val="es-ES_tradnl"/>
        </w:rPr>
        <w:t xml:space="preserve">3) </w:t>
      </w:r>
      <w:r w:rsidR="002E1973" w:rsidRPr="00CF2DDE">
        <w:rPr>
          <w:lang w:val="es-ES_tradnl"/>
        </w:rPr>
        <w:t>mejoramiento del diseño de puntos críticos para la seguridad vial; 4) consolidación de procesos</w:t>
      </w:r>
      <w:r w:rsidR="002E1973" w:rsidRPr="00976BFF">
        <w:rPr>
          <w:lang w:val="es-ES_tradnl"/>
        </w:rPr>
        <w:t xml:space="preserve"> para la supervisión de </w:t>
      </w:r>
      <w:r w:rsidR="00835AB6" w:rsidRPr="00976BFF">
        <w:rPr>
          <w:lang w:val="es-ES_tradnl"/>
        </w:rPr>
        <w:t>l</w:t>
      </w:r>
      <w:r w:rsidR="002E1973" w:rsidRPr="00976BFF">
        <w:rPr>
          <w:lang w:val="es-ES_tradnl"/>
        </w:rPr>
        <w:t xml:space="preserve">as obras; 5) mejoramiento de la capacidad de la </w:t>
      </w:r>
      <w:r w:rsidR="00CE3A70" w:rsidRPr="00976BFF">
        <w:rPr>
          <w:lang w:val="es-ES_tradnl"/>
        </w:rPr>
        <w:t xml:space="preserve">Unidad de Auditoría Interna del </w:t>
      </w:r>
      <w:r w:rsidR="00CE1475" w:rsidRPr="00976BFF">
        <w:rPr>
          <w:lang w:val="es-ES_tradnl"/>
        </w:rPr>
        <w:t xml:space="preserve">MTOP; 6) </w:t>
      </w:r>
      <w:r w:rsidR="00CE3A70" w:rsidRPr="00976BFF">
        <w:rPr>
          <w:lang w:val="es-ES_tradnl"/>
        </w:rPr>
        <w:t>reducción de la duración de los procesos de licitación</w:t>
      </w:r>
      <w:r w:rsidR="00CE1475" w:rsidRPr="00976BFF">
        <w:rPr>
          <w:lang w:val="es-ES_tradnl"/>
        </w:rPr>
        <w:t xml:space="preserve">; 7) </w:t>
      </w:r>
      <w:r w:rsidR="00CE3A70" w:rsidRPr="00976BFF">
        <w:rPr>
          <w:lang w:val="es-ES_tradnl"/>
        </w:rPr>
        <w:t>elaboración de auditorías ambientales de las obras</w:t>
      </w:r>
      <w:r w:rsidR="00CE1475" w:rsidRPr="00976BFF">
        <w:rPr>
          <w:lang w:val="es-ES_tradnl"/>
        </w:rPr>
        <w:t xml:space="preserve">; 8) </w:t>
      </w:r>
      <w:r w:rsidR="00CE3A70" w:rsidRPr="00976BFF">
        <w:rPr>
          <w:lang w:val="es-ES_tradnl"/>
        </w:rPr>
        <w:t>mejoramiento de los mecanismos de reclamación y quejas, y</w:t>
      </w:r>
      <w:r w:rsidR="00CE1475" w:rsidRPr="00976BFF">
        <w:rPr>
          <w:lang w:val="es-ES_tradnl"/>
        </w:rPr>
        <w:t xml:space="preserve"> 9) </w:t>
      </w:r>
      <w:r w:rsidR="00CE3A70" w:rsidRPr="00976BFF">
        <w:rPr>
          <w:lang w:val="es-ES_tradnl"/>
        </w:rPr>
        <w:t xml:space="preserve">fortalecimiento de la comunicación con la sociedad civil. En la etapa de evaluación inicial, el Gobierno de Uruguay confirmó su compromiso de implementar las medidas incluidas en el </w:t>
      </w:r>
      <w:r w:rsidR="007A653A" w:rsidRPr="00976BFF">
        <w:rPr>
          <w:lang w:val="es-ES_tradnl"/>
        </w:rPr>
        <w:t xml:space="preserve">Plan de Acción del </w:t>
      </w:r>
      <w:r w:rsidR="00650A31">
        <w:rPr>
          <w:lang w:val="es-ES_tradnl"/>
        </w:rPr>
        <w:t>programa</w:t>
      </w:r>
      <w:r w:rsidR="00CE3A70" w:rsidRPr="00976BFF">
        <w:rPr>
          <w:lang w:val="es-ES_tradnl"/>
        </w:rPr>
        <w:t xml:space="preserve">. Como parte del apoyo a la ejecución del </w:t>
      </w:r>
      <w:r w:rsidR="00650A31">
        <w:rPr>
          <w:lang w:val="es-ES_tradnl"/>
        </w:rPr>
        <w:t>programa</w:t>
      </w:r>
      <w:r w:rsidR="00CE3A70" w:rsidRPr="00976BFF">
        <w:rPr>
          <w:lang w:val="es-ES_tradnl"/>
        </w:rPr>
        <w:t xml:space="preserve">, el Banco Mundial verificará que el </w:t>
      </w:r>
      <w:r w:rsidR="007A653A" w:rsidRPr="00976BFF">
        <w:rPr>
          <w:lang w:val="es-ES_tradnl"/>
        </w:rPr>
        <w:t xml:space="preserve">Plan de Acción del </w:t>
      </w:r>
      <w:r w:rsidR="00650A31">
        <w:rPr>
          <w:lang w:val="es-ES_tradnl"/>
        </w:rPr>
        <w:t>programa</w:t>
      </w:r>
      <w:r w:rsidR="00CE3A70" w:rsidRPr="00976BFF">
        <w:rPr>
          <w:lang w:val="es-ES_tradnl"/>
        </w:rPr>
        <w:t xml:space="preserve"> se implemente en tiempo y forma</w:t>
      </w:r>
      <w:r w:rsidR="00B269BC" w:rsidRPr="00976BFF">
        <w:rPr>
          <w:lang w:val="es-ES_tradnl"/>
        </w:rPr>
        <w:t>.</w:t>
      </w:r>
      <w:r w:rsidR="00CA21ED" w:rsidRPr="00976BFF">
        <w:rPr>
          <w:lang w:val="es-ES_tradnl"/>
        </w:rPr>
        <w:t xml:space="preserve"> </w:t>
      </w:r>
    </w:p>
    <w:p w:rsidR="00B87AA4" w:rsidRPr="00976BFF" w:rsidRDefault="00CE3A70" w:rsidP="00625FD2">
      <w:pPr>
        <w:pStyle w:val="MainPara"/>
        <w:rPr>
          <w:lang w:val="es-ES_tradnl"/>
        </w:rPr>
      </w:pPr>
      <w:r w:rsidRPr="00976BFF">
        <w:rPr>
          <w:lang w:val="es-ES_tradnl"/>
        </w:rPr>
        <w:t>Como complemento de este plan, el MTOP realizará actividades de fortalecimiento institucional en el marco del préstamo del BID. Por ejemplo, el BID llevará a cabo un examen estratégico de los procesos y sistemas de la DNV, con el objeto de mejorar su d</w:t>
      </w:r>
      <w:r w:rsidR="00DF6510" w:rsidRPr="00976BFF">
        <w:rPr>
          <w:lang w:val="es-ES_tradnl"/>
        </w:rPr>
        <w:t>e</w:t>
      </w:r>
      <w:r w:rsidRPr="00976BFF">
        <w:rPr>
          <w:lang w:val="es-ES_tradnl"/>
        </w:rPr>
        <w:t>sempeño; las evaluaciones técnica, fiduciaria y ambiental y social del Banco Mundial contribuirán a es</w:t>
      </w:r>
      <w:r w:rsidR="00DF6510" w:rsidRPr="00976BFF">
        <w:rPr>
          <w:lang w:val="es-ES_tradnl"/>
        </w:rPr>
        <w:t>t</w:t>
      </w:r>
      <w:r w:rsidRPr="00976BFF">
        <w:rPr>
          <w:lang w:val="es-ES_tradnl"/>
        </w:rPr>
        <w:t xml:space="preserve">e análisis. Asimismo, la DNV, con apoyo del BID, dedicará especial atención a modernizar e integrar más adecuadamente sus sistemas de tecnología de la información, como complemento de las actividades de fortalecimiento institucional </w:t>
      </w:r>
      <w:r w:rsidR="00DF6510" w:rsidRPr="00976BFF">
        <w:rPr>
          <w:lang w:val="es-ES_tradnl"/>
        </w:rPr>
        <w:t xml:space="preserve">incluidas en </w:t>
      </w:r>
      <w:r w:rsidRPr="00976BFF">
        <w:rPr>
          <w:lang w:val="es-ES_tradnl"/>
        </w:rPr>
        <w:t xml:space="preserve">el </w:t>
      </w:r>
      <w:r w:rsidR="00CF2DDE">
        <w:rPr>
          <w:lang w:val="es-ES_tradnl"/>
        </w:rPr>
        <w:t>P</w:t>
      </w:r>
      <w:r w:rsidRPr="00976BFF">
        <w:rPr>
          <w:lang w:val="es-ES_tradnl"/>
        </w:rPr>
        <w:t xml:space="preserve">lan de </w:t>
      </w:r>
      <w:r w:rsidR="00CF2DDE">
        <w:rPr>
          <w:lang w:val="es-ES_tradnl"/>
        </w:rPr>
        <w:t>A</w:t>
      </w:r>
      <w:r w:rsidRPr="00976BFF">
        <w:rPr>
          <w:lang w:val="es-ES_tradnl"/>
        </w:rPr>
        <w:t>cción</w:t>
      </w:r>
      <w:r w:rsidR="00CF2DDE">
        <w:rPr>
          <w:lang w:val="es-ES_tradnl"/>
        </w:rPr>
        <w:t xml:space="preserve"> del </w:t>
      </w:r>
      <w:r w:rsidR="00650A31">
        <w:rPr>
          <w:lang w:val="es-ES_tradnl"/>
        </w:rPr>
        <w:t>programa</w:t>
      </w:r>
      <w:r w:rsidRPr="00976BFF">
        <w:rPr>
          <w:lang w:val="es-ES_tradnl"/>
        </w:rPr>
        <w:t xml:space="preserve"> que se centran en los procesos de planificación</w:t>
      </w:r>
      <w:r w:rsidR="00DF6510" w:rsidRPr="00976BFF">
        <w:rPr>
          <w:lang w:val="es-ES_tradnl"/>
        </w:rPr>
        <w:t>,</w:t>
      </w:r>
      <w:r w:rsidRPr="00976BFF">
        <w:rPr>
          <w:lang w:val="es-ES_tradnl"/>
        </w:rPr>
        <w:t xml:space="preserve"> seguimiento y evaluación de la DNV. Por último, específicamente con respecto al </w:t>
      </w:r>
      <w:r w:rsidR="00CF2DDE">
        <w:rPr>
          <w:lang w:val="es-ES_tradnl"/>
        </w:rPr>
        <w:t>p</w:t>
      </w:r>
      <w:r w:rsidR="009B073D" w:rsidRPr="00976BFF">
        <w:rPr>
          <w:lang w:val="es-ES_tradnl"/>
        </w:rPr>
        <w:t>rograma</w:t>
      </w:r>
      <w:r w:rsidRPr="00976BFF">
        <w:rPr>
          <w:lang w:val="es-ES_tradnl"/>
        </w:rPr>
        <w:t xml:space="preserve"> de seguridad vial, el BID financiará auditorías de seguridad vial, al tiempo que el </w:t>
      </w:r>
      <w:r w:rsidR="007A653A" w:rsidRPr="00976BFF">
        <w:rPr>
          <w:lang w:val="es-ES_tradnl"/>
        </w:rPr>
        <w:t xml:space="preserve">Plan de Acción del </w:t>
      </w:r>
      <w:r w:rsidR="00650A31">
        <w:rPr>
          <w:lang w:val="es-ES_tradnl"/>
        </w:rPr>
        <w:t>programa</w:t>
      </w:r>
      <w:r w:rsidRPr="00976BFF">
        <w:rPr>
          <w:lang w:val="es-ES_tradnl"/>
        </w:rPr>
        <w:t xml:space="preserve"> incluye la preparación de un catálogo de soluciones estándar para mejorar y normalizar el diseño de la</w:t>
      </w:r>
      <w:r w:rsidR="00177EC4" w:rsidRPr="00976BFF">
        <w:rPr>
          <w:lang w:val="es-ES_tradnl"/>
        </w:rPr>
        <w:t>s intersecciones de carreteras</w:t>
      </w:r>
      <w:r w:rsidR="001C6E44" w:rsidRPr="00976BFF">
        <w:rPr>
          <w:lang w:val="es-ES_tradnl"/>
        </w:rPr>
        <w:t>.</w:t>
      </w:r>
      <w:r w:rsidR="00465F1C" w:rsidRPr="00976BFF">
        <w:rPr>
          <w:lang w:val="es-ES_tradnl"/>
        </w:rPr>
        <w:t xml:space="preserve"> </w:t>
      </w:r>
    </w:p>
    <w:p w:rsidR="00B87AA4" w:rsidRPr="00976BFF" w:rsidRDefault="00B87AA4">
      <w:pPr>
        <w:pStyle w:val="NoSpacing"/>
        <w:ind w:left="360"/>
        <w:jc w:val="both"/>
        <w:rPr>
          <w:rFonts w:ascii="Times New Roman" w:hAnsi="Times New Roman" w:cs="Times New Roman"/>
          <w:lang w:val="es-ES_tradnl"/>
        </w:rPr>
      </w:pPr>
    </w:p>
    <w:p w:rsidR="001C6E44" w:rsidRPr="00976BFF" w:rsidRDefault="001C6E44" w:rsidP="00B66636">
      <w:pPr>
        <w:pStyle w:val="NoSpacing"/>
        <w:ind w:left="360"/>
        <w:rPr>
          <w:rFonts w:ascii="Times New Roman" w:hAnsi="Times New Roman" w:cs="Times New Roman"/>
          <w:lang w:val="es-ES_tradnl"/>
        </w:rPr>
      </w:pPr>
    </w:p>
    <w:p w:rsidR="003765E3" w:rsidRPr="00976BFF" w:rsidRDefault="003765E3" w:rsidP="00B66636">
      <w:pPr>
        <w:pStyle w:val="NoSpacing"/>
        <w:ind w:left="360"/>
        <w:rPr>
          <w:rFonts w:ascii="Times New Roman" w:hAnsi="Times New Roman" w:cs="Times New Roman"/>
          <w:lang w:val="es-ES_tradnl"/>
        </w:rPr>
        <w:sectPr w:rsidR="003765E3" w:rsidRPr="00976BFF">
          <w:footerReference w:type="default" r:id="rId11"/>
          <w:footerReference w:type="first" r:id="rId12"/>
          <w:pgSz w:w="12240" w:h="15840"/>
          <w:pgMar w:top="1440" w:right="1440" w:bottom="1440" w:left="1440" w:header="720" w:footer="720" w:gutter="0"/>
          <w:pgNumType w:start="1"/>
          <w:cols w:space="720"/>
          <w:docGrid w:linePitch="360"/>
        </w:sectPr>
      </w:pPr>
    </w:p>
    <w:p w:rsidR="00CF260B" w:rsidRPr="00976BFF" w:rsidRDefault="001D2940" w:rsidP="00746A45">
      <w:pPr>
        <w:pStyle w:val="Heading1"/>
        <w:numPr>
          <w:ilvl w:val="0"/>
          <w:numId w:val="0"/>
        </w:numPr>
        <w:rPr>
          <w:lang w:val="es-ES_tradnl"/>
        </w:rPr>
      </w:pPr>
      <w:bookmarkStart w:id="27" w:name="_Toc344927167"/>
      <w:r w:rsidRPr="00976BFF">
        <w:rPr>
          <w:lang w:val="es-ES_tradnl"/>
        </w:rPr>
        <w:t>Anex</w:t>
      </w:r>
      <w:r w:rsidR="003454CE" w:rsidRPr="00976BFF">
        <w:rPr>
          <w:lang w:val="es-ES_tradnl"/>
        </w:rPr>
        <w:t>o</w:t>
      </w:r>
      <w:r w:rsidRPr="00976BFF">
        <w:rPr>
          <w:lang w:val="es-ES_tradnl"/>
        </w:rPr>
        <w:t xml:space="preserve"> </w:t>
      </w:r>
      <w:r w:rsidR="001635BC" w:rsidRPr="00976BFF">
        <w:rPr>
          <w:lang w:val="es-ES_tradnl"/>
        </w:rPr>
        <w:t>1</w:t>
      </w:r>
      <w:r w:rsidR="003454CE" w:rsidRPr="00976BFF">
        <w:rPr>
          <w:lang w:val="es-ES_tradnl"/>
        </w:rPr>
        <w:t>.</w:t>
      </w:r>
      <w:r w:rsidRPr="00976BFF">
        <w:rPr>
          <w:lang w:val="es-ES_tradnl"/>
        </w:rPr>
        <w:t xml:space="preserve"> De</w:t>
      </w:r>
      <w:r w:rsidR="003454CE" w:rsidRPr="00976BFF">
        <w:rPr>
          <w:lang w:val="es-ES_tradnl"/>
        </w:rPr>
        <w:t xml:space="preserve">scripción </w:t>
      </w:r>
      <w:r w:rsidR="00650A31">
        <w:rPr>
          <w:lang w:val="es-ES_tradnl"/>
        </w:rPr>
        <w:t>d</w:t>
      </w:r>
      <w:r w:rsidR="00650A31" w:rsidRPr="00976BFF">
        <w:rPr>
          <w:lang w:val="es-ES_tradnl"/>
        </w:rPr>
        <w:t xml:space="preserve">etallada </w:t>
      </w:r>
      <w:r w:rsidR="003454CE" w:rsidRPr="00976BFF">
        <w:rPr>
          <w:lang w:val="es-ES_tradnl"/>
        </w:rPr>
        <w:t xml:space="preserve">del </w:t>
      </w:r>
      <w:bookmarkEnd w:id="27"/>
      <w:r w:rsidR="00650A31">
        <w:rPr>
          <w:lang w:val="es-ES_tradnl"/>
        </w:rPr>
        <w:t>p</w:t>
      </w:r>
      <w:r w:rsidR="00650A31" w:rsidRPr="00976BFF">
        <w:rPr>
          <w:lang w:val="es-ES_tradnl"/>
        </w:rPr>
        <w:t>rograma</w:t>
      </w:r>
    </w:p>
    <w:p w:rsidR="001E26DC" w:rsidRPr="00976BFF" w:rsidRDefault="001E26DC" w:rsidP="00746A45">
      <w:pPr>
        <w:pStyle w:val="NoSpacing"/>
        <w:rPr>
          <w:rFonts w:ascii="Times New Roman" w:hAnsi="Times New Roman" w:cs="Times New Roman"/>
          <w:lang w:val="es-ES_tradnl"/>
        </w:rPr>
      </w:pPr>
    </w:p>
    <w:p w:rsidR="0007594F" w:rsidRPr="00976BFF" w:rsidRDefault="009A5ED0" w:rsidP="00BD2472">
      <w:pPr>
        <w:pStyle w:val="Annexmain"/>
        <w:ind w:firstLine="0"/>
        <w:rPr>
          <w:lang w:val="es-ES_tradnl"/>
        </w:rPr>
      </w:pPr>
      <w:r w:rsidRPr="00976BFF">
        <w:rPr>
          <w:lang w:val="es-ES_tradnl"/>
        </w:rPr>
        <w:t xml:space="preserve">Este anexo contiene una descripción detallada del </w:t>
      </w:r>
      <w:r w:rsidR="00650A31">
        <w:rPr>
          <w:lang w:val="es-ES_tradnl"/>
        </w:rPr>
        <w:t>programa</w:t>
      </w:r>
      <w:r w:rsidRPr="00976BFF">
        <w:rPr>
          <w:lang w:val="es-ES_tradnl"/>
        </w:rPr>
        <w:t xml:space="preserve"> que respaldará el Banco e incluye: </w:t>
      </w:r>
      <w:r w:rsidR="007511C1">
        <w:rPr>
          <w:lang w:val="es-ES_tradnl"/>
        </w:rPr>
        <w:t>a</w:t>
      </w:r>
      <w:r w:rsidRPr="00976BFF">
        <w:rPr>
          <w:lang w:val="es-ES_tradnl"/>
        </w:rPr>
        <w:t xml:space="preserve">) el objetivo de desarrollo del </w:t>
      </w:r>
      <w:r w:rsidR="00650A31">
        <w:rPr>
          <w:lang w:val="es-ES_tradnl"/>
        </w:rPr>
        <w:t>programa</w:t>
      </w:r>
      <w:r w:rsidRPr="00976BFF">
        <w:rPr>
          <w:lang w:val="es-ES_tradnl"/>
        </w:rPr>
        <w:t xml:space="preserve">; </w:t>
      </w:r>
      <w:r w:rsidR="007511C1">
        <w:rPr>
          <w:lang w:val="es-ES_tradnl"/>
        </w:rPr>
        <w:t>b</w:t>
      </w:r>
      <w:r w:rsidRPr="00976BFF">
        <w:rPr>
          <w:lang w:val="es-ES_tradnl"/>
        </w:rPr>
        <w:t xml:space="preserve">) el alcance del </w:t>
      </w:r>
      <w:r w:rsidR="00650A31">
        <w:rPr>
          <w:lang w:val="es-ES_tradnl"/>
        </w:rPr>
        <w:t>programa</w:t>
      </w:r>
      <w:r w:rsidRPr="00976BFF">
        <w:rPr>
          <w:lang w:val="es-ES_tradnl"/>
        </w:rPr>
        <w:t xml:space="preserve"> y el espectro de sus actividades, y </w:t>
      </w:r>
      <w:r w:rsidR="007511C1">
        <w:rPr>
          <w:lang w:val="es-ES_tradnl"/>
        </w:rPr>
        <w:t>c</w:t>
      </w:r>
      <w:r w:rsidRPr="00976BFF">
        <w:rPr>
          <w:lang w:val="es-ES_tradnl"/>
        </w:rPr>
        <w:t xml:space="preserve">) las principales características de los mecanismos de ejecución del </w:t>
      </w:r>
      <w:r w:rsidR="00650A31">
        <w:rPr>
          <w:lang w:val="es-ES_tradnl"/>
        </w:rPr>
        <w:t>programa</w:t>
      </w:r>
      <w:r w:rsidR="00C41F5D" w:rsidRPr="00976BFF">
        <w:rPr>
          <w:lang w:val="es-ES_tradnl"/>
        </w:rPr>
        <w:t>.</w:t>
      </w:r>
    </w:p>
    <w:p w:rsidR="00A764A2" w:rsidRPr="00976BFF" w:rsidRDefault="00A764A2" w:rsidP="00BD2472">
      <w:pPr>
        <w:rPr>
          <w:lang w:val="es-ES_tradnl"/>
        </w:rPr>
      </w:pPr>
    </w:p>
    <w:p w:rsidR="003D6DF4" w:rsidRPr="00976BFF" w:rsidRDefault="00196DE6" w:rsidP="00BD2472">
      <w:pPr>
        <w:rPr>
          <w:rFonts w:ascii="Times New Roman" w:hAnsi="Times New Roman" w:cs="Times New Roman"/>
          <w:b/>
          <w:lang w:val="es-ES_tradnl"/>
        </w:rPr>
      </w:pPr>
      <w:r w:rsidRPr="00976BFF">
        <w:rPr>
          <w:rFonts w:ascii="Times New Roman" w:hAnsi="Times New Roman" w:cs="Times New Roman"/>
          <w:b/>
          <w:lang w:val="es-ES_tradnl"/>
        </w:rPr>
        <w:t xml:space="preserve">A. </w:t>
      </w:r>
      <w:r w:rsidR="009A5ED0" w:rsidRPr="00976BFF">
        <w:rPr>
          <w:rFonts w:ascii="Times New Roman" w:hAnsi="Times New Roman" w:cs="Times New Roman"/>
          <w:b/>
          <w:lang w:val="es-ES_tradnl"/>
        </w:rPr>
        <w:t>OBJETIVO DE DESARROLLO DEL PROGRAMA</w:t>
      </w:r>
    </w:p>
    <w:p w:rsidR="0007594F" w:rsidRPr="00976BFF" w:rsidRDefault="00D74E4A" w:rsidP="00501B45">
      <w:pPr>
        <w:pStyle w:val="Annexmain"/>
        <w:ind w:left="357" w:firstLine="0"/>
        <w:rPr>
          <w:lang w:val="es-ES_tradnl"/>
        </w:rPr>
      </w:pPr>
      <w:r w:rsidRPr="00976BFF">
        <w:rPr>
          <w:lang w:val="es-ES_tradnl"/>
        </w:rPr>
        <w:t xml:space="preserve">El objetivo de desarrollo del </w:t>
      </w:r>
      <w:r w:rsidR="00650A31">
        <w:rPr>
          <w:lang w:val="es-ES_tradnl"/>
        </w:rPr>
        <w:t>programa</w:t>
      </w:r>
      <w:r w:rsidRPr="00976BFF">
        <w:rPr>
          <w:lang w:val="es-ES_tradnl"/>
        </w:rPr>
        <w:t xml:space="preserve"> consiste en mantener en buenas o muy buenas condiciones el 35%, como mínimo, de la red vial nacional y mejorar la gestión del sector vial</w:t>
      </w:r>
      <w:r w:rsidR="003765E3" w:rsidRPr="00976BFF">
        <w:rPr>
          <w:lang w:val="es-ES_tradnl"/>
        </w:rPr>
        <w:t>.</w:t>
      </w:r>
    </w:p>
    <w:p w:rsidR="0007594F" w:rsidRPr="00976BFF" w:rsidRDefault="00D74E4A" w:rsidP="00501B45">
      <w:pPr>
        <w:pStyle w:val="Annexmain"/>
        <w:ind w:left="357" w:firstLine="0"/>
        <w:rPr>
          <w:lang w:val="es-ES_tradnl"/>
        </w:rPr>
      </w:pPr>
      <w:r w:rsidRPr="00976BFF">
        <w:rPr>
          <w:lang w:val="es-ES_tradnl"/>
        </w:rPr>
        <w:t xml:space="preserve">El nivel de financiamiento del </w:t>
      </w:r>
      <w:r w:rsidR="00650A31">
        <w:rPr>
          <w:lang w:val="es-ES_tradnl"/>
        </w:rPr>
        <w:t>programa</w:t>
      </w:r>
      <w:r w:rsidRPr="00976BFF">
        <w:rPr>
          <w:lang w:val="es-ES_tradnl"/>
        </w:rPr>
        <w:t xml:space="preserve"> no es suficiente para mejorar, en términos absolutos, el estado de la</w:t>
      </w:r>
      <w:r w:rsidR="002368A1">
        <w:rPr>
          <w:lang w:val="es-ES_tradnl"/>
        </w:rPr>
        <w:t>s</w:t>
      </w:r>
      <w:r w:rsidRPr="00976BFF">
        <w:rPr>
          <w:lang w:val="es-ES_tradnl"/>
        </w:rPr>
        <w:t xml:space="preserve"> </w:t>
      </w:r>
      <w:r w:rsidR="002368A1">
        <w:rPr>
          <w:lang w:val="es-ES_tradnl"/>
        </w:rPr>
        <w:t>carreteras de</w:t>
      </w:r>
      <w:r w:rsidRPr="00976BFF">
        <w:rPr>
          <w:lang w:val="es-ES_tradnl"/>
        </w:rPr>
        <w:t xml:space="preserve"> la red vial nacional en su conjunto. En este contexto se prevé que el </w:t>
      </w:r>
      <w:r w:rsidR="00650A31">
        <w:rPr>
          <w:lang w:val="es-ES_tradnl"/>
        </w:rPr>
        <w:t>programa</w:t>
      </w:r>
      <w:r w:rsidRPr="00976BFF">
        <w:rPr>
          <w:lang w:val="es-ES_tradnl"/>
        </w:rPr>
        <w:t xml:space="preserve"> permitirá garantizar que la calidad de la red vial nacional se mantenga por encima de un determinado umbral, como se refleja en los resultados clave</w:t>
      </w:r>
      <w:r w:rsidR="00501B45">
        <w:rPr>
          <w:lang w:val="es-ES_tradnl"/>
        </w:rPr>
        <w:t xml:space="preserve"> establecidos</w:t>
      </w:r>
      <w:r w:rsidRPr="00976BFF">
        <w:rPr>
          <w:lang w:val="es-ES_tradnl"/>
        </w:rPr>
        <w:t xml:space="preserve">. Se considera que esos resultados son los resultados óptimos que se podrían lograr a nivel de la red, no solo en comparación con la anterior tendencia a la baja que se describe en la sección I del cuerpo principal del documento de evaluación inicial del </w:t>
      </w:r>
      <w:r w:rsidR="00650A31">
        <w:rPr>
          <w:lang w:val="es-ES_tradnl"/>
        </w:rPr>
        <w:t>programa</w:t>
      </w:r>
      <w:r w:rsidRPr="00976BFF">
        <w:rPr>
          <w:lang w:val="es-ES_tradnl"/>
        </w:rPr>
        <w:t xml:space="preserve"> sino también con la situación contra</w:t>
      </w:r>
      <w:r w:rsidR="00766354">
        <w:rPr>
          <w:lang w:val="es-ES_tradnl"/>
        </w:rPr>
        <w:t>fáctica</w:t>
      </w:r>
      <w:r w:rsidRPr="00976BFF">
        <w:rPr>
          <w:lang w:val="es-ES_tradnl"/>
        </w:rPr>
        <w:t xml:space="preserve"> que prevalecería si no existiese el </w:t>
      </w:r>
      <w:r w:rsidR="00650A31">
        <w:rPr>
          <w:lang w:val="es-ES_tradnl"/>
        </w:rPr>
        <w:t>programa</w:t>
      </w:r>
      <w:r w:rsidRPr="00976BFF">
        <w:rPr>
          <w:lang w:val="es-ES_tradnl"/>
        </w:rPr>
        <w:t xml:space="preserve"> o el apoyo del Banco al </w:t>
      </w:r>
      <w:r w:rsidR="00650A31">
        <w:rPr>
          <w:lang w:val="es-ES_tradnl"/>
        </w:rPr>
        <w:t>programa</w:t>
      </w:r>
      <w:r w:rsidRPr="00976BFF">
        <w:rPr>
          <w:lang w:val="es-ES_tradnl"/>
        </w:rPr>
        <w:t xml:space="preserve">. Sin apoyo del Banco Mundial, se reduciría el financiamiento del </w:t>
      </w:r>
      <w:r w:rsidR="00650A31">
        <w:rPr>
          <w:lang w:val="es-ES_tradnl"/>
        </w:rPr>
        <w:t>programa</w:t>
      </w:r>
      <w:r w:rsidRPr="00976BFF">
        <w:rPr>
          <w:lang w:val="es-ES_tradnl"/>
        </w:rPr>
        <w:t xml:space="preserve"> (en alrededor del 9%) y el aumento de la eficiencia en materia de mantenimiento y rehabilitación sería inferior al que se prevé lograr a través de la ejecución del </w:t>
      </w:r>
      <w:r w:rsidR="007A653A" w:rsidRPr="00976BFF">
        <w:rPr>
          <w:lang w:val="es-ES_tradnl"/>
        </w:rPr>
        <w:t xml:space="preserve">Plan de Acción del </w:t>
      </w:r>
      <w:r w:rsidR="00650A31">
        <w:rPr>
          <w:lang w:val="es-ES_tradnl"/>
        </w:rPr>
        <w:t>programa</w:t>
      </w:r>
      <w:r w:rsidRPr="00976BFF">
        <w:rPr>
          <w:lang w:val="es-ES_tradnl"/>
        </w:rPr>
        <w:t xml:space="preserve">. Como se describe en detalle en el anexo 4, las simulaciones indican que la ejecución del </w:t>
      </w:r>
      <w:r w:rsidR="00650A31">
        <w:rPr>
          <w:lang w:val="es-ES_tradnl"/>
        </w:rPr>
        <w:t>programa</w:t>
      </w:r>
      <w:r w:rsidRPr="00976BFF">
        <w:rPr>
          <w:lang w:val="es-ES_tradnl"/>
        </w:rPr>
        <w:t xml:space="preserve"> con apoyo del Banco permitiría evitar un deterioro adicional del orden del 6% o 7% para 2015 así como estabilizar el estado de la red</w:t>
      </w:r>
      <w:r w:rsidR="00014AAF" w:rsidRPr="00976BFF">
        <w:rPr>
          <w:lang w:val="es-ES_tradnl"/>
        </w:rPr>
        <w:t>, con alrededor del 35% de la red en buenas y muy buenas condiciones</w:t>
      </w:r>
      <w:r w:rsidR="00E86219" w:rsidRPr="00976BFF">
        <w:rPr>
          <w:lang w:val="es-ES_tradnl"/>
        </w:rPr>
        <w:t>.</w:t>
      </w:r>
    </w:p>
    <w:p w:rsidR="00A764A2" w:rsidRPr="00976BFF" w:rsidRDefault="00A764A2" w:rsidP="00BD2472">
      <w:pPr>
        <w:rPr>
          <w:lang w:val="es-ES_tradnl"/>
        </w:rPr>
      </w:pPr>
    </w:p>
    <w:p w:rsidR="003D6DF4" w:rsidRPr="00976BFF" w:rsidRDefault="00196DE6" w:rsidP="00BD2472">
      <w:pPr>
        <w:rPr>
          <w:rFonts w:ascii="Times New Roman" w:hAnsi="Times New Roman" w:cs="Times New Roman"/>
          <w:b/>
          <w:lang w:val="es-ES_tradnl"/>
        </w:rPr>
      </w:pPr>
      <w:r w:rsidRPr="00976BFF">
        <w:rPr>
          <w:rFonts w:ascii="Times New Roman" w:hAnsi="Times New Roman" w:cs="Times New Roman"/>
          <w:b/>
          <w:lang w:val="es-ES_tradnl"/>
        </w:rPr>
        <w:t xml:space="preserve">B. </w:t>
      </w:r>
      <w:r w:rsidR="00014AAF" w:rsidRPr="00976BFF">
        <w:rPr>
          <w:rFonts w:ascii="Times New Roman" w:hAnsi="Times New Roman" w:cs="Times New Roman"/>
          <w:b/>
          <w:lang w:val="es-ES_tradnl"/>
        </w:rPr>
        <w:t>DESCRIPCIÓN DEL PROGRAMA</w:t>
      </w:r>
    </w:p>
    <w:p w:rsidR="00A764A2" w:rsidRPr="00976BFF" w:rsidRDefault="00014AAF" w:rsidP="00BD2472">
      <w:pPr>
        <w:pStyle w:val="Heading3"/>
        <w:rPr>
          <w:lang w:val="es-ES_tradnl"/>
        </w:rPr>
      </w:pPr>
      <w:bookmarkStart w:id="28" w:name="_Toc327539989"/>
      <w:bookmarkStart w:id="29" w:name="_Toc344927168"/>
      <w:r w:rsidRPr="00976BFF">
        <w:rPr>
          <w:lang w:val="es-ES_tradnl"/>
        </w:rPr>
        <w:t xml:space="preserve">Estructura de la Ley de Presupuesto de </w:t>
      </w:r>
      <w:r w:rsidR="003D6DF4" w:rsidRPr="00976BFF">
        <w:rPr>
          <w:lang w:val="es-ES_tradnl"/>
        </w:rPr>
        <w:t>Uruguay</w:t>
      </w:r>
      <w:bookmarkEnd w:id="28"/>
      <w:bookmarkEnd w:id="29"/>
    </w:p>
    <w:p w:rsidR="0007594F" w:rsidRPr="00976BFF" w:rsidRDefault="00AC785B" w:rsidP="00BD2472">
      <w:pPr>
        <w:pStyle w:val="Annexmain"/>
        <w:ind w:firstLine="0"/>
        <w:rPr>
          <w:lang w:val="es-ES_tradnl"/>
        </w:rPr>
      </w:pPr>
      <w:r w:rsidRPr="00976BFF">
        <w:rPr>
          <w:lang w:val="es-ES_tradnl"/>
        </w:rPr>
        <w:t xml:space="preserve">La Ley de Presupuesto </w:t>
      </w:r>
      <w:r w:rsidR="003D6DF4" w:rsidRPr="00976BFF">
        <w:rPr>
          <w:lang w:val="es-ES_tradnl"/>
        </w:rPr>
        <w:t xml:space="preserve">2010-14 </w:t>
      </w:r>
      <w:r w:rsidR="00795918" w:rsidRPr="00976BFF">
        <w:rPr>
          <w:lang w:val="es-ES_tradnl"/>
        </w:rPr>
        <w:t>(“</w:t>
      </w:r>
      <w:r w:rsidRPr="00976BFF">
        <w:rPr>
          <w:lang w:val="es-ES_tradnl"/>
        </w:rPr>
        <w:t>Ley de Presupuesto</w:t>
      </w:r>
      <w:r w:rsidR="00795918" w:rsidRPr="00976BFF">
        <w:rPr>
          <w:lang w:val="es-ES_tradnl"/>
        </w:rPr>
        <w:t xml:space="preserve">”) </w:t>
      </w:r>
      <w:r w:rsidRPr="00976BFF">
        <w:rPr>
          <w:lang w:val="es-ES_tradnl"/>
        </w:rPr>
        <w:t>es una normativa programática y basada en los resultados que está estructurada en torno a 17 áreas programáticas. Dos de ellas son de especial interés para el préstamo propuesto</w:t>
      </w:r>
      <w:r w:rsidR="003D6DF4" w:rsidRPr="00976BFF">
        <w:rPr>
          <w:lang w:val="es-ES_tradnl"/>
        </w:rPr>
        <w:t xml:space="preserve">: i) </w:t>
      </w:r>
      <w:r w:rsidRPr="00976BFF">
        <w:rPr>
          <w:lang w:val="es-ES_tradnl"/>
        </w:rPr>
        <w:t xml:space="preserve">el área programática </w:t>
      </w:r>
      <w:r w:rsidR="003D6DF4" w:rsidRPr="00976BFF">
        <w:rPr>
          <w:lang w:val="es-ES_tradnl"/>
        </w:rPr>
        <w:t>9</w:t>
      </w:r>
      <w:r w:rsidRPr="00976BFF">
        <w:rPr>
          <w:lang w:val="es-ES_tradnl"/>
        </w:rPr>
        <w:t xml:space="preserve"> (</w:t>
      </w:r>
      <w:r w:rsidR="00A755BB">
        <w:rPr>
          <w:lang w:val="es-ES_tradnl"/>
        </w:rPr>
        <w:t>i</w:t>
      </w:r>
      <w:r w:rsidR="00A755BB" w:rsidRPr="00976BFF">
        <w:rPr>
          <w:lang w:val="es-ES_tradnl"/>
        </w:rPr>
        <w:t>nfraestructura</w:t>
      </w:r>
      <w:r w:rsidRPr="00976BFF">
        <w:rPr>
          <w:lang w:val="es-ES_tradnl"/>
        </w:rPr>
        <w:t xml:space="preserve">, transporte y comunicaciones) y </w:t>
      </w:r>
      <w:r w:rsidR="003D6DF4" w:rsidRPr="00976BFF">
        <w:rPr>
          <w:lang w:val="es-ES_tradnl"/>
        </w:rPr>
        <w:t xml:space="preserve">ii) </w:t>
      </w:r>
      <w:r w:rsidRPr="00976BFF">
        <w:rPr>
          <w:lang w:val="es-ES_tradnl"/>
        </w:rPr>
        <w:t>el área programática</w:t>
      </w:r>
      <w:r w:rsidR="003D6DF4" w:rsidRPr="00976BFF">
        <w:rPr>
          <w:lang w:val="es-ES_tradnl"/>
        </w:rPr>
        <w:t xml:space="preserve"> 14 </w:t>
      </w:r>
      <w:r w:rsidRPr="00976BFF">
        <w:rPr>
          <w:lang w:val="es-ES_tradnl"/>
        </w:rPr>
        <w:t>(</w:t>
      </w:r>
      <w:r w:rsidR="00A755BB">
        <w:rPr>
          <w:lang w:val="es-ES_tradnl"/>
        </w:rPr>
        <w:t>s</w:t>
      </w:r>
      <w:r w:rsidR="00A755BB" w:rsidRPr="00976BFF">
        <w:rPr>
          <w:lang w:val="es-ES_tradnl"/>
        </w:rPr>
        <w:t xml:space="preserve">eguridad </w:t>
      </w:r>
      <w:r w:rsidRPr="00976BFF">
        <w:rPr>
          <w:lang w:val="es-ES_tradnl"/>
        </w:rPr>
        <w:t>pública). El área programática 9 está integrada por 10 “</w:t>
      </w:r>
      <w:r w:rsidR="006D44FB">
        <w:rPr>
          <w:lang w:val="es-ES_tradnl"/>
        </w:rPr>
        <w:t>programas</w:t>
      </w:r>
      <w:r w:rsidRPr="00976BFF">
        <w:rPr>
          <w:lang w:val="es-ES_tradnl"/>
        </w:rPr>
        <w:t xml:space="preserve">”, uno de los cuales es el Programa </w:t>
      </w:r>
      <w:r w:rsidR="003D6DF4" w:rsidRPr="00976BFF">
        <w:rPr>
          <w:lang w:val="es-ES_tradnl"/>
        </w:rPr>
        <w:t xml:space="preserve">362 </w:t>
      </w:r>
      <w:r w:rsidRPr="00976BFF">
        <w:rPr>
          <w:lang w:val="es-ES_tradnl"/>
        </w:rPr>
        <w:t>(</w:t>
      </w:r>
      <w:r w:rsidR="00A755BB">
        <w:rPr>
          <w:lang w:val="es-ES_tradnl"/>
        </w:rPr>
        <w:t>i</w:t>
      </w:r>
      <w:r w:rsidR="00A755BB" w:rsidRPr="00976BFF">
        <w:rPr>
          <w:lang w:val="es-ES_tradnl"/>
        </w:rPr>
        <w:t xml:space="preserve">nfraestructura </w:t>
      </w:r>
      <w:r w:rsidRPr="00976BFF">
        <w:rPr>
          <w:lang w:val="es-ES_tradnl"/>
        </w:rPr>
        <w:t xml:space="preserve">vial), mientras que el área programática </w:t>
      </w:r>
      <w:r w:rsidR="003D6DF4" w:rsidRPr="00976BFF">
        <w:rPr>
          <w:lang w:val="es-ES_tradnl"/>
        </w:rPr>
        <w:t xml:space="preserve">14 </w:t>
      </w:r>
      <w:r w:rsidRPr="00976BFF">
        <w:rPr>
          <w:lang w:val="es-ES_tradnl"/>
        </w:rPr>
        <w:t>consta de 4 “</w:t>
      </w:r>
      <w:r w:rsidR="006D44FB">
        <w:rPr>
          <w:lang w:val="es-ES_tradnl"/>
        </w:rPr>
        <w:t>programas</w:t>
      </w:r>
      <w:r w:rsidRPr="00976BFF">
        <w:rPr>
          <w:lang w:val="es-ES_tradnl"/>
        </w:rPr>
        <w:t xml:space="preserve">”, uno de los cuales es el </w:t>
      </w:r>
      <w:r w:rsidR="003D6DF4" w:rsidRPr="00976BFF">
        <w:rPr>
          <w:lang w:val="es-ES_tradnl"/>
        </w:rPr>
        <w:t>Program</w:t>
      </w:r>
      <w:r w:rsidRPr="00976BFF">
        <w:rPr>
          <w:lang w:val="es-ES_tradnl"/>
        </w:rPr>
        <w:t>a</w:t>
      </w:r>
      <w:r w:rsidR="003D6DF4" w:rsidRPr="00976BFF">
        <w:rPr>
          <w:lang w:val="es-ES_tradnl"/>
        </w:rPr>
        <w:t xml:space="preserve"> 462</w:t>
      </w:r>
      <w:r w:rsidRPr="00976BFF">
        <w:rPr>
          <w:lang w:val="es-ES_tradnl"/>
        </w:rPr>
        <w:t xml:space="preserve"> (</w:t>
      </w:r>
      <w:r w:rsidR="00A755BB">
        <w:rPr>
          <w:lang w:val="es-ES_tradnl"/>
        </w:rPr>
        <w:t>s</w:t>
      </w:r>
      <w:r w:rsidR="00A755BB" w:rsidRPr="00976BFF">
        <w:rPr>
          <w:lang w:val="es-ES_tradnl"/>
        </w:rPr>
        <w:t xml:space="preserve">eguridad </w:t>
      </w:r>
      <w:r w:rsidRPr="00976BFF">
        <w:rPr>
          <w:lang w:val="es-ES_tradnl"/>
        </w:rPr>
        <w:t>vial). Tanto el Programa</w:t>
      </w:r>
      <w:r w:rsidR="003D6DF4" w:rsidRPr="00976BFF">
        <w:rPr>
          <w:lang w:val="es-ES_tradnl"/>
        </w:rPr>
        <w:t xml:space="preserve"> 362 </w:t>
      </w:r>
      <w:r w:rsidRPr="00976BFF">
        <w:rPr>
          <w:lang w:val="es-ES_tradnl"/>
        </w:rPr>
        <w:t>como el Programa</w:t>
      </w:r>
      <w:r w:rsidR="003D6DF4" w:rsidRPr="00976BFF">
        <w:rPr>
          <w:lang w:val="es-ES_tradnl"/>
        </w:rPr>
        <w:t xml:space="preserve"> 462</w:t>
      </w:r>
      <w:r w:rsidRPr="00976BFF">
        <w:rPr>
          <w:lang w:val="es-ES_tradnl"/>
        </w:rPr>
        <w:t xml:space="preserve"> se subdividen en varios “proyectos”, que se corresponden con partidas presupuestarias</w:t>
      </w:r>
      <w:r w:rsidR="003D6DF4" w:rsidRPr="00976BFF">
        <w:rPr>
          <w:lang w:val="es-ES_tradnl"/>
        </w:rPr>
        <w:t>.</w:t>
      </w:r>
    </w:p>
    <w:p w:rsidR="0007594F" w:rsidRPr="00976BFF" w:rsidRDefault="00AC785B" w:rsidP="00BD2472">
      <w:pPr>
        <w:pStyle w:val="Annexmain"/>
        <w:ind w:firstLine="0"/>
        <w:rPr>
          <w:lang w:val="es-ES_tradnl"/>
        </w:rPr>
      </w:pPr>
      <w:r w:rsidRPr="00976BFF">
        <w:rPr>
          <w:lang w:val="es-ES_tradnl"/>
        </w:rPr>
        <w:t xml:space="preserve">El </w:t>
      </w:r>
      <w:r w:rsidR="003D6DF4" w:rsidRPr="00976BFF">
        <w:rPr>
          <w:lang w:val="es-ES_tradnl"/>
        </w:rPr>
        <w:t>Program</w:t>
      </w:r>
      <w:r w:rsidRPr="00976BFF">
        <w:rPr>
          <w:lang w:val="es-ES_tradnl"/>
        </w:rPr>
        <w:t>a</w:t>
      </w:r>
      <w:r w:rsidR="003D6DF4" w:rsidRPr="00976BFF">
        <w:rPr>
          <w:lang w:val="es-ES_tradnl"/>
        </w:rPr>
        <w:t xml:space="preserve"> 362</w:t>
      </w:r>
      <w:r w:rsidR="00A755BB">
        <w:rPr>
          <w:lang w:val="es-ES_tradnl"/>
        </w:rPr>
        <w:t>, de i</w:t>
      </w:r>
      <w:r w:rsidRPr="00976BFF">
        <w:rPr>
          <w:lang w:val="es-ES_tradnl"/>
        </w:rPr>
        <w:t>nfraestructura vial</w:t>
      </w:r>
      <w:r w:rsidR="00A755BB">
        <w:rPr>
          <w:lang w:val="es-ES_tradnl"/>
        </w:rPr>
        <w:t>,</w:t>
      </w:r>
      <w:r w:rsidR="00A755BB" w:rsidRPr="00976BFF">
        <w:rPr>
          <w:lang w:val="es-ES_tradnl"/>
        </w:rPr>
        <w:t xml:space="preserve"> </w:t>
      </w:r>
      <w:r w:rsidRPr="00976BFF">
        <w:rPr>
          <w:lang w:val="es-ES_tradnl"/>
        </w:rPr>
        <w:t xml:space="preserve">incluye, entre otros, cuatro proyectos de especial interés para el préstamo: </w:t>
      </w:r>
      <w:r w:rsidR="003D6DF4" w:rsidRPr="00976BFF">
        <w:rPr>
          <w:lang w:val="es-ES_tradnl"/>
        </w:rPr>
        <w:t xml:space="preserve">i) </w:t>
      </w:r>
      <w:r w:rsidR="002875BC">
        <w:rPr>
          <w:lang w:val="es-ES_tradnl"/>
        </w:rPr>
        <w:t xml:space="preserve">el </w:t>
      </w:r>
      <w:r w:rsidR="00852D76" w:rsidRPr="00976BFF">
        <w:rPr>
          <w:lang w:val="es-ES_tradnl"/>
        </w:rPr>
        <w:t>Proyecto</w:t>
      </w:r>
      <w:r w:rsidR="002875BC">
        <w:rPr>
          <w:lang w:val="es-ES_tradnl"/>
        </w:rPr>
        <w:t xml:space="preserve"> </w:t>
      </w:r>
      <w:r w:rsidR="00852D76" w:rsidRPr="00976BFF">
        <w:rPr>
          <w:lang w:val="es-ES_tradnl"/>
        </w:rPr>
        <w:t>750</w:t>
      </w:r>
      <w:r w:rsidR="003D6DF4" w:rsidRPr="00976BFF">
        <w:rPr>
          <w:lang w:val="es-ES_tradnl"/>
        </w:rPr>
        <w:t xml:space="preserve"> (</w:t>
      </w:r>
      <w:r w:rsidR="00A755BB">
        <w:rPr>
          <w:lang w:val="es-ES_tradnl"/>
        </w:rPr>
        <w:t>r</w:t>
      </w:r>
      <w:r w:rsidR="00A755BB" w:rsidRPr="00976BFF">
        <w:rPr>
          <w:lang w:val="es-ES_tradnl"/>
        </w:rPr>
        <w:t>utas</w:t>
      </w:r>
      <w:r w:rsidR="003D6DF4" w:rsidRPr="00976BFF">
        <w:rPr>
          <w:lang w:val="es-ES_tradnl"/>
        </w:rPr>
        <w:t xml:space="preserve">), ii) </w:t>
      </w:r>
      <w:r w:rsidR="002875BC">
        <w:rPr>
          <w:lang w:val="es-ES_tradnl"/>
        </w:rPr>
        <w:t xml:space="preserve">el </w:t>
      </w:r>
      <w:r w:rsidR="00852D76" w:rsidRPr="00976BFF">
        <w:rPr>
          <w:lang w:val="es-ES_tradnl"/>
        </w:rPr>
        <w:t>Proyecto</w:t>
      </w:r>
      <w:r w:rsidR="002F6968" w:rsidRPr="00976BFF">
        <w:rPr>
          <w:lang w:val="es-ES_tradnl"/>
        </w:rPr>
        <w:t xml:space="preserve"> </w:t>
      </w:r>
      <w:r w:rsidR="003D6DF4" w:rsidRPr="00976BFF">
        <w:rPr>
          <w:lang w:val="es-ES_tradnl"/>
        </w:rPr>
        <w:t>752 (</w:t>
      </w:r>
      <w:r w:rsidR="00A755BB">
        <w:rPr>
          <w:lang w:val="es-ES_tradnl"/>
        </w:rPr>
        <w:t>p</w:t>
      </w:r>
      <w:r w:rsidR="00A755BB" w:rsidRPr="00976BFF">
        <w:rPr>
          <w:lang w:val="es-ES_tradnl"/>
        </w:rPr>
        <w:t>uentes</w:t>
      </w:r>
      <w:r w:rsidR="003D6DF4" w:rsidRPr="00976BFF">
        <w:rPr>
          <w:lang w:val="es-ES_tradnl"/>
        </w:rPr>
        <w:t xml:space="preserve">); iii) </w:t>
      </w:r>
      <w:r w:rsidR="002875BC">
        <w:rPr>
          <w:lang w:val="es-ES_tradnl"/>
        </w:rPr>
        <w:t xml:space="preserve">el </w:t>
      </w:r>
      <w:r w:rsidR="00852D76" w:rsidRPr="00976BFF">
        <w:rPr>
          <w:lang w:val="es-ES_tradnl"/>
        </w:rPr>
        <w:t>Proyecto</w:t>
      </w:r>
      <w:r w:rsidR="002F6968" w:rsidRPr="00976BFF">
        <w:rPr>
          <w:lang w:val="es-ES_tradnl"/>
        </w:rPr>
        <w:t xml:space="preserve"> </w:t>
      </w:r>
      <w:r w:rsidR="003D6DF4" w:rsidRPr="00976BFF">
        <w:rPr>
          <w:lang w:val="es-ES_tradnl"/>
        </w:rPr>
        <w:t>855 (</w:t>
      </w:r>
      <w:r w:rsidR="00A755BB">
        <w:rPr>
          <w:lang w:val="es-ES_tradnl"/>
        </w:rPr>
        <w:t>m</w:t>
      </w:r>
      <w:r w:rsidR="00A755BB" w:rsidRPr="00976BFF">
        <w:rPr>
          <w:lang w:val="es-ES_tradnl"/>
        </w:rPr>
        <w:t>antenimiento</w:t>
      </w:r>
      <w:r w:rsidR="003D6DF4" w:rsidRPr="00976BFF">
        <w:rPr>
          <w:lang w:val="es-ES_tradnl"/>
        </w:rPr>
        <w:t xml:space="preserve">) </w:t>
      </w:r>
      <w:r w:rsidRPr="00976BFF">
        <w:rPr>
          <w:lang w:val="es-ES_tradnl"/>
        </w:rPr>
        <w:t xml:space="preserve">y </w:t>
      </w:r>
      <w:r w:rsidR="003D6DF4" w:rsidRPr="00976BFF">
        <w:rPr>
          <w:lang w:val="es-ES_tradnl"/>
        </w:rPr>
        <w:t xml:space="preserve">iv) </w:t>
      </w:r>
      <w:r w:rsidR="002875BC">
        <w:rPr>
          <w:lang w:val="es-ES_tradnl"/>
        </w:rPr>
        <w:t xml:space="preserve">el </w:t>
      </w:r>
      <w:r w:rsidR="00C41F5D" w:rsidRPr="00976BFF">
        <w:rPr>
          <w:lang w:val="es-ES_tradnl"/>
        </w:rPr>
        <w:t>Proyecto</w:t>
      </w:r>
      <w:r w:rsidR="002F6968" w:rsidRPr="00976BFF">
        <w:rPr>
          <w:lang w:val="es-ES_tradnl"/>
        </w:rPr>
        <w:t xml:space="preserve"> </w:t>
      </w:r>
      <w:r w:rsidR="003D6DF4" w:rsidRPr="00976BFF">
        <w:rPr>
          <w:lang w:val="es-ES_tradnl"/>
        </w:rPr>
        <w:t>908 (</w:t>
      </w:r>
      <w:r w:rsidR="00A755BB">
        <w:rPr>
          <w:lang w:val="es-ES_tradnl"/>
        </w:rPr>
        <w:t>a</w:t>
      </w:r>
      <w:r w:rsidR="00A755BB" w:rsidRPr="00976BFF">
        <w:rPr>
          <w:lang w:val="es-ES_tradnl"/>
        </w:rPr>
        <w:t xml:space="preserve">sistencia </w:t>
      </w:r>
      <w:r w:rsidRPr="00976BFF">
        <w:rPr>
          <w:lang w:val="es-ES_tradnl"/>
        </w:rPr>
        <w:t>técnica</w:t>
      </w:r>
      <w:r w:rsidR="003D6DF4" w:rsidRPr="00976BFF">
        <w:rPr>
          <w:lang w:val="es-ES_tradnl"/>
        </w:rPr>
        <w:t xml:space="preserve">). </w:t>
      </w:r>
      <w:r w:rsidR="007F3841" w:rsidRPr="00976BFF">
        <w:rPr>
          <w:lang w:val="es-ES_tradnl"/>
        </w:rPr>
        <w:t xml:space="preserve">El </w:t>
      </w:r>
      <w:r w:rsidR="003D6DF4" w:rsidRPr="00976BFF">
        <w:rPr>
          <w:lang w:val="es-ES_tradnl"/>
        </w:rPr>
        <w:t>Program</w:t>
      </w:r>
      <w:r w:rsidR="007F3841" w:rsidRPr="00976BFF">
        <w:rPr>
          <w:lang w:val="es-ES_tradnl"/>
        </w:rPr>
        <w:t>a</w:t>
      </w:r>
      <w:r w:rsidR="003D6DF4" w:rsidRPr="00976BFF">
        <w:rPr>
          <w:lang w:val="es-ES_tradnl"/>
        </w:rPr>
        <w:t xml:space="preserve"> 462,</w:t>
      </w:r>
      <w:r w:rsidR="007F3841" w:rsidRPr="00976BFF">
        <w:rPr>
          <w:lang w:val="es-ES_tradnl"/>
        </w:rPr>
        <w:t xml:space="preserve"> </w:t>
      </w:r>
      <w:r w:rsidR="00A755BB">
        <w:rPr>
          <w:lang w:val="es-ES_tradnl"/>
        </w:rPr>
        <w:t>de s</w:t>
      </w:r>
      <w:r w:rsidR="00A755BB" w:rsidRPr="00976BFF">
        <w:rPr>
          <w:lang w:val="es-ES_tradnl"/>
        </w:rPr>
        <w:t xml:space="preserve">eguridad </w:t>
      </w:r>
      <w:r w:rsidR="007F3841" w:rsidRPr="00976BFF">
        <w:rPr>
          <w:lang w:val="es-ES_tradnl"/>
        </w:rPr>
        <w:t xml:space="preserve">vial, incluye, entre otros, un proyecto de especial interés para el préstamo: el </w:t>
      </w:r>
      <w:r w:rsidR="00852D76" w:rsidRPr="00976BFF">
        <w:rPr>
          <w:lang w:val="es-ES_tradnl"/>
        </w:rPr>
        <w:t>Proyecto</w:t>
      </w:r>
      <w:r w:rsidR="002F6968" w:rsidRPr="00976BFF">
        <w:rPr>
          <w:lang w:val="es-ES_tradnl"/>
        </w:rPr>
        <w:t xml:space="preserve"> </w:t>
      </w:r>
      <w:r w:rsidR="003D6DF4" w:rsidRPr="00976BFF">
        <w:rPr>
          <w:lang w:val="es-ES_tradnl"/>
        </w:rPr>
        <w:t>754 (</w:t>
      </w:r>
      <w:r w:rsidR="00A755BB">
        <w:rPr>
          <w:lang w:val="es-ES_tradnl"/>
        </w:rPr>
        <w:t>s</w:t>
      </w:r>
      <w:r w:rsidR="00A755BB" w:rsidRPr="00976BFF">
        <w:rPr>
          <w:lang w:val="es-ES_tradnl"/>
        </w:rPr>
        <w:t xml:space="preserve">eguridad </w:t>
      </w:r>
      <w:r w:rsidR="007F3841" w:rsidRPr="00976BFF">
        <w:rPr>
          <w:lang w:val="es-ES_tradnl"/>
        </w:rPr>
        <w:t>vial</w:t>
      </w:r>
      <w:r w:rsidR="003D6DF4" w:rsidRPr="00976BFF">
        <w:rPr>
          <w:lang w:val="es-ES_tradnl"/>
        </w:rPr>
        <w:t>).</w:t>
      </w:r>
    </w:p>
    <w:p w:rsidR="0007594F" w:rsidRPr="00976BFF" w:rsidRDefault="00066D51" w:rsidP="00BD2472">
      <w:pPr>
        <w:pStyle w:val="Annexmain"/>
        <w:ind w:firstLine="0"/>
        <w:rPr>
          <w:lang w:val="es-ES_tradnl"/>
        </w:rPr>
      </w:pPr>
      <w:r w:rsidRPr="00976BFF">
        <w:rPr>
          <w:lang w:val="es-ES_tradnl"/>
        </w:rPr>
        <w:t xml:space="preserve">Los objetivos, y los indicadores conexos, están vinculados </w:t>
      </w:r>
      <w:r w:rsidR="00E57E6E">
        <w:rPr>
          <w:lang w:val="es-ES_tradnl"/>
        </w:rPr>
        <w:t>con</w:t>
      </w:r>
      <w:r w:rsidR="00E57E6E" w:rsidRPr="00976BFF">
        <w:rPr>
          <w:lang w:val="es-ES_tradnl"/>
        </w:rPr>
        <w:t xml:space="preserve"> </w:t>
      </w:r>
      <w:r w:rsidRPr="00976BFF">
        <w:rPr>
          <w:lang w:val="es-ES_tradnl"/>
        </w:rPr>
        <w:t xml:space="preserve">cada </w:t>
      </w:r>
      <w:r w:rsidR="002875BC">
        <w:rPr>
          <w:lang w:val="es-ES_tradnl"/>
        </w:rPr>
        <w:t>p</w:t>
      </w:r>
      <w:r w:rsidR="009B073D" w:rsidRPr="00976BFF">
        <w:rPr>
          <w:lang w:val="es-ES_tradnl"/>
        </w:rPr>
        <w:t>rograma</w:t>
      </w:r>
      <w:r w:rsidRPr="00976BFF">
        <w:rPr>
          <w:lang w:val="es-ES_tradnl"/>
        </w:rPr>
        <w:t xml:space="preserve"> de la Ley de Presupuesto. Los objetivos de los </w:t>
      </w:r>
      <w:r w:rsidR="006D44FB">
        <w:rPr>
          <w:lang w:val="es-ES_tradnl"/>
        </w:rPr>
        <w:t>programas</w:t>
      </w:r>
      <w:r w:rsidRPr="00976BFF">
        <w:rPr>
          <w:lang w:val="es-ES_tradnl"/>
        </w:rPr>
        <w:t xml:space="preserve"> </w:t>
      </w:r>
      <w:r w:rsidR="002F6968" w:rsidRPr="00976BFF">
        <w:rPr>
          <w:lang w:val="es-ES_tradnl"/>
        </w:rPr>
        <w:t xml:space="preserve">362 </w:t>
      </w:r>
      <w:r w:rsidRPr="00976BFF">
        <w:rPr>
          <w:lang w:val="es-ES_tradnl"/>
        </w:rPr>
        <w:t>y</w:t>
      </w:r>
      <w:r w:rsidR="002F6968" w:rsidRPr="00976BFF">
        <w:rPr>
          <w:lang w:val="es-ES_tradnl"/>
        </w:rPr>
        <w:t xml:space="preserve"> 462 </w:t>
      </w:r>
      <w:r w:rsidRPr="00976BFF">
        <w:rPr>
          <w:lang w:val="es-ES_tradnl"/>
        </w:rPr>
        <w:t>son los siguientes</w:t>
      </w:r>
      <w:r w:rsidR="002F6968" w:rsidRPr="00976BFF">
        <w:rPr>
          <w:lang w:val="es-ES_tradnl"/>
        </w:rPr>
        <w:t>:</w:t>
      </w:r>
    </w:p>
    <w:p w:rsidR="0007594F" w:rsidRPr="00976BFF" w:rsidRDefault="002F6968" w:rsidP="00625FB3">
      <w:pPr>
        <w:pStyle w:val="Bullet"/>
        <w:rPr>
          <w:lang w:val="es-ES_tradnl"/>
        </w:rPr>
      </w:pPr>
      <w:r w:rsidRPr="00976BFF">
        <w:rPr>
          <w:lang w:val="es-ES_tradnl"/>
        </w:rPr>
        <w:t>Program</w:t>
      </w:r>
      <w:r w:rsidR="00066D51" w:rsidRPr="00976BFF">
        <w:rPr>
          <w:lang w:val="es-ES_tradnl"/>
        </w:rPr>
        <w:t>a</w:t>
      </w:r>
      <w:r w:rsidRPr="00976BFF">
        <w:rPr>
          <w:lang w:val="es-ES_tradnl"/>
        </w:rPr>
        <w:t xml:space="preserve"> 362</w:t>
      </w:r>
      <w:r w:rsidR="00066D51" w:rsidRPr="00976BFF">
        <w:rPr>
          <w:lang w:val="es-ES_tradnl"/>
        </w:rPr>
        <w:t xml:space="preserve"> (</w:t>
      </w:r>
      <w:r w:rsidR="00A755BB">
        <w:rPr>
          <w:lang w:val="es-ES_tradnl"/>
        </w:rPr>
        <w:t>i</w:t>
      </w:r>
      <w:r w:rsidR="00A755BB" w:rsidRPr="00976BFF">
        <w:rPr>
          <w:lang w:val="es-ES_tradnl"/>
        </w:rPr>
        <w:t xml:space="preserve">nfraestructura </w:t>
      </w:r>
      <w:r w:rsidR="00066D51" w:rsidRPr="00976BFF">
        <w:rPr>
          <w:lang w:val="es-ES_tradnl"/>
        </w:rPr>
        <w:t>vial)</w:t>
      </w:r>
      <w:r w:rsidRPr="00976BFF">
        <w:rPr>
          <w:lang w:val="es-ES_tradnl"/>
        </w:rPr>
        <w:t xml:space="preserve">: </w:t>
      </w:r>
      <w:r w:rsidR="00802BB8" w:rsidRPr="00976BFF">
        <w:rPr>
          <w:lang w:val="es-ES_tradnl"/>
        </w:rPr>
        <w:t xml:space="preserve">rehabilitar, mantener y desarrollar la infraestructura vial nacional (carreteras y puentes) </w:t>
      </w:r>
      <w:r w:rsidR="00A755BB">
        <w:rPr>
          <w:lang w:val="es-ES_tradnl"/>
        </w:rPr>
        <w:t xml:space="preserve">para </w:t>
      </w:r>
      <w:r w:rsidR="00802BB8" w:rsidRPr="00976BFF">
        <w:rPr>
          <w:lang w:val="es-ES_tradnl"/>
        </w:rPr>
        <w:t>promover el transporte terrestre para fines</w:t>
      </w:r>
      <w:r w:rsidR="00A755BB" w:rsidRPr="00A755BB">
        <w:rPr>
          <w:lang w:val="es-ES_tradnl"/>
        </w:rPr>
        <w:t xml:space="preserve"> </w:t>
      </w:r>
      <w:r w:rsidR="00A755BB" w:rsidRPr="00976BFF">
        <w:rPr>
          <w:lang w:val="es-ES_tradnl"/>
        </w:rPr>
        <w:t>múltiples</w:t>
      </w:r>
      <w:r w:rsidR="00A755BB">
        <w:rPr>
          <w:lang w:val="es-ES_tradnl"/>
        </w:rPr>
        <w:t>.</w:t>
      </w:r>
    </w:p>
    <w:p w:rsidR="0007594F" w:rsidRPr="00976BFF" w:rsidRDefault="002F6968" w:rsidP="00625FB3">
      <w:pPr>
        <w:pStyle w:val="Bullet"/>
        <w:rPr>
          <w:lang w:val="es-ES_tradnl"/>
        </w:rPr>
      </w:pPr>
      <w:r w:rsidRPr="00976BFF">
        <w:rPr>
          <w:lang w:val="es-ES_tradnl"/>
        </w:rPr>
        <w:t>Program</w:t>
      </w:r>
      <w:r w:rsidR="00802BB8" w:rsidRPr="00976BFF">
        <w:rPr>
          <w:lang w:val="es-ES_tradnl"/>
        </w:rPr>
        <w:t>a</w:t>
      </w:r>
      <w:r w:rsidRPr="00976BFF">
        <w:rPr>
          <w:lang w:val="es-ES_tradnl"/>
        </w:rPr>
        <w:t xml:space="preserve"> 462</w:t>
      </w:r>
      <w:r w:rsidR="00802BB8" w:rsidRPr="00976BFF">
        <w:rPr>
          <w:lang w:val="es-ES_tradnl"/>
        </w:rPr>
        <w:t xml:space="preserve"> (</w:t>
      </w:r>
      <w:r w:rsidR="00A755BB">
        <w:rPr>
          <w:lang w:val="es-ES_tradnl"/>
        </w:rPr>
        <w:t>s</w:t>
      </w:r>
      <w:r w:rsidR="00A755BB" w:rsidRPr="00976BFF">
        <w:rPr>
          <w:lang w:val="es-ES_tradnl"/>
        </w:rPr>
        <w:t xml:space="preserve">eguridad </w:t>
      </w:r>
      <w:r w:rsidR="00802BB8" w:rsidRPr="00976BFF">
        <w:rPr>
          <w:lang w:val="es-ES_tradnl"/>
        </w:rPr>
        <w:t>vial)</w:t>
      </w:r>
      <w:r w:rsidRPr="00976BFF">
        <w:rPr>
          <w:lang w:val="es-ES_tradnl"/>
        </w:rPr>
        <w:t xml:space="preserve">: </w:t>
      </w:r>
      <w:r w:rsidR="00802BB8" w:rsidRPr="00976BFF">
        <w:rPr>
          <w:lang w:val="es-ES_tradnl"/>
        </w:rPr>
        <w:t xml:space="preserve">formular estrategias </w:t>
      </w:r>
      <w:r w:rsidR="002875BC">
        <w:rPr>
          <w:lang w:val="es-ES_tradnl"/>
        </w:rPr>
        <w:t>que contribuyan</w:t>
      </w:r>
      <w:r w:rsidR="00802BB8" w:rsidRPr="00976BFF">
        <w:rPr>
          <w:lang w:val="es-ES_tradnl"/>
        </w:rPr>
        <w:t xml:space="preserve"> a la circulación segura de las personas</w:t>
      </w:r>
      <w:r w:rsidRPr="00976BFF">
        <w:rPr>
          <w:lang w:val="es-ES_tradnl"/>
        </w:rPr>
        <w:t>.</w:t>
      </w:r>
    </w:p>
    <w:p w:rsidR="00A764A2" w:rsidRPr="00976BFF" w:rsidRDefault="00802BB8" w:rsidP="00BD2472">
      <w:pPr>
        <w:pStyle w:val="Annexmain"/>
        <w:ind w:firstLine="0"/>
        <w:rPr>
          <w:lang w:val="es-ES_tradnl"/>
        </w:rPr>
      </w:pPr>
      <w:r w:rsidRPr="00976BFF">
        <w:rPr>
          <w:lang w:val="es-ES_tradnl"/>
        </w:rPr>
        <w:t xml:space="preserve">La Ley de Presupuesto abarca el período </w:t>
      </w:r>
      <w:r w:rsidR="003D6DF4" w:rsidRPr="00976BFF">
        <w:rPr>
          <w:lang w:val="es-ES_tradnl"/>
        </w:rPr>
        <w:t>2010-14 (</w:t>
      </w:r>
      <w:r w:rsidRPr="00976BFF">
        <w:rPr>
          <w:lang w:val="es-ES_tradnl"/>
        </w:rPr>
        <w:t>cinco años</w:t>
      </w:r>
      <w:r w:rsidR="003D6DF4" w:rsidRPr="00976BFF">
        <w:rPr>
          <w:lang w:val="es-ES_tradnl"/>
        </w:rPr>
        <w:t>)</w:t>
      </w:r>
      <w:r w:rsidRPr="00976BFF">
        <w:rPr>
          <w:lang w:val="es-ES_tradnl"/>
        </w:rPr>
        <w:t>. El año fiscal coincide con el año civil</w:t>
      </w:r>
      <w:r w:rsidR="003D6DF4" w:rsidRPr="00976BFF">
        <w:rPr>
          <w:lang w:val="es-ES_tradnl"/>
        </w:rPr>
        <w:t>.</w:t>
      </w:r>
    </w:p>
    <w:p w:rsidR="00A764A2" w:rsidRPr="00976BFF" w:rsidRDefault="00A764A2" w:rsidP="00BD2472">
      <w:pPr>
        <w:rPr>
          <w:lang w:val="es-ES_tradnl"/>
        </w:rPr>
      </w:pPr>
    </w:p>
    <w:p w:rsidR="00A764A2" w:rsidRPr="00976BFF" w:rsidRDefault="00802BB8" w:rsidP="00BD2472">
      <w:pPr>
        <w:pStyle w:val="Heading3"/>
        <w:rPr>
          <w:lang w:val="es-ES_tradnl"/>
        </w:rPr>
      </w:pPr>
      <w:bookmarkStart w:id="30" w:name="_Toc327539990"/>
      <w:bookmarkStart w:id="31" w:name="_Toc344927169"/>
      <w:r w:rsidRPr="00976BFF">
        <w:rPr>
          <w:lang w:val="es-ES_tradnl"/>
        </w:rPr>
        <w:t xml:space="preserve">El </w:t>
      </w:r>
      <w:bookmarkEnd w:id="30"/>
      <w:bookmarkEnd w:id="31"/>
      <w:r w:rsidR="00650A31">
        <w:rPr>
          <w:lang w:val="es-ES_tradnl"/>
        </w:rPr>
        <w:t>programa</w:t>
      </w:r>
    </w:p>
    <w:p w:rsidR="0052559E" w:rsidRPr="00976BFF" w:rsidRDefault="00802BB8" w:rsidP="00BD2472">
      <w:pPr>
        <w:pStyle w:val="Annexmain"/>
        <w:ind w:firstLine="0"/>
        <w:rPr>
          <w:lang w:val="es-ES_tradnl"/>
        </w:rPr>
      </w:pPr>
      <w:r w:rsidRPr="00976BFF">
        <w:rPr>
          <w:lang w:val="es-ES_tradnl"/>
        </w:rPr>
        <w:t xml:space="preserve">El </w:t>
      </w:r>
      <w:r w:rsidR="00650A31">
        <w:rPr>
          <w:lang w:val="es-ES_tradnl"/>
        </w:rPr>
        <w:t>programa</w:t>
      </w:r>
      <w:r w:rsidRPr="00976BFF">
        <w:rPr>
          <w:lang w:val="es-ES_tradnl"/>
        </w:rPr>
        <w:t xml:space="preserve">, que respalda el </w:t>
      </w:r>
      <w:r w:rsidR="002875BC">
        <w:rPr>
          <w:lang w:val="es-ES_tradnl"/>
        </w:rPr>
        <w:t>p</w:t>
      </w:r>
      <w:r w:rsidR="009B073D" w:rsidRPr="00976BFF">
        <w:rPr>
          <w:lang w:val="es-ES_tradnl"/>
        </w:rPr>
        <w:t>rograma</w:t>
      </w:r>
      <w:r w:rsidRPr="00976BFF">
        <w:rPr>
          <w:lang w:val="es-ES_tradnl"/>
        </w:rPr>
        <w:t xml:space="preserve"> de rehabilitación y mantenimiento vial del Gobierno de la República Oriental del Uruguay, consta de las siguientes actividades, que el </w:t>
      </w:r>
      <w:r w:rsidR="003C3FC8" w:rsidRPr="00976BFF">
        <w:rPr>
          <w:lang w:val="es-ES_tradnl"/>
        </w:rPr>
        <w:t xml:space="preserve">MTOP </w:t>
      </w:r>
      <w:r w:rsidRPr="00976BFF">
        <w:rPr>
          <w:lang w:val="es-ES_tradnl"/>
        </w:rPr>
        <w:t xml:space="preserve">y </w:t>
      </w:r>
      <w:r w:rsidR="003C3FC8" w:rsidRPr="00976BFF">
        <w:rPr>
          <w:lang w:val="es-ES_tradnl"/>
        </w:rPr>
        <w:t>CVU</w:t>
      </w:r>
      <w:r w:rsidRPr="00976BFF">
        <w:rPr>
          <w:lang w:val="es-ES_tradnl"/>
        </w:rPr>
        <w:t xml:space="preserve"> llevarán a cabo en</w:t>
      </w:r>
      <w:r w:rsidR="003C3FC8" w:rsidRPr="00976BFF">
        <w:rPr>
          <w:lang w:val="es-ES_tradnl"/>
        </w:rPr>
        <w:t xml:space="preserve"> </w:t>
      </w:r>
      <w:r w:rsidRPr="00976BFF">
        <w:rPr>
          <w:lang w:val="es-ES_tradnl"/>
        </w:rPr>
        <w:t xml:space="preserve">la red vial nacional del 1 de enero de 2013 al 31 de diciembre de </w:t>
      </w:r>
      <w:r w:rsidR="009C47D6" w:rsidRPr="00976BFF">
        <w:rPr>
          <w:lang w:val="es-ES_tradnl"/>
        </w:rPr>
        <w:t>2015</w:t>
      </w:r>
      <w:r w:rsidR="003C3FC8" w:rsidRPr="00976BFF">
        <w:rPr>
          <w:lang w:val="es-ES_tradnl"/>
        </w:rPr>
        <w:t xml:space="preserve">: </w:t>
      </w:r>
    </w:p>
    <w:p w:rsidR="0052559E" w:rsidRPr="00976BFF" w:rsidRDefault="00144D31" w:rsidP="00625FB3">
      <w:pPr>
        <w:pStyle w:val="Bullet"/>
        <w:rPr>
          <w:lang w:val="es-ES_tradnl"/>
        </w:rPr>
      </w:pPr>
      <w:r w:rsidRPr="00976BFF">
        <w:rPr>
          <w:lang w:val="es-ES_tradnl"/>
        </w:rPr>
        <w:t xml:space="preserve">Obras de rehabilitación </w:t>
      </w:r>
      <w:r w:rsidR="002875BC">
        <w:rPr>
          <w:lang w:val="es-ES_tradnl"/>
        </w:rPr>
        <w:t>y</w:t>
      </w:r>
      <w:r w:rsidRPr="00976BFF">
        <w:rPr>
          <w:lang w:val="es-ES_tradnl"/>
        </w:rPr>
        <w:t xml:space="preserve"> mantenimiento vial, que incluyen, entre otras, las siguientes: i) rehabilitación de pavimentos; ii) renovación de la superficie de pavimentos; iii) rehabilitación o </w:t>
      </w:r>
      <w:r w:rsidR="002875BC">
        <w:rPr>
          <w:lang w:val="es-ES_tradnl"/>
        </w:rPr>
        <w:t>pavimentación</w:t>
      </w:r>
      <w:r w:rsidRPr="00976BFF">
        <w:rPr>
          <w:lang w:val="es-ES_tradnl"/>
        </w:rPr>
        <w:t xml:space="preserve"> de banquinas; iv) reparación </w:t>
      </w:r>
      <w:r w:rsidR="002875BC">
        <w:rPr>
          <w:lang w:val="es-ES_tradnl"/>
        </w:rPr>
        <w:t>y</w:t>
      </w:r>
      <w:r w:rsidRPr="00976BFF">
        <w:rPr>
          <w:lang w:val="es-ES_tradnl"/>
        </w:rPr>
        <w:t xml:space="preserve"> mejoramiento de sistemas de drenaje, y v) rehabilitación y mantenimiento de la señalización vial tanto vertical como horizontal</w:t>
      </w:r>
      <w:r w:rsidR="00A755BB">
        <w:rPr>
          <w:lang w:val="es-ES_tradnl"/>
        </w:rPr>
        <w:t>.</w:t>
      </w:r>
    </w:p>
    <w:p w:rsidR="0052559E" w:rsidRPr="00976BFF" w:rsidRDefault="00144D31" w:rsidP="00625FB3">
      <w:pPr>
        <w:pStyle w:val="Bullet"/>
        <w:rPr>
          <w:lang w:val="es-ES_tradnl"/>
        </w:rPr>
      </w:pPr>
      <w:r w:rsidRPr="00976BFF">
        <w:rPr>
          <w:lang w:val="es-ES_tradnl"/>
        </w:rPr>
        <w:t xml:space="preserve">Obras de rehabilitación y mantenimiento de puentes, que incluyen, entre otras, las siguientes: i) reparación de la estructura de tableros, estribos, pilares y cimientos, y ii) mejoramiento de las características funcionales de los puentes, como por ejemplo aumentar </w:t>
      </w:r>
      <w:r w:rsidR="00C72D9C">
        <w:rPr>
          <w:lang w:val="es-ES_tradnl"/>
        </w:rPr>
        <w:t>la</w:t>
      </w:r>
      <w:r w:rsidRPr="00976BFF">
        <w:rPr>
          <w:lang w:val="es-ES_tradnl"/>
        </w:rPr>
        <w:t xml:space="preserve"> longitud, ensanchar el tablero y aumentar la capacidad de carga de un puente</w:t>
      </w:r>
      <w:r w:rsidR="00A755BB">
        <w:rPr>
          <w:lang w:val="es-ES_tradnl"/>
        </w:rPr>
        <w:t>.</w:t>
      </w:r>
    </w:p>
    <w:p w:rsidR="0052559E" w:rsidRPr="00976BFF" w:rsidRDefault="00144D31" w:rsidP="00625FB3">
      <w:pPr>
        <w:pStyle w:val="Bullet"/>
        <w:rPr>
          <w:lang w:val="es-ES_tradnl"/>
        </w:rPr>
      </w:pPr>
      <w:r w:rsidRPr="00976BFF">
        <w:rPr>
          <w:lang w:val="es-ES_tradnl"/>
        </w:rPr>
        <w:t>Obras de reconstrucción de puentes, que consisten en la construcción de una nueva estructura y sus caminos de acceso contiguos, para reemplazar un puente existente en el mismo lugar o en sus alrededores</w:t>
      </w:r>
      <w:r w:rsidR="00A755BB">
        <w:rPr>
          <w:lang w:val="es-ES_tradnl"/>
        </w:rPr>
        <w:t>.</w:t>
      </w:r>
    </w:p>
    <w:p w:rsidR="0052559E" w:rsidRPr="00976BFF" w:rsidRDefault="00144D31" w:rsidP="00625FB3">
      <w:pPr>
        <w:pStyle w:val="Bullet"/>
        <w:rPr>
          <w:lang w:val="es-ES_tradnl"/>
        </w:rPr>
      </w:pPr>
      <w:r w:rsidRPr="00976BFF">
        <w:rPr>
          <w:lang w:val="es-ES_tradnl"/>
        </w:rPr>
        <w:t>Adquisición, instalación y mantenimiento de equipos de seguridad vial</w:t>
      </w:r>
      <w:r w:rsidR="00A755BB">
        <w:rPr>
          <w:lang w:val="es-ES_tradnl"/>
        </w:rPr>
        <w:t>.</w:t>
      </w:r>
    </w:p>
    <w:p w:rsidR="0052559E" w:rsidRPr="00976BFF" w:rsidRDefault="00144D31" w:rsidP="00625FB3">
      <w:pPr>
        <w:pStyle w:val="Bullet"/>
        <w:rPr>
          <w:lang w:val="es-ES_tradnl"/>
        </w:rPr>
      </w:pPr>
      <w:r w:rsidRPr="00976BFF">
        <w:rPr>
          <w:lang w:val="es-ES_tradnl"/>
        </w:rPr>
        <w:t>Suministro de asistencia técnica a la DNV, la DNTop</w:t>
      </w:r>
      <w:r w:rsidR="0052559E" w:rsidRPr="00976BFF">
        <w:rPr>
          <w:lang w:val="es-ES_tradnl"/>
        </w:rPr>
        <w:t xml:space="preserve"> </w:t>
      </w:r>
      <w:r w:rsidRPr="00976BFF">
        <w:rPr>
          <w:lang w:val="es-ES_tradnl"/>
        </w:rPr>
        <w:t>y la</w:t>
      </w:r>
      <w:r w:rsidR="0052559E" w:rsidRPr="00976BFF">
        <w:rPr>
          <w:lang w:val="es-ES_tradnl"/>
        </w:rPr>
        <w:t xml:space="preserve"> DINAPLO, </w:t>
      </w:r>
      <w:r w:rsidRPr="00976BFF">
        <w:rPr>
          <w:lang w:val="es-ES_tradnl"/>
        </w:rPr>
        <w:t>que incluye</w:t>
      </w:r>
      <w:r w:rsidR="00C72D9C" w:rsidRPr="00C72D9C">
        <w:rPr>
          <w:lang w:val="es-ES_tradnl"/>
        </w:rPr>
        <w:t xml:space="preserve"> </w:t>
      </w:r>
      <w:r w:rsidR="00C72D9C">
        <w:rPr>
          <w:lang w:val="es-ES_tradnl"/>
        </w:rPr>
        <w:t>realizar</w:t>
      </w:r>
      <w:r w:rsidR="00C72D9C" w:rsidRPr="00976BFF">
        <w:rPr>
          <w:lang w:val="es-ES_tradnl"/>
        </w:rPr>
        <w:t xml:space="preserve">, </w:t>
      </w:r>
      <w:r w:rsidR="00C72D9C" w:rsidRPr="00913B5D">
        <w:rPr>
          <w:i/>
          <w:lang w:val="es-ES_tradnl"/>
        </w:rPr>
        <w:t>inter alia</w:t>
      </w:r>
      <w:r w:rsidR="00C72D9C" w:rsidRPr="00976BFF">
        <w:rPr>
          <w:lang w:val="es-ES_tradnl"/>
        </w:rPr>
        <w:t>, l</w:t>
      </w:r>
      <w:r w:rsidR="00C72D9C">
        <w:rPr>
          <w:lang w:val="es-ES_tradnl"/>
        </w:rPr>
        <w:t>o</w:t>
      </w:r>
      <w:r w:rsidR="00C72D9C" w:rsidRPr="00976BFF">
        <w:rPr>
          <w:lang w:val="es-ES_tradnl"/>
        </w:rPr>
        <w:t xml:space="preserve"> siguiente</w:t>
      </w:r>
      <w:r w:rsidRPr="00976BFF">
        <w:rPr>
          <w:lang w:val="es-ES_tradnl"/>
        </w:rPr>
        <w:t xml:space="preserve">: i) relevamientos del estado de los caminos; ii) actividades de capacitación y fortalecimiento de la capacidad, y iii) los estudios necesarios para ejecutar el </w:t>
      </w:r>
      <w:r w:rsidR="00650A31">
        <w:rPr>
          <w:lang w:val="es-ES_tradnl"/>
        </w:rPr>
        <w:t>programa</w:t>
      </w:r>
      <w:r w:rsidR="0052559E" w:rsidRPr="00976BFF">
        <w:rPr>
          <w:lang w:val="es-ES_tradnl"/>
        </w:rPr>
        <w:t>.</w:t>
      </w:r>
    </w:p>
    <w:p w:rsidR="0007594F" w:rsidRPr="00976BFF" w:rsidRDefault="0007594F" w:rsidP="0052559E">
      <w:pPr>
        <w:rPr>
          <w:lang w:val="es-ES_tradnl"/>
        </w:rPr>
      </w:pPr>
    </w:p>
    <w:p w:rsidR="00A764A2" w:rsidRPr="00976BFF" w:rsidRDefault="00802BB8">
      <w:pPr>
        <w:pStyle w:val="Heading3"/>
        <w:rPr>
          <w:lang w:val="es-ES_tradnl"/>
        </w:rPr>
      </w:pPr>
      <w:bookmarkStart w:id="32" w:name="_Toc344927170"/>
      <w:r w:rsidRPr="00976BFF">
        <w:rPr>
          <w:lang w:val="es-ES_tradnl"/>
        </w:rPr>
        <w:t>Actividades de alto riesgo</w:t>
      </w:r>
      <w:bookmarkEnd w:id="32"/>
    </w:p>
    <w:p w:rsidR="0007594F" w:rsidRPr="00976BFF" w:rsidRDefault="00DB7786" w:rsidP="00EB3076">
      <w:pPr>
        <w:pStyle w:val="Annexmain"/>
        <w:autoSpaceDE w:val="0"/>
        <w:ind w:firstLine="0"/>
        <w:rPr>
          <w:lang w:val="es-ES_tradnl"/>
        </w:rPr>
      </w:pPr>
      <w:r w:rsidRPr="00976BFF">
        <w:rPr>
          <w:lang w:val="es-ES_tradnl"/>
        </w:rPr>
        <w:t>Como se confirm</w:t>
      </w:r>
      <w:r w:rsidR="002531EE">
        <w:rPr>
          <w:lang w:val="es-ES_tradnl"/>
        </w:rPr>
        <w:t>ó</w:t>
      </w:r>
      <w:r w:rsidRPr="00976BFF">
        <w:rPr>
          <w:lang w:val="es-ES_tradnl"/>
        </w:rPr>
        <w:t xml:space="preserve"> durante la evaluación inicial, el </w:t>
      </w:r>
      <w:r w:rsidR="00650A31">
        <w:rPr>
          <w:lang w:val="es-ES_tradnl"/>
        </w:rPr>
        <w:t>programa</w:t>
      </w:r>
      <w:r w:rsidRPr="00976BFF">
        <w:rPr>
          <w:lang w:val="es-ES_tradnl"/>
        </w:rPr>
        <w:t xml:space="preserve"> no incluye actividades que </w:t>
      </w:r>
      <w:r w:rsidR="002875BC">
        <w:rPr>
          <w:lang w:val="es-ES_tradnl"/>
        </w:rPr>
        <w:t>podrían tener</w:t>
      </w:r>
      <w:r w:rsidRPr="00976BFF">
        <w:rPr>
          <w:lang w:val="es-ES_tradnl"/>
        </w:rPr>
        <w:t xml:space="preserve"> un impacto negativo significativo en el medio ambiente o las personas</w:t>
      </w:r>
      <w:r w:rsidR="000D29E0" w:rsidRPr="00976BFF">
        <w:rPr>
          <w:lang w:val="es-ES_tradnl"/>
        </w:rPr>
        <w:t xml:space="preserve"> afectadas</w:t>
      </w:r>
      <w:r w:rsidR="00A22658" w:rsidRPr="00976BFF">
        <w:rPr>
          <w:rFonts w:ascii="ZWAdobeF" w:hAnsi="ZWAdobeF" w:cs="ZWAdobeF"/>
          <w:sz w:val="2"/>
          <w:szCs w:val="2"/>
          <w:lang w:val="es-ES_tradnl"/>
        </w:rPr>
        <w:t>18F</w:t>
      </w:r>
      <w:r w:rsidR="001472F9" w:rsidRPr="00976BFF">
        <w:rPr>
          <w:rStyle w:val="FootnoteReference"/>
          <w:lang w:val="es-ES_tradnl"/>
        </w:rPr>
        <w:footnoteReference w:id="19"/>
      </w:r>
      <w:r w:rsidR="0052559E" w:rsidRPr="00976BFF">
        <w:rPr>
          <w:lang w:val="es-ES_tradnl"/>
        </w:rPr>
        <w:t xml:space="preserve">, </w:t>
      </w:r>
      <w:r w:rsidRPr="00976BFF">
        <w:rPr>
          <w:lang w:val="es-ES_tradnl"/>
        </w:rPr>
        <w:t xml:space="preserve">como se define en la </w:t>
      </w:r>
      <w:r w:rsidR="00A755BB">
        <w:rPr>
          <w:lang w:val="es-ES_tradnl"/>
        </w:rPr>
        <w:t>p</w:t>
      </w:r>
      <w:r w:rsidR="00A755BB" w:rsidRPr="00976BFF">
        <w:rPr>
          <w:lang w:val="es-ES_tradnl"/>
        </w:rPr>
        <w:t xml:space="preserve">olítica </w:t>
      </w:r>
      <w:r w:rsidR="00A755BB">
        <w:rPr>
          <w:lang w:val="es-ES_tradnl"/>
        </w:rPr>
        <w:t>o</w:t>
      </w:r>
      <w:r w:rsidR="00A755BB" w:rsidRPr="00976BFF">
        <w:rPr>
          <w:lang w:val="es-ES_tradnl"/>
        </w:rPr>
        <w:t xml:space="preserve">peracional </w:t>
      </w:r>
      <w:r w:rsidRPr="00976BFF">
        <w:rPr>
          <w:lang w:val="es-ES_tradnl"/>
        </w:rPr>
        <w:t xml:space="preserve">(OP) 9.00, </w:t>
      </w:r>
      <w:r w:rsidR="002531EE">
        <w:rPr>
          <w:lang w:val="es-ES_tradnl"/>
        </w:rPr>
        <w:t>ni</w:t>
      </w:r>
      <w:r w:rsidRPr="00976BFF">
        <w:rPr>
          <w:lang w:val="es-ES_tradnl"/>
        </w:rPr>
        <w:t xml:space="preserve"> tampoco contratos por obras, bienes o servicios de consultoría que superen los umbrales establecidos por el </w:t>
      </w:r>
      <w:r w:rsidR="002875BC">
        <w:rPr>
          <w:color w:val="000000"/>
          <w:lang w:val="es-ES_tradnl"/>
        </w:rPr>
        <w:t>Comité de E</w:t>
      </w:r>
      <w:r w:rsidRPr="00976BFF">
        <w:rPr>
          <w:color w:val="000000"/>
          <w:lang w:val="es-ES_tradnl"/>
        </w:rPr>
        <w:t xml:space="preserve">xamen de las </w:t>
      </w:r>
      <w:r w:rsidR="002875BC">
        <w:rPr>
          <w:color w:val="000000"/>
          <w:lang w:val="es-ES_tradnl"/>
        </w:rPr>
        <w:t>Adquisiciones para las Op</w:t>
      </w:r>
      <w:r w:rsidRPr="00976BFF">
        <w:rPr>
          <w:color w:val="000000"/>
          <w:lang w:val="es-ES_tradnl"/>
        </w:rPr>
        <w:t xml:space="preserve">eraciones. Como parte del apoyo a la ejecución, el Banco Mundial examinará la ejecución del </w:t>
      </w:r>
      <w:r w:rsidR="00650A31">
        <w:rPr>
          <w:color w:val="000000"/>
          <w:lang w:val="es-ES_tradnl"/>
        </w:rPr>
        <w:t>programa</w:t>
      </w:r>
      <w:r w:rsidRPr="00976BFF">
        <w:rPr>
          <w:color w:val="000000"/>
          <w:lang w:val="es-ES_tradnl"/>
        </w:rPr>
        <w:t xml:space="preserve"> para verificar que no se emprendan actividades de alto riesgo en su marco</w:t>
      </w:r>
      <w:r w:rsidR="0052559E" w:rsidRPr="00976BFF">
        <w:rPr>
          <w:lang w:val="es-ES_tradnl"/>
        </w:rPr>
        <w:t>.</w:t>
      </w:r>
    </w:p>
    <w:p w:rsidR="00A764A2" w:rsidRPr="00976BFF" w:rsidRDefault="00286687" w:rsidP="00EB3076">
      <w:pPr>
        <w:pStyle w:val="Heading3"/>
        <w:rPr>
          <w:lang w:val="es-ES_tradnl"/>
        </w:rPr>
      </w:pPr>
      <w:bookmarkStart w:id="33" w:name="_Toc327539992"/>
      <w:bookmarkStart w:id="34" w:name="_Toc344927171"/>
      <w:r w:rsidRPr="00976BFF">
        <w:rPr>
          <w:lang w:val="es-ES_tradnl"/>
        </w:rPr>
        <w:t>De</w:t>
      </w:r>
      <w:r w:rsidR="000D29E0" w:rsidRPr="00976BFF">
        <w:rPr>
          <w:lang w:val="es-ES_tradnl"/>
        </w:rPr>
        <w:t xml:space="preserve">scripción detallada de la </w:t>
      </w:r>
      <w:r w:rsidR="009801A1" w:rsidRPr="00976BFF">
        <w:rPr>
          <w:lang w:val="es-ES_tradnl"/>
        </w:rPr>
        <w:t xml:space="preserve">tipología de las actividades incluidas en el </w:t>
      </w:r>
      <w:bookmarkEnd w:id="33"/>
      <w:bookmarkEnd w:id="34"/>
      <w:r w:rsidR="00650A31">
        <w:rPr>
          <w:lang w:val="es-ES_tradnl"/>
        </w:rPr>
        <w:t>programa</w:t>
      </w:r>
    </w:p>
    <w:p w:rsidR="0007594F" w:rsidRPr="00976BFF" w:rsidRDefault="009801A1" w:rsidP="00EB3076">
      <w:pPr>
        <w:pStyle w:val="Annexmain"/>
        <w:ind w:firstLine="0"/>
        <w:rPr>
          <w:lang w:val="es-ES_tradnl"/>
        </w:rPr>
      </w:pPr>
      <w:r w:rsidRPr="00976BFF">
        <w:rPr>
          <w:lang w:val="es-ES_tradnl"/>
        </w:rPr>
        <w:t xml:space="preserve">Las actividades incluidas en el </w:t>
      </w:r>
      <w:r w:rsidR="00650A31">
        <w:rPr>
          <w:lang w:val="es-ES_tradnl"/>
        </w:rPr>
        <w:t>programa</w:t>
      </w:r>
      <w:r w:rsidRPr="00976BFF">
        <w:rPr>
          <w:lang w:val="es-ES_tradnl"/>
        </w:rPr>
        <w:t xml:space="preserve"> están relacionadas con obras en la red vial nacional (aproximadamente </w:t>
      </w:r>
      <w:r w:rsidR="003D6DF4" w:rsidRPr="00976BFF">
        <w:rPr>
          <w:lang w:val="es-ES_tradnl"/>
        </w:rPr>
        <w:t>8</w:t>
      </w:r>
      <w:r w:rsidR="000B4D4D" w:rsidRPr="00976BFF">
        <w:rPr>
          <w:lang w:val="es-ES_tradnl"/>
        </w:rPr>
        <w:t>875</w:t>
      </w:r>
      <w:r w:rsidR="003D6DF4" w:rsidRPr="00976BFF">
        <w:rPr>
          <w:lang w:val="es-ES_tradnl"/>
        </w:rPr>
        <w:t xml:space="preserve"> </w:t>
      </w:r>
      <w:r w:rsidR="001F6651">
        <w:rPr>
          <w:lang w:val="es-ES_tradnl"/>
        </w:rPr>
        <w:t>kilómetros</w:t>
      </w:r>
      <w:r w:rsidR="003D6DF4" w:rsidRPr="00976BFF">
        <w:rPr>
          <w:lang w:val="es-ES_tradnl"/>
        </w:rPr>
        <w:t xml:space="preserve">). </w:t>
      </w:r>
      <w:r w:rsidRPr="00976BFF">
        <w:rPr>
          <w:lang w:val="es-ES_tradnl"/>
        </w:rPr>
        <w:t>En consecuencia</w:t>
      </w:r>
      <w:r w:rsidR="00286687" w:rsidRPr="00976BFF">
        <w:rPr>
          <w:lang w:val="es-ES_tradnl"/>
        </w:rPr>
        <w:t xml:space="preserve">: i) </w:t>
      </w:r>
      <w:r w:rsidRPr="00976BFF">
        <w:rPr>
          <w:lang w:val="es-ES_tradnl"/>
        </w:rPr>
        <w:t xml:space="preserve">geográficamente, el </w:t>
      </w:r>
      <w:r w:rsidR="00650A31">
        <w:rPr>
          <w:lang w:val="es-ES_tradnl"/>
        </w:rPr>
        <w:t>programa</w:t>
      </w:r>
      <w:r w:rsidRPr="00976BFF">
        <w:rPr>
          <w:lang w:val="es-ES_tradnl"/>
        </w:rPr>
        <w:t xml:space="preserve"> abarca todo el territorio de Uruguay (véase el mapa de la red vial nacional en el anexo </w:t>
      </w:r>
      <w:r w:rsidR="00240EFC" w:rsidRPr="00976BFF">
        <w:rPr>
          <w:lang w:val="es-ES_tradnl"/>
        </w:rPr>
        <w:t>10</w:t>
      </w:r>
      <w:r w:rsidR="00286687" w:rsidRPr="00976BFF">
        <w:rPr>
          <w:lang w:val="es-ES_tradnl"/>
        </w:rPr>
        <w:t xml:space="preserve">) </w:t>
      </w:r>
      <w:r w:rsidRPr="00976BFF">
        <w:rPr>
          <w:lang w:val="es-ES_tradnl"/>
        </w:rPr>
        <w:t xml:space="preserve">y </w:t>
      </w:r>
      <w:r w:rsidR="00286687" w:rsidRPr="00976BFF">
        <w:rPr>
          <w:lang w:val="es-ES_tradnl"/>
        </w:rPr>
        <w:t>ii)</w:t>
      </w:r>
      <w:r w:rsidR="000D0698" w:rsidRPr="00976BFF">
        <w:rPr>
          <w:lang w:val="es-ES_tradnl"/>
        </w:rPr>
        <w:t xml:space="preserve"> </w:t>
      </w:r>
      <w:r w:rsidRPr="00976BFF">
        <w:rPr>
          <w:lang w:val="es-ES_tradnl"/>
        </w:rPr>
        <w:t xml:space="preserve">el </w:t>
      </w:r>
      <w:r w:rsidR="00650A31">
        <w:rPr>
          <w:lang w:val="es-ES_tradnl"/>
        </w:rPr>
        <w:t>programa</w:t>
      </w:r>
      <w:r w:rsidRPr="00976BFF">
        <w:rPr>
          <w:lang w:val="es-ES_tradnl"/>
        </w:rPr>
        <w:t xml:space="preserve"> no incluye obras en puentes internacionales</w:t>
      </w:r>
      <w:r w:rsidR="00286687" w:rsidRPr="00976BFF">
        <w:rPr>
          <w:lang w:val="es-ES_tradnl"/>
        </w:rPr>
        <w:t>.</w:t>
      </w:r>
    </w:p>
    <w:p w:rsidR="00A764A2" w:rsidRPr="00976BFF" w:rsidRDefault="009801A1" w:rsidP="00EB3076">
      <w:pPr>
        <w:pStyle w:val="Heading4"/>
        <w:rPr>
          <w:lang w:val="es-ES_tradnl"/>
        </w:rPr>
      </w:pPr>
      <w:r w:rsidRPr="00976BFF">
        <w:rPr>
          <w:lang w:val="es-ES_tradnl"/>
        </w:rPr>
        <w:t>Obras de rehabilitación y mantenimiento vial</w:t>
      </w:r>
      <w:r w:rsidR="00C41F5D" w:rsidRPr="00976BFF">
        <w:rPr>
          <w:lang w:val="es-ES_tradnl"/>
        </w:rPr>
        <w:t xml:space="preserve"> </w:t>
      </w:r>
    </w:p>
    <w:p w:rsidR="0007594F" w:rsidRPr="00976BFF" w:rsidRDefault="00AC47E0" w:rsidP="00EB3076">
      <w:pPr>
        <w:pStyle w:val="Annexmain"/>
        <w:ind w:firstLine="0"/>
        <w:rPr>
          <w:lang w:val="es-ES_tradnl"/>
        </w:rPr>
      </w:pPr>
      <w:r w:rsidRPr="00976BFF">
        <w:rPr>
          <w:lang w:val="es-ES_tradnl"/>
        </w:rPr>
        <w:t>Dependi</w:t>
      </w:r>
      <w:r w:rsidR="00CC276E" w:rsidRPr="00976BFF">
        <w:rPr>
          <w:lang w:val="es-ES_tradnl"/>
        </w:rPr>
        <w:t xml:space="preserve">endo de las características iniciales, el deterioro y el tráfico de la carretera, estos contratos pueden incluir, como parte de las actividades de rehabilitación: i) la rehabilitación del pavimento, en tramos que han llegado o superado el límite de vida útil, </w:t>
      </w:r>
      <w:r w:rsidR="00C30152" w:rsidRPr="00976BFF">
        <w:rPr>
          <w:lang w:val="es-ES_tradnl"/>
        </w:rPr>
        <w:t xml:space="preserve">mediante técnicas apropiadas que abarcan desde reparaciones locales, </w:t>
      </w:r>
      <w:r w:rsidR="00512857" w:rsidRPr="00976BFF">
        <w:rPr>
          <w:lang w:val="es-ES_tradnl"/>
        </w:rPr>
        <w:t xml:space="preserve">eventual remodelación y recubrimiento con tratamiento superficial o cemento asfáltico, </w:t>
      </w:r>
      <w:r w:rsidR="002875BC">
        <w:rPr>
          <w:lang w:val="es-ES_tradnl"/>
        </w:rPr>
        <w:t>hasta su total</w:t>
      </w:r>
      <w:r w:rsidR="00512857" w:rsidRPr="00976BFF">
        <w:rPr>
          <w:lang w:val="es-ES_tradnl"/>
        </w:rPr>
        <w:t xml:space="preserve"> reconstrucción; ii) la renovación de la superficie de tramos que de otro modo llegaría muy pronto a un nivel de deterioro </w:t>
      </w:r>
      <w:r w:rsidR="00C61C8D" w:rsidRPr="00976BFF">
        <w:rPr>
          <w:lang w:val="es-ES_tradnl"/>
        </w:rPr>
        <w:t xml:space="preserve">que requiere amplia rehabilitación, a través de lechadas bituminosas apropiadas, tratamiento superficial o técnicas de recubrimiento con cemento asfáltico, dependiendo de los niveles de tráfico y la disponibilidad de materiales; iii) la rehabilitación o pavimentación de banquinas para proteger su superficie de la erosión y mejorar la seguridad vial y las </w:t>
      </w:r>
      <w:r w:rsidR="004F765C" w:rsidRPr="00976BFF">
        <w:rPr>
          <w:lang w:val="es-ES_tradnl"/>
        </w:rPr>
        <w:t>condiciones de circulación; iv) la reparación y, en caso de ser necesario, el mejoramiento de los sistemas de drenaje, y v) la rehabilitación y el mantenimiento de la señalización vial tanto vertical como horizontal</w:t>
      </w:r>
      <w:r w:rsidR="003D6DF4" w:rsidRPr="00976BFF">
        <w:rPr>
          <w:lang w:val="es-ES_tradnl"/>
        </w:rPr>
        <w:t>.</w:t>
      </w:r>
    </w:p>
    <w:p w:rsidR="0007594F" w:rsidRPr="00976BFF" w:rsidRDefault="00BF31CE" w:rsidP="00EB3076">
      <w:pPr>
        <w:pStyle w:val="Annexmain"/>
        <w:ind w:firstLine="0"/>
        <w:rPr>
          <w:lang w:val="es-ES_tradnl"/>
        </w:rPr>
      </w:pPr>
      <w:r w:rsidRPr="00976BFF">
        <w:rPr>
          <w:lang w:val="es-ES_tradnl"/>
        </w:rPr>
        <w:t>Según sea necesario, generalmente por razones de seguridad vial, la rehabilitación vial también incluye el mejoramiento localizado de las características de alineamiento de la carretera; en esos casos, las obras incluyen habitualmente: la rectificación de curvas y mejoras del diseño de las intersecciones. En algunos casos, es posible que sea necesario ensanchar algunos tramos de la carretera</w:t>
      </w:r>
      <w:r w:rsidR="002875BC">
        <w:rPr>
          <w:lang w:val="es-ES_tradnl"/>
        </w:rPr>
        <w:t xml:space="preserve"> local</w:t>
      </w:r>
      <w:r w:rsidRPr="00976BFF">
        <w:rPr>
          <w:lang w:val="es-ES_tradnl"/>
        </w:rPr>
        <w:t xml:space="preserve"> (por ejemplo, banquinas, tercer carril</w:t>
      </w:r>
      <w:r w:rsidR="003D6DF4" w:rsidRPr="00976BFF">
        <w:rPr>
          <w:lang w:val="es-ES_tradnl"/>
        </w:rPr>
        <w:t>).</w:t>
      </w:r>
    </w:p>
    <w:p w:rsidR="0007594F" w:rsidRPr="00976BFF" w:rsidRDefault="00BF31CE" w:rsidP="00EB3076">
      <w:pPr>
        <w:pStyle w:val="Annexmain"/>
        <w:ind w:firstLine="0"/>
        <w:rPr>
          <w:lang w:val="es-ES_tradnl"/>
        </w:rPr>
      </w:pPr>
      <w:r w:rsidRPr="00976BFF">
        <w:rPr>
          <w:lang w:val="es-ES_tradnl"/>
        </w:rPr>
        <w:t xml:space="preserve">Dependiendo del estado de la carretera, las actividades de mantenimiento de rutina incluyen: i) la limpieza de las servidumbres de paso; ii) el mantenimiento de rutina del pavimento y las banquinas, por ejemplo reparación de baches en el pavimento, sellado de fisuras y </w:t>
      </w:r>
      <w:r w:rsidR="00DB763F" w:rsidRPr="00976BFF">
        <w:rPr>
          <w:lang w:val="es-ES_tradnl"/>
        </w:rPr>
        <w:t xml:space="preserve">reparación de bordes; iii) </w:t>
      </w:r>
      <w:r w:rsidR="003E1015" w:rsidRPr="00976BFF">
        <w:rPr>
          <w:lang w:val="es-ES_tradnl"/>
        </w:rPr>
        <w:t xml:space="preserve">según sea necesario, la rehabilitación del pavimento liviano con cemento de microasfalto o tratamiento superficial; </w:t>
      </w:r>
      <w:r w:rsidR="000D4DD2" w:rsidRPr="00976BFF">
        <w:rPr>
          <w:lang w:val="es-ES_tradnl"/>
        </w:rPr>
        <w:t xml:space="preserve">iv) </w:t>
      </w:r>
      <w:r w:rsidR="008B6339" w:rsidRPr="00976BFF">
        <w:rPr>
          <w:lang w:val="es-ES_tradnl"/>
        </w:rPr>
        <w:t xml:space="preserve">limpieza y pequeñas reparaciones de </w:t>
      </w:r>
      <w:r w:rsidR="000D4DD2" w:rsidRPr="00976BFF">
        <w:rPr>
          <w:lang w:val="es-ES_tradnl"/>
        </w:rPr>
        <w:t>dr</w:t>
      </w:r>
      <w:r w:rsidR="008B6339" w:rsidRPr="00976BFF">
        <w:rPr>
          <w:lang w:val="es-ES_tradnl"/>
        </w:rPr>
        <w:t>enajes; v) mantenimiento de rutina de puentes, y vi) mantenimiento de la señalización vial tanto vertical como horizontal</w:t>
      </w:r>
      <w:r w:rsidR="000D4DD2" w:rsidRPr="00976BFF">
        <w:rPr>
          <w:lang w:val="es-ES_tradnl"/>
        </w:rPr>
        <w:t>.</w:t>
      </w:r>
    </w:p>
    <w:p w:rsidR="0007594F" w:rsidRPr="00976BFF" w:rsidRDefault="00257308" w:rsidP="00EB3076">
      <w:pPr>
        <w:pStyle w:val="Annexmain"/>
        <w:ind w:firstLine="0"/>
        <w:rPr>
          <w:lang w:val="es-ES_tradnl"/>
        </w:rPr>
      </w:pPr>
      <w:r w:rsidRPr="00976BFF">
        <w:rPr>
          <w:lang w:val="es-ES_tradnl"/>
        </w:rPr>
        <w:t>En caso de ser necesario, estos contratos también pueden incluir obras de mantenimiento y rehabilitación de los puentes (véase más abajo) situados dentro de los tramos rehabilitados</w:t>
      </w:r>
      <w:r w:rsidR="00AC47E0" w:rsidRPr="00976BFF">
        <w:rPr>
          <w:lang w:val="es-ES_tradnl"/>
        </w:rPr>
        <w:t>.</w:t>
      </w:r>
    </w:p>
    <w:p w:rsidR="0007594F" w:rsidRPr="00976BFF" w:rsidRDefault="00257308" w:rsidP="00EB3076">
      <w:pPr>
        <w:pStyle w:val="Annexmain"/>
        <w:ind w:firstLine="0"/>
        <w:rPr>
          <w:lang w:val="es-ES_tradnl"/>
        </w:rPr>
      </w:pPr>
      <w:r w:rsidRPr="00976BFF">
        <w:rPr>
          <w:lang w:val="es-ES_tradnl"/>
        </w:rPr>
        <w:t xml:space="preserve">Estos contratos pueden incluir: </w:t>
      </w:r>
      <w:r w:rsidR="006D08C1" w:rsidRPr="00976BFF">
        <w:rPr>
          <w:lang w:val="es-ES_tradnl"/>
        </w:rPr>
        <w:t>i) contratos a pagar sobre la base de listas de cantidades</w:t>
      </w:r>
      <w:r w:rsidR="00A755BB">
        <w:rPr>
          <w:lang w:val="es-ES_tradnl"/>
        </w:rPr>
        <w:t>,</w:t>
      </w:r>
      <w:r w:rsidR="00A755BB" w:rsidRPr="00976BFF">
        <w:rPr>
          <w:lang w:val="es-ES_tradnl"/>
        </w:rPr>
        <w:t xml:space="preserve"> </w:t>
      </w:r>
      <w:r w:rsidR="00A755BB">
        <w:rPr>
          <w:lang w:val="es-ES_tradnl"/>
        </w:rPr>
        <w:t xml:space="preserve">y </w:t>
      </w:r>
      <w:r w:rsidR="006D08C1" w:rsidRPr="00976BFF">
        <w:rPr>
          <w:lang w:val="es-ES_tradnl"/>
        </w:rPr>
        <w:t>ii) contratos basados en el desempeño (una parte del pago se basa en un nivel mínimo de servicio garantizado</w:t>
      </w:r>
      <w:r w:rsidR="000D4DD2" w:rsidRPr="00976BFF">
        <w:rPr>
          <w:lang w:val="es-ES_tradnl"/>
        </w:rPr>
        <w:t>).</w:t>
      </w:r>
    </w:p>
    <w:p w:rsidR="0007594F" w:rsidRPr="00976BFF" w:rsidRDefault="006D08C1" w:rsidP="00EB3076">
      <w:pPr>
        <w:pStyle w:val="Annexmain"/>
        <w:ind w:firstLine="0"/>
        <w:rPr>
          <w:lang w:val="es-ES_tradnl"/>
        </w:rPr>
      </w:pPr>
      <w:r w:rsidRPr="00976BFF">
        <w:rPr>
          <w:lang w:val="es-ES_tradnl"/>
        </w:rPr>
        <w:t>La DNV del MTOP se encarga de algunas actividades de mantenimiento vial en alrededor del 60% de la red vial nacional. Estas actividades son sencillas (principalmente mantenimiento de rutina) y se realizan con el personal, los equipos y los materiales de la DNV. El mantenimiento vial que realiza la DNV ocasiona varios gastos, entre ellos</w:t>
      </w:r>
      <w:r w:rsidR="00832551" w:rsidRPr="00976BFF">
        <w:rPr>
          <w:lang w:val="es-ES_tradnl"/>
        </w:rPr>
        <w:t>:</w:t>
      </w:r>
    </w:p>
    <w:p w:rsidR="0007594F" w:rsidRPr="00976BFF" w:rsidRDefault="00A755BB" w:rsidP="00625FB3">
      <w:pPr>
        <w:pStyle w:val="Bullet"/>
        <w:rPr>
          <w:lang w:val="es-ES_tradnl"/>
        </w:rPr>
      </w:pPr>
      <w:r>
        <w:rPr>
          <w:lang w:val="es-ES_tradnl"/>
        </w:rPr>
        <w:t>l</w:t>
      </w:r>
      <w:r w:rsidRPr="00976BFF">
        <w:rPr>
          <w:lang w:val="es-ES_tradnl"/>
        </w:rPr>
        <w:t xml:space="preserve">os </w:t>
      </w:r>
      <w:r w:rsidR="006D08C1" w:rsidRPr="00976BFF">
        <w:rPr>
          <w:lang w:val="es-ES_tradnl"/>
        </w:rPr>
        <w:t xml:space="preserve">salarios y las prestaciones sociales del personal de la </w:t>
      </w:r>
      <w:r w:rsidR="009C0703" w:rsidRPr="00976BFF">
        <w:rPr>
          <w:lang w:val="es-ES_tradnl"/>
        </w:rPr>
        <w:t>DNV</w:t>
      </w:r>
      <w:r w:rsidR="00832551" w:rsidRPr="00976BFF">
        <w:rPr>
          <w:lang w:val="es-ES_tradnl"/>
        </w:rPr>
        <w:t>;</w:t>
      </w:r>
    </w:p>
    <w:p w:rsidR="0007594F" w:rsidRPr="00976BFF" w:rsidRDefault="00A755BB" w:rsidP="00625FB3">
      <w:pPr>
        <w:pStyle w:val="Bullet"/>
        <w:rPr>
          <w:lang w:val="es-ES_tradnl"/>
        </w:rPr>
      </w:pPr>
      <w:r>
        <w:rPr>
          <w:lang w:val="es-ES_tradnl"/>
        </w:rPr>
        <w:t>c</w:t>
      </w:r>
      <w:r w:rsidRPr="00976BFF">
        <w:rPr>
          <w:lang w:val="es-ES_tradnl"/>
        </w:rPr>
        <w:t>ombustibles</w:t>
      </w:r>
      <w:r w:rsidR="00832551" w:rsidRPr="00976BFF">
        <w:rPr>
          <w:lang w:val="es-ES_tradnl"/>
        </w:rPr>
        <w:t>, lubricant</w:t>
      </w:r>
      <w:r w:rsidR="006D08C1" w:rsidRPr="00976BFF">
        <w:rPr>
          <w:lang w:val="es-ES_tradnl"/>
        </w:rPr>
        <w:t>e</w:t>
      </w:r>
      <w:r w:rsidR="00832551" w:rsidRPr="00976BFF">
        <w:rPr>
          <w:lang w:val="es-ES_tradnl"/>
        </w:rPr>
        <w:t>s</w:t>
      </w:r>
      <w:r w:rsidR="006D08C1" w:rsidRPr="00976BFF">
        <w:rPr>
          <w:lang w:val="es-ES_tradnl"/>
        </w:rPr>
        <w:t xml:space="preserve"> para la maquinaria de obra civil</w:t>
      </w:r>
      <w:r w:rsidR="00587C1A" w:rsidRPr="00976BFF">
        <w:rPr>
          <w:lang w:val="es-ES_tradnl"/>
        </w:rPr>
        <w:t>;</w:t>
      </w:r>
    </w:p>
    <w:p w:rsidR="0007594F" w:rsidRPr="00976BFF" w:rsidRDefault="00A755BB" w:rsidP="00625FB3">
      <w:pPr>
        <w:pStyle w:val="Bullet"/>
        <w:rPr>
          <w:lang w:val="es-ES_tradnl"/>
        </w:rPr>
      </w:pPr>
      <w:r>
        <w:rPr>
          <w:lang w:val="es-ES_tradnl"/>
        </w:rPr>
        <w:t>h</w:t>
      </w:r>
      <w:r w:rsidRPr="00976BFF">
        <w:rPr>
          <w:lang w:val="es-ES_tradnl"/>
        </w:rPr>
        <w:t>erramientas</w:t>
      </w:r>
      <w:r w:rsidR="00116880" w:rsidRPr="00976BFF">
        <w:rPr>
          <w:lang w:val="es-ES_tradnl"/>
        </w:rPr>
        <w:t>, repuestos, neumáticos y reparaciones para la maquinaria de obra civil</w:t>
      </w:r>
      <w:r w:rsidR="00587C1A" w:rsidRPr="00976BFF">
        <w:rPr>
          <w:lang w:val="es-ES_tradnl"/>
        </w:rPr>
        <w:t>;</w:t>
      </w:r>
    </w:p>
    <w:p w:rsidR="0007594F" w:rsidRPr="00976BFF" w:rsidRDefault="00A755BB" w:rsidP="00625FB3">
      <w:pPr>
        <w:pStyle w:val="Bullet"/>
        <w:rPr>
          <w:lang w:val="es-ES_tradnl"/>
        </w:rPr>
      </w:pPr>
      <w:r>
        <w:rPr>
          <w:lang w:val="es-ES_tradnl"/>
        </w:rPr>
        <w:t>m</w:t>
      </w:r>
      <w:r w:rsidRPr="00976BFF">
        <w:rPr>
          <w:lang w:val="es-ES_tradnl"/>
        </w:rPr>
        <w:t xml:space="preserve">ateriales </w:t>
      </w:r>
      <w:r w:rsidR="00116880" w:rsidRPr="00976BFF">
        <w:rPr>
          <w:lang w:val="es-ES_tradnl"/>
        </w:rPr>
        <w:t>para obras civiles de mantenimiento (</w:t>
      </w:r>
      <w:r w:rsidR="00587C1A" w:rsidRPr="00976BFF">
        <w:rPr>
          <w:lang w:val="es-ES_tradnl"/>
        </w:rPr>
        <w:t>bitumen, grav</w:t>
      </w:r>
      <w:r w:rsidR="00116880" w:rsidRPr="00976BFF">
        <w:rPr>
          <w:lang w:val="es-ES_tradnl"/>
        </w:rPr>
        <w:t>a</w:t>
      </w:r>
      <w:r w:rsidR="00587C1A" w:rsidRPr="00976BFF">
        <w:rPr>
          <w:lang w:val="es-ES_tradnl"/>
        </w:rPr>
        <w:t>).</w:t>
      </w:r>
    </w:p>
    <w:p w:rsidR="00A764A2" w:rsidRPr="00976BFF" w:rsidRDefault="00116880">
      <w:pPr>
        <w:pStyle w:val="Heading4"/>
        <w:rPr>
          <w:lang w:val="es-ES_tradnl"/>
        </w:rPr>
      </w:pPr>
      <w:r w:rsidRPr="00976BFF">
        <w:rPr>
          <w:lang w:val="es-ES_tradnl"/>
        </w:rPr>
        <w:t>Rehabilitación y mantenimiento de puentes</w:t>
      </w:r>
      <w:r w:rsidR="001411F2" w:rsidRPr="00976BFF">
        <w:rPr>
          <w:lang w:val="es-ES_tradnl"/>
        </w:rPr>
        <w:t xml:space="preserve"> </w:t>
      </w:r>
    </w:p>
    <w:p w:rsidR="0007594F" w:rsidRPr="00976BFF" w:rsidRDefault="00155ABC" w:rsidP="00EB3076">
      <w:pPr>
        <w:pStyle w:val="Annexmain"/>
        <w:ind w:firstLine="0"/>
        <w:rPr>
          <w:lang w:val="es-ES_tradnl"/>
        </w:rPr>
      </w:pPr>
      <w:r w:rsidRPr="00976BFF">
        <w:rPr>
          <w:lang w:val="es-ES_tradnl"/>
        </w:rPr>
        <w:t xml:space="preserve">El </w:t>
      </w:r>
      <w:r w:rsidR="00650A31">
        <w:rPr>
          <w:lang w:val="es-ES_tradnl"/>
        </w:rPr>
        <w:t>programa</w:t>
      </w:r>
      <w:r w:rsidRPr="00976BFF">
        <w:rPr>
          <w:lang w:val="es-ES_tradnl"/>
        </w:rPr>
        <w:t xml:space="preserve"> incluye la rehabilitación y el mantenimiento de los puentes situados en las carreteras nacionales de </w:t>
      </w:r>
      <w:r w:rsidR="003D6DF4" w:rsidRPr="00976BFF">
        <w:rPr>
          <w:lang w:val="es-ES_tradnl"/>
        </w:rPr>
        <w:t>Uruguay</w:t>
      </w:r>
      <w:r w:rsidRPr="00976BFF">
        <w:rPr>
          <w:lang w:val="es-ES_tradnl"/>
        </w:rPr>
        <w:t>. Aunque la mayoría de las obras consisten en mantenimiento de rutina de los puentes (por ejemplo, mantenimiento de la superestructura, limpieza de las zonas aledañas), en algunos casos las actividades también incluyen reparaciones más importantes de la estructura: tableros, estribos, pilares y cimientos</w:t>
      </w:r>
      <w:r w:rsidR="003D6DF4" w:rsidRPr="00976BFF">
        <w:rPr>
          <w:lang w:val="es-ES_tradnl"/>
        </w:rPr>
        <w:t>.</w:t>
      </w:r>
    </w:p>
    <w:p w:rsidR="0007594F" w:rsidRPr="00976BFF" w:rsidRDefault="00155ABC" w:rsidP="00EB3076">
      <w:pPr>
        <w:pStyle w:val="Annexmain"/>
        <w:ind w:firstLine="0"/>
        <w:rPr>
          <w:lang w:val="es-ES_tradnl"/>
        </w:rPr>
      </w:pPr>
      <w:r w:rsidRPr="00976BFF">
        <w:rPr>
          <w:lang w:val="es-ES_tradnl"/>
        </w:rPr>
        <w:t xml:space="preserve">El </w:t>
      </w:r>
      <w:r w:rsidR="00650A31">
        <w:rPr>
          <w:lang w:val="es-ES_tradnl"/>
        </w:rPr>
        <w:t>programa</w:t>
      </w:r>
      <w:r w:rsidRPr="00976BFF">
        <w:rPr>
          <w:lang w:val="es-ES_tradnl"/>
        </w:rPr>
        <w:t xml:space="preserve"> también incluye obras para mejorar las características funcionales de los puentes, </w:t>
      </w:r>
      <w:r w:rsidR="002B7595" w:rsidRPr="00976BFF">
        <w:rPr>
          <w:lang w:val="es-ES_tradnl"/>
        </w:rPr>
        <w:t>que entrañan: i) mejorar las características geométricas</w:t>
      </w:r>
      <w:r w:rsidR="00EB5B7F" w:rsidRPr="00976BFF">
        <w:rPr>
          <w:lang w:val="es-ES_tradnl"/>
        </w:rPr>
        <w:t>, generalmente mediante el ensanchamiento del puente, y ii) reforzar la estructura para que pueda soportar mayores cargas estáticas y dinámicas</w:t>
      </w:r>
      <w:r w:rsidR="003D6DF4" w:rsidRPr="00976BFF">
        <w:rPr>
          <w:lang w:val="es-ES_tradnl"/>
        </w:rPr>
        <w:t>.</w:t>
      </w:r>
    </w:p>
    <w:p w:rsidR="00A764A2" w:rsidRPr="00976BFF" w:rsidRDefault="00EB5B7F" w:rsidP="00EB3076">
      <w:pPr>
        <w:pStyle w:val="Heading4"/>
        <w:rPr>
          <w:lang w:val="es-ES_tradnl"/>
        </w:rPr>
      </w:pPr>
      <w:r w:rsidRPr="00976BFF">
        <w:rPr>
          <w:lang w:val="es-ES_tradnl"/>
        </w:rPr>
        <w:t>Reconstrucción de puentes</w:t>
      </w:r>
      <w:r w:rsidR="001411F2" w:rsidRPr="00976BFF">
        <w:rPr>
          <w:lang w:val="es-ES_tradnl"/>
        </w:rPr>
        <w:t xml:space="preserve"> </w:t>
      </w:r>
    </w:p>
    <w:p w:rsidR="0007594F" w:rsidRPr="00976BFF" w:rsidRDefault="00EB5B7F" w:rsidP="00EB3076">
      <w:pPr>
        <w:pStyle w:val="Annexmain"/>
        <w:ind w:firstLine="0"/>
        <w:rPr>
          <w:lang w:val="es-ES_tradnl"/>
        </w:rPr>
      </w:pPr>
      <w:r w:rsidRPr="00976BFF">
        <w:rPr>
          <w:lang w:val="es-ES_tradnl"/>
        </w:rPr>
        <w:t xml:space="preserve">El </w:t>
      </w:r>
      <w:r w:rsidR="00650A31">
        <w:rPr>
          <w:lang w:val="es-ES_tradnl"/>
        </w:rPr>
        <w:t>programa</w:t>
      </w:r>
      <w:r w:rsidRPr="00976BFF">
        <w:rPr>
          <w:lang w:val="es-ES_tradnl"/>
        </w:rPr>
        <w:t xml:space="preserve"> incluye la reconstrucción de puentes cuando</w:t>
      </w:r>
      <w:r w:rsidR="00D35035" w:rsidRPr="00976BFF">
        <w:rPr>
          <w:lang w:val="es-ES_tradnl"/>
        </w:rPr>
        <w:t xml:space="preserve"> por razones técnicas, operativas o económicas</w:t>
      </w:r>
      <w:r w:rsidRPr="00976BFF">
        <w:rPr>
          <w:lang w:val="es-ES_tradnl"/>
        </w:rPr>
        <w:t xml:space="preserve"> esta se considere más adecuada que la rehabilitación o el refuerzo. El puente reconstruido puede situarse en el mismo lugar que el anterior o en sus proximidades.</w:t>
      </w:r>
      <w:r w:rsidR="00D35035" w:rsidRPr="00976BFF">
        <w:rPr>
          <w:lang w:val="es-ES_tradnl"/>
        </w:rPr>
        <w:t xml:space="preserve"> Se pueden modificar las características funcionales de los puentes, como su longitud, el ancho del tablero y el número de vanos o pilares. Las obras también incluyen la construcción o adaptación de los caminos de acceso contiguos</w:t>
      </w:r>
      <w:r w:rsidR="0052559E" w:rsidRPr="00976BFF">
        <w:rPr>
          <w:lang w:val="es-ES_tradnl"/>
        </w:rPr>
        <w:t>.</w:t>
      </w:r>
    </w:p>
    <w:p w:rsidR="00A764A2" w:rsidRPr="00976BFF" w:rsidRDefault="00D35035" w:rsidP="00EB3076">
      <w:pPr>
        <w:pStyle w:val="Heading4"/>
        <w:rPr>
          <w:lang w:val="es-ES_tradnl"/>
        </w:rPr>
      </w:pPr>
      <w:r w:rsidRPr="00976BFF">
        <w:rPr>
          <w:lang w:val="es-ES_tradnl"/>
        </w:rPr>
        <w:t>Actividades de consultoría y asistencia técnica</w:t>
      </w:r>
      <w:r w:rsidR="00A60BBB" w:rsidRPr="00976BFF">
        <w:rPr>
          <w:lang w:val="es-ES_tradnl"/>
        </w:rPr>
        <w:t xml:space="preserve"> </w:t>
      </w:r>
    </w:p>
    <w:p w:rsidR="0007594F" w:rsidRPr="00976BFF" w:rsidRDefault="00D35035" w:rsidP="00EB3076">
      <w:pPr>
        <w:pStyle w:val="Annexmain"/>
        <w:ind w:firstLine="0"/>
        <w:rPr>
          <w:lang w:val="es-ES_tradnl"/>
        </w:rPr>
      </w:pPr>
      <w:r w:rsidRPr="00976BFF">
        <w:rPr>
          <w:lang w:val="es-ES_tradnl"/>
        </w:rPr>
        <w:t xml:space="preserve">El </w:t>
      </w:r>
      <w:r w:rsidR="00650A31">
        <w:rPr>
          <w:lang w:val="es-ES_tradnl"/>
        </w:rPr>
        <w:t>programa</w:t>
      </w:r>
      <w:r w:rsidRPr="00976BFF">
        <w:rPr>
          <w:lang w:val="es-ES_tradnl"/>
        </w:rPr>
        <w:t xml:space="preserve"> incluye todos los servicios técnicos y de consultoría que la</w:t>
      </w:r>
      <w:r w:rsidR="003D6DF4" w:rsidRPr="00976BFF">
        <w:rPr>
          <w:lang w:val="es-ES_tradnl"/>
        </w:rPr>
        <w:t xml:space="preserve"> DNV</w:t>
      </w:r>
      <w:r w:rsidR="00EF4CAF" w:rsidRPr="00976BFF">
        <w:rPr>
          <w:lang w:val="es-ES_tradnl"/>
        </w:rPr>
        <w:t xml:space="preserve">, </w:t>
      </w:r>
      <w:r w:rsidRPr="00976BFF">
        <w:rPr>
          <w:lang w:val="es-ES_tradnl"/>
        </w:rPr>
        <w:t xml:space="preserve">la </w:t>
      </w:r>
      <w:r w:rsidR="00EF4CAF" w:rsidRPr="00976BFF">
        <w:rPr>
          <w:lang w:val="es-ES_tradnl"/>
        </w:rPr>
        <w:t>DNTop</w:t>
      </w:r>
      <w:r w:rsidR="003D6DF4" w:rsidRPr="00976BFF">
        <w:rPr>
          <w:lang w:val="es-ES_tradnl"/>
        </w:rPr>
        <w:t xml:space="preserve"> </w:t>
      </w:r>
      <w:r w:rsidRPr="00976BFF">
        <w:rPr>
          <w:lang w:val="es-ES_tradnl"/>
        </w:rPr>
        <w:t>y la</w:t>
      </w:r>
      <w:r w:rsidR="00EF4CAF" w:rsidRPr="00976BFF">
        <w:rPr>
          <w:lang w:val="es-ES_tradnl"/>
        </w:rPr>
        <w:t xml:space="preserve"> DINAPLO </w:t>
      </w:r>
      <w:r w:rsidRPr="00976BFF">
        <w:rPr>
          <w:lang w:val="es-ES_tradnl"/>
        </w:rPr>
        <w:t xml:space="preserve">necesitan para llevar a cabo sus misiones, especialmente: </w:t>
      </w:r>
      <w:r w:rsidR="009102E7" w:rsidRPr="00976BFF">
        <w:rPr>
          <w:lang w:val="es-ES_tradnl"/>
        </w:rPr>
        <w:t xml:space="preserve">relevamiento del estado de las carreteras, </w:t>
      </w:r>
      <w:r w:rsidR="002875BC">
        <w:rPr>
          <w:lang w:val="es-ES_tradnl"/>
        </w:rPr>
        <w:t xml:space="preserve">actividades de </w:t>
      </w:r>
      <w:r w:rsidR="009102E7" w:rsidRPr="00976BFF">
        <w:rPr>
          <w:lang w:val="es-ES_tradnl"/>
        </w:rPr>
        <w:t>capacitación y fortalecimiento de la capacidad, estudios de asistencia técnica, contratos para diseño y supervisión de las obras</w:t>
      </w:r>
      <w:r w:rsidR="003D6DF4" w:rsidRPr="00976BFF">
        <w:rPr>
          <w:lang w:val="es-ES_tradnl"/>
        </w:rPr>
        <w:t>.</w:t>
      </w:r>
    </w:p>
    <w:p w:rsidR="00A764A2" w:rsidRPr="00976BFF" w:rsidRDefault="009102E7" w:rsidP="00EB3076">
      <w:pPr>
        <w:pStyle w:val="Heading4"/>
        <w:rPr>
          <w:lang w:val="es-ES_tradnl"/>
        </w:rPr>
      </w:pPr>
      <w:r w:rsidRPr="00976BFF">
        <w:rPr>
          <w:lang w:val="es-ES_tradnl"/>
        </w:rPr>
        <w:t>Seguridad vial</w:t>
      </w:r>
      <w:r w:rsidR="003D6DF4" w:rsidRPr="00976BFF">
        <w:rPr>
          <w:lang w:val="es-ES_tradnl"/>
        </w:rPr>
        <w:t xml:space="preserve"> </w:t>
      </w:r>
    </w:p>
    <w:p w:rsidR="0007594F" w:rsidRPr="00976BFF" w:rsidRDefault="009102E7" w:rsidP="00EB3076">
      <w:pPr>
        <w:pStyle w:val="Annexmain"/>
        <w:ind w:firstLine="0"/>
        <w:rPr>
          <w:lang w:val="es-ES_tradnl"/>
        </w:rPr>
      </w:pPr>
      <w:r w:rsidRPr="00976BFF">
        <w:rPr>
          <w:lang w:val="es-ES_tradnl"/>
        </w:rPr>
        <w:t xml:space="preserve">Las actividades de seguridad vial incluyen, principalmente, obras de señalización </w:t>
      </w:r>
      <w:r w:rsidR="002875BC">
        <w:rPr>
          <w:lang w:val="es-ES_tradnl"/>
        </w:rPr>
        <w:t xml:space="preserve">vial </w:t>
      </w:r>
      <w:r w:rsidRPr="00976BFF">
        <w:rPr>
          <w:lang w:val="es-ES_tradnl"/>
        </w:rPr>
        <w:t xml:space="preserve">horizontal y vertical. El </w:t>
      </w:r>
      <w:r w:rsidR="00650A31">
        <w:rPr>
          <w:lang w:val="es-ES_tradnl"/>
        </w:rPr>
        <w:t>programa</w:t>
      </w:r>
      <w:r w:rsidRPr="00976BFF">
        <w:rPr>
          <w:lang w:val="es-ES_tradnl"/>
        </w:rPr>
        <w:t xml:space="preserve"> también incluye el mantenimiento y desarrollo del alumbrado de carreteras, especialmente en los tramos de mucho tráfico de zonas suburbanas. Por último, el </w:t>
      </w:r>
      <w:r w:rsidR="00650A31">
        <w:rPr>
          <w:lang w:val="es-ES_tradnl"/>
        </w:rPr>
        <w:t>programa</w:t>
      </w:r>
      <w:r w:rsidRPr="00976BFF">
        <w:rPr>
          <w:lang w:val="es-ES_tradnl"/>
        </w:rPr>
        <w:t xml:space="preserve"> incluye la instalación y el mantenimiento de equipos para garantizar la seguridad vial, entre ellos: guardarraíles, cercas y </w:t>
      </w:r>
      <w:r w:rsidR="009914EF" w:rsidRPr="00976BFF">
        <w:rPr>
          <w:lang w:val="es-ES_tradnl"/>
        </w:rPr>
        <w:t>teléfonos</w:t>
      </w:r>
      <w:r w:rsidRPr="00976BFF">
        <w:rPr>
          <w:lang w:val="es-ES_tradnl"/>
        </w:rPr>
        <w:t xml:space="preserve"> de emergencia a los lados de la carretera</w:t>
      </w:r>
      <w:r w:rsidR="003D6DF4" w:rsidRPr="00976BFF">
        <w:rPr>
          <w:lang w:val="es-ES_tradnl"/>
        </w:rPr>
        <w:t>.</w:t>
      </w:r>
    </w:p>
    <w:p w:rsidR="00A764A2" w:rsidRPr="00976BFF" w:rsidRDefault="007F03FB" w:rsidP="00EB3076">
      <w:pPr>
        <w:pStyle w:val="Heading3"/>
        <w:rPr>
          <w:lang w:val="es-ES_tradnl"/>
        </w:rPr>
      </w:pPr>
      <w:bookmarkStart w:id="35" w:name="_Toc344927172"/>
      <w:r w:rsidRPr="00976BFF">
        <w:rPr>
          <w:lang w:val="es-ES_tradnl"/>
        </w:rPr>
        <w:t xml:space="preserve">Duración del </w:t>
      </w:r>
      <w:bookmarkEnd w:id="35"/>
      <w:r w:rsidR="00650A31">
        <w:rPr>
          <w:lang w:val="es-ES_tradnl"/>
        </w:rPr>
        <w:t>programa</w:t>
      </w:r>
    </w:p>
    <w:p w:rsidR="0007594F" w:rsidRPr="00976BFF" w:rsidRDefault="007F03FB" w:rsidP="00EB3076">
      <w:pPr>
        <w:pStyle w:val="Annexmain"/>
        <w:ind w:firstLine="0"/>
        <w:rPr>
          <w:lang w:val="es-ES_tradnl"/>
        </w:rPr>
      </w:pPr>
      <w:r w:rsidRPr="00976BFF">
        <w:rPr>
          <w:lang w:val="es-ES_tradnl"/>
        </w:rPr>
        <w:t xml:space="preserve">Se </w:t>
      </w:r>
      <w:r w:rsidR="00D05A7C">
        <w:rPr>
          <w:lang w:val="es-ES_tradnl"/>
        </w:rPr>
        <w:t>estima</w:t>
      </w:r>
      <w:r w:rsidRPr="00976BFF">
        <w:rPr>
          <w:lang w:val="es-ES_tradnl"/>
        </w:rPr>
        <w:t xml:space="preserve"> que el </w:t>
      </w:r>
      <w:r w:rsidR="00650A31">
        <w:rPr>
          <w:lang w:val="es-ES_tradnl"/>
        </w:rPr>
        <w:t>programa</w:t>
      </w:r>
      <w:r w:rsidRPr="00976BFF">
        <w:rPr>
          <w:lang w:val="es-ES_tradnl"/>
        </w:rPr>
        <w:t xml:space="preserve"> tendrá una duración de tres años, que abarcan los años civiles de </w:t>
      </w:r>
      <w:r w:rsidR="003D6DF4" w:rsidRPr="00976BFF">
        <w:rPr>
          <w:lang w:val="es-ES_tradnl"/>
        </w:rPr>
        <w:t>201</w:t>
      </w:r>
      <w:r w:rsidR="0052559E" w:rsidRPr="00976BFF">
        <w:rPr>
          <w:lang w:val="es-ES_tradnl"/>
        </w:rPr>
        <w:t>3</w:t>
      </w:r>
      <w:r w:rsidR="003D6DF4" w:rsidRPr="00976BFF">
        <w:rPr>
          <w:lang w:val="es-ES_tradnl"/>
        </w:rPr>
        <w:t xml:space="preserve">-15. </w:t>
      </w:r>
      <w:r w:rsidRPr="00976BFF">
        <w:rPr>
          <w:lang w:val="es-ES_tradnl"/>
        </w:rPr>
        <w:t xml:space="preserve">Su marco temporal se ajusta parcialmente al de la Ley de Presupuesto quinquenal de Uruguay, que abarca los años civiles de </w:t>
      </w:r>
      <w:r w:rsidR="003D6DF4" w:rsidRPr="00976BFF">
        <w:rPr>
          <w:lang w:val="es-ES_tradnl"/>
        </w:rPr>
        <w:t>2010-14</w:t>
      </w:r>
      <w:r w:rsidRPr="00976BFF">
        <w:rPr>
          <w:lang w:val="es-ES_tradnl"/>
        </w:rPr>
        <w:t xml:space="preserve">. No obstante, </w:t>
      </w:r>
      <w:r w:rsidR="00C41335" w:rsidRPr="00976BFF">
        <w:rPr>
          <w:lang w:val="es-ES_tradnl"/>
        </w:rPr>
        <w:t xml:space="preserve">en el país es costumbre que el presupuesto del primer año de una Ley de Presupuesto plurianual sea idéntico al del último año de la Ley de Presupuesto anterior; por lo tanto, existe previsibilidad más allá de la Ley de Presupuesto en vigor. Los presupuestos de la DNV para el </w:t>
      </w:r>
      <w:r w:rsidR="00D05A7C">
        <w:rPr>
          <w:lang w:val="es-ES_tradnl"/>
        </w:rPr>
        <w:t>año fiscal</w:t>
      </w:r>
      <w:r w:rsidR="00C41335" w:rsidRPr="00976BFF">
        <w:rPr>
          <w:lang w:val="es-ES_tradnl"/>
        </w:rPr>
        <w:t xml:space="preserve"> 2014 y el </w:t>
      </w:r>
      <w:r w:rsidR="00D05A7C">
        <w:rPr>
          <w:lang w:val="es-ES_tradnl"/>
        </w:rPr>
        <w:t>año fiscal</w:t>
      </w:r>
      <w:r w:rsidR="00C41335" w:rsidRPr="00976BFF">
        <w:rPr>
          <w:lang w:val="es-ES_tradnl"/>
        </w:rPr>
        <w:t xml:space="preserve"> 2015 son iguales (aunque los gastos previstos son diferentes, como se estableció durante la evaluación inicial del </w:t>
      </w:r>
      <w:r w:rsidR="00650A31">
        <w:rPr>
          <w:lang w:val="es-ES_tradnl"/>
        </w:rPr>
        <w:t>programa</w:t>
      </w:r>
      <w:r w:rsidR="00124117" w:rsidRPr="00976BFF">
        <w:rPr>
          <w:lang w:val="es-ES_tradnl"/>
        </w:rPr>
        <w:t>)</w:t>
      </w:r>
      <w:r w:rsidR="003D6DF4" w:rsidRPr="00976BFF">
        <w:rPr>
          <w:lang w:val="es-ES_tradnl"/>
        </w:rPr>
        <w:t>.</w:t>
      </w:r>
    </w:p>
    <w:p w:rsidR="00A764A2" w:rsidRPr="00976BFF" w:rsidRDefault="00C41335" w:rsidP="00EB3076">
      <w:pPr>
        <w:pStyle w:val="Heading3"/>
        <w:rPr>
          <w:lang w:val="es-ES_tradnl"/>
        </w:rPr>
      </w:pPr>
      <w:bookmarkStart w:id="36" w:name="_Toc327539994"/>
      <w:bookmarkStart w:id="37" w:name="_Toc344927173"/>
      <w:r w:rsidRPr="00976BFF">
        <w:rPr>
          <w:lang w:val="es-ES_tradnl"/>
        </w:rPr>
        <w:t xml:space="preserve">Costo del </w:t>
      </w:r>
      <w:bookmarkEnd w:id="36"/>
      <w:bookmarkEnd w:id="37"/>
      <w:r w:rsidR="00650A31">
        <w:rPr>
          <w:lang w:val="es-ES_tradnl"/>
        </w:rPr>
        <w:t>programa</w:t>
      </w:r>
    </w:p>
    <w:p w:rsidR="0007594F" w:rsidRPr="00976BFF" w:rsidRDefault="00C41335" w:rsidP="000B5989">
      <w:pPr>
        <w:pStyle w:val="Annexmain"/>
        <w:ind w:left="357" w:firstLine="0"/>
        <w:rPr>
          <w:lang w:val="es-ES_tradnl"/>
        </w:rPr>
      </w:pPr>
      <w:r w:rsidRPr="00976BFF">
        <w:rPr>
          <w:lang w:val="es-ES_tradnl"/>
        </w:rPr>
        <w:t xml:space="preserve">El </w:t>
      </w:r>
      <w:r w:rsidR="00650A31">
        <w:rPr>
          <w:lang w:val="es-ES_tradnl"/>
        </w:rPr>
        <w:t>programa</w:t>
      </w:r>
      <w:r w:rsidRPr="00976BFF">
        <w:rPr>
          <w:lang w:val="es-ES_tradnl"/>
        </w:rPr>
        <w:t xml:space="preserve"> tiene un costo total estimado equivalente a US$510,0 millones</w:t>
      </w:r>
      <w:r w:rsidR="003D6DF4" w:rsidRPr="00976BFF">
        <w:rPr>
          <w:lang w:val="es-ES_tradnl"/>
        </w:rPr>
        <w:t xml:space="preserve">. </w:t>
      </w:r>
      <w:r w:rsidRPr="00976BFF">
        <w:rPr>
          <w:lang w:val="es-ES_tradnl"/>
        </w:rPr>
        <w:t xml:space="preserve">En el siguiente cuadro se indican los gastos planificados para los tres años de ejecución, teniendo en cuenta los topes </w:t>
      </w:r>
      <w:r w:rsidR="00D05A7C" w:rsidRPr="00976BFF">
        <w:rPr>
          <w:lang w:val="es-ES_tradnl"/>
        </w:rPr>
        <w:t>previsto</w:t>
      </w:r>
      <w:r w:rsidR="00D05A7C">
        <w:rPr>
          <w:lang w:val="es-ES_tradnl"/>
        </w:rPr>
        <w:t>s</w:t>
      </w:r>
      <w:r w:rsidR="00D05A7C" w:rsidRPr="00976BFF">
        <w:rPr>
          <w:lang w:val="es-ES_tradnl"/>
        </w:rPr>
        <w:t xml:space="preserve"> </w:t>
      </w:r>
      <w:r w:rsidRPr="00976BFF">
        <w:rPr>
          <w:lang w:val="es-ES_tradnl"/>
        </w:rPr>
        <w:t>del gasto disponible</w:t>
      </w:r>
      <w:r w:rsidR="002658FA" w:rsidRPr="00976BFF">
        <w:rPr>
          <w:lang w:val="es-ES_tradnl"/>
        </w:rPr>
        <w:t xml:space="preserve"> </w:t>
      </w:r>
      <w:r w:rsidRPr="00976BFF">
        <w:rPr>
          <w:lang w:val="es-ES_tradnl"/>
        </w:rPr>
        <w:t>y la contratación/avance de las obras.</w:t>
      </w:r>
    </w:p>
    <w:p w:rsidR="00EF4CAF" w:rsidRPr="00976BFF" w:rsidRDefault="00EF4CAF" w:rsidP="00766354">
      <w:pPr>
        <w:autoSpaceDE w:val="0"/>
        <w:autoSpaceDN w:val="0"/>
        <w:adjustRightInd w:val="0"/>
        <w:spacing w:after="120"/>
        <w:rPr>
          <w:rFonts w:ascii="Times New Roman" w:hAnsi="Times New Roman" w:cs="Times New Roman"/>
          <w:b/>
          <w:color w:val="000000"/>
          <w:lang w:val="es-ES_tradnl"/>
        </w:rPr>
      </w:pPr>
    </w:p>
    <w:p w:rsidR="003D6DF4" w:rsidRPr="00976BFF" w:rsidRDefault="00275692" w:rsidP="003D6DF4">
      <w:pPr>
        <w:autoSpaceDE w:val="0"/>
        <w:autoSpaceDN w:val="0"/>
        <w:adjustRightInd w:val="0"/>
        <w:spacing w:after="120"/>
        <w:ind w:left="360"/>
        <w:jc w:val="center"/>
        <w:rPr>
          <w:rFonts w:ascii="Times New Roman" w:hAnsi="Times New Roman" w:cs="Times New Roman"/>
          <w:b/>
          <w:color w:val="000000"/>
          <w:lang w:val="es-ES_tradnl"/>
        </w:rPr>
      </w:pPr>
      <w:r w:rsidRPr="00976BFF">
        <w:rPr>
          <w:rFonts w:ascii="Times New Roman" w:hAnsi="Times New Roman" w:cs="Times New Roman"/>
          <w:b/>
          <w:color w:val="000000"/>
          <w:lang w:val="es-ES_tradnl"/>
        </w:rPr>
        <w:t xml:space="preserve">Gatos previstos del </w:t>
      </w:r>
      <w:r w:rsidR="00650A31">
        <w:rPr>
          <w:rFonts w:ascii="Times New Roman" w:hAnsi="Times New Roman" w:cs="Times New Roman"/>
          <w:b/>
          <w:color w:val="000000"/>
          <w:lang w:val="es-ES_tradnl"/>
        </w:rPr>
        <w:t>programa</w:t>
      </w:r>
    </w:p>
    <w:tbl>
      <w:tblPr>
        <w:tblW w:w="9374" w:type="dxa"/>
        <w:tblInd w:w="94" w:type="dxa"/>
        <w:tblLayout w:type="fixed"/>
        <w:tblLook w:val="04A0" w:firstRow="1" w:lastRow="0" w:firstColumn="1" w:lastColumn="0" w:noHBand="0" w:noVBand="1"/>
      </w:tblPr>
      <w:tblGrid>
        <w:gridCol w:w="2960"/>
        <w:gridCol w:w="1603"/>
        <w:gridCol w:w="1604"/>
        <w:gridCol w:w="1603"/>
        <w:gridCol w:w="1604"/>
      </w:tblGrid>
      <w:tr w:rsidR="009977E9" w:rsidRPr="00976BFF">
        <w:trPr>
          <w:trHeight w:val="315"/>
        </w:trPr>
        <w:tc>
          <w:tcPr>
            <w:tcW w:w="2960" w:type="dxa"/>
            <w:tcBorders>
              <w:top w:val="single" w:sz="4" w:space="0" w:color="auto"/>
              <w:left w:val="single" w:sz="4" w:space="0" w:color="auto"/>
              <w:bottom w:val="single" w:sz="4" w:space="0" w:color="auto"/>
              <w:right w:val="single" w:sz="4" w:space="0" w:color="auto"/>
            </w:tcBorders>
            <w:shd w:val="clear" w:color="auto" w:fill="auto"/>
            <w:noWrap/>
          </w:tcPr>
          <w:p w:rsidR="009977E9" w:rsidRPr="00976BFF" w:rsidRDefault="009977E9" w:rsidP="001556C4">
            <w:pPr>
              <w:spacing w:after="0" w:line="240" w:lineRule="auto"/>
              <w:jc w:val="center"/>
              <w:rPr>
                <w:rFonts w:ascii="Times New Roman" w:eastAsia="Times New Roman" w:hAnsi="Times New Roman" w:cs="Times New Roman"/>
                <w:i/>
                <w:iCs/>
                <w:color w:val="000000"/>
                <w:lang w:val="es-ES_tradnl"/>
              </w:rPr>
            </w:pPr>
            <w:r w:rsidRPr="00976BFF">
              <w:rPr>
                <w:rFonts w:ascii="Times New Roman" w:eastAsia="Times New Roman" w:hAnsi="Times New Roman" w:cs="Times New Roman"/>
                <w:i/>
                <w:iCs/>
                <w:color w:val="000000"/>
                <w:lang w:val="es-ES_tradnl"/>
              </w:rPr>
              <w:t>US$ (m</w:t>
            </w:r>
            <w:r w:rsidR="00275692" w:rsidRPr="00976BFF">
              <w:rPr>
                <w:rFonts w:ascii="Times New Roman" w:eastAsia="Times New Roman" w:hAnsi="Times New Roman" w:cs="Times New Roman"/>
                <w:i/>
                <w:iCs/>
                <w:color w:val="000000"/>
                <w:lang w:val="es-ES_tradnl"/>
              </w:rPr>
              <w:t>ill</w:t>
            </w:r>
            <w:r w:rsidRPr="00976BFF">
              <w:rPr>
                <w:rFonts w:ascii="Times New Roman" w:eastAsia="Times New Roman" w:hAnsi="Times New Roman" w:cs="Times New Roman"/>
                <w:i/>
                <w:iCs/>
                <w:color w:val="000000"/>
                <w:lang w:val="es-ES_tradnl"/>
              </w:rPr>
              <w:t>on</w:t>
            </w:r>
            <w:r w:rsidR="00275692" w:rsidRPr="00976BFF">
              <w:rPr>
                <w:rFonts w:ascii="Times New Roman" w:eastAsia="Times New Roman" w:hAnsi="Times New Roman" w:cs="Times New Roman"/>
                <w:i/>
                <w:iCs/>
                <w:color w:val="000000"/>
                <w:lang w:val="es-ES_tradnl"/>
              </w:rPr>
              <w:t>es</w:t>
            </w:r>
            <w:r w:rsidRPr="00976BFF">
              <w:rPr>
                <w:rFonts w:ascii="Times New Roman" w:eastAsia="Times New Roman" w:hAnsi="Times New Roman" w:cs="Times New Roman"/>
                <w:i/>
                <w:iCs/>
                <w:color w:val="000000"/>
                <w:lang w:val="es-ES_tradnl"/>
              </w:rPr>
              <w:t>)</w:t>
            </w:r>
          </w:p>
        </w:tc>
        <w:tc>
          <w:tcPr>
            <w:tcW w:w="1603" w:type="dxa"/>
            <w:tcBorders>
              <w:top w:val="single" w:sz="4" w:space="0" w:color="auto"/>
              <w:left w:val="nil"/>
              <w:bottom w:val="single" w:sz="4" w:space="0" w:color="auto"/>
              <w:right w:val="single" w:sz="4" w:space="0" w:color="auto"/>
            </w:tcBorders>
            <w:shd w:val="clear" w:color="auto" w:fill="auto"/>
          </w:tcPr>
          <w:p w:rsidR="009977E9" w:rsidRPr="00976BFF" w:rsidRDefault="00D05A7C" w:rsidP="0027569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Año fiscal</w:t>
            </w:r>
            <w:r w:rsidR="00275692" w:rsidRPr="00976BFF">
              <w:rPr>
                <w:rFonts w:ascii="Times New Roman" w:eastAsia="Times New Roman" w:hAnsi="Times New Roman" w:cs="Times New Roman"/>
                <w:b/>
                <w:bCs/>
                <w:color w:val="000000"/>
                <w:lang w:val="es-ES_tradnl"/>
              </w:rPr>
              <w:t xml:space="preserve"> </w:t>
            </w:r>
            <w:r w:rsidR="009977E9" w:rsidRPr="00976BFF">
              <w:rPr>
                <w:rFonts w:ascii="Times New Roman" w:eastAsia="Times New Roman" w:hAnsi="Times New Roman" w:cs="Times New Roman"/>
                <w:b/>
                <w:bCs/>
                <w:color w:val="000000"/>
                <w:lang w:val="es-ES_tradnl"/>
              </w:rPr>
              <w:t>2013</w:t>
            </w:r>
          </w:p>
        </w:tc>
        <w:tc>
          <w:tcPr>
            <w:tcW w:w="1604" w:type="dxa"/>
            <w:tcBorders>
              <w:top w:val="single" w:sz="4" w:space="0" w:color="auto"/>
              <w:left w:val="nil"/>
              <w:bottom w:val="single" w:sz="4" w:space="0" w:color="auto"/>
              <w:right w:val="single" w:sz="4" w:space="0" w:color="auto"/>
            </w:tcBorders>
            <w:shd w:val="clear" w:color="auto" w:fill="auto"/>
          </w:tcPr>
          <w:p w:rsidR="009977E9" w:rsidRPr="00976BFF" w:rsidRDefault="00D05A7C" w:rsidP="00275692">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Año fiscal</w:t>
            </w:r>
            <w:r w:rsidR="00275692" w:rsidRPr="00976BFF">
              <w:rPr>
                <w:rFonts w:ascii="Times New Roman" w:eastAsia="Times New Roman" w:hAnsi="Times New Roman" w:cs="Times New Roman"/>
                <w:b/>
                <w:bCs/>
                <w:color w:val="000000"/>
                <w:lang w:val="es-ES_tradnl"/>
              </w:rPr>
              <w:t xml:space="preserve"> </w:t>
            </w:r>
            <w:r w:rsidR="009977E9" w:rsidRPr="00976BFF">
              <w:rPr>
                <w:rFonts w:ascii="Times New Roman" w:eastAsia="Times New Roman" w:hAnsi="Times New Roman" w:cs="Times New Roman"/>
                <w:b/>
                <w:bCs/>
                <w:color w:val="000000"/>
                <w:lang w:val="es-ES_tradnl"/>
              </w:rPr>
              <w:t>2014</w:t>
            </w:r>
          </w:p>
        </w:tc>
        <w:tc>
          <w:tcPr>
            <w:tcW w:w="1603" w:type="dxa"/>
            <w:tcBorders>
              <w:top w:val="single" w:sz="4" w:space="0" w:color="auto"/>
              <w:left w:val="nil"/>
              <w:bottom w:val="single" w:sz="4" w:space="0" w:color="auto"/>
              <w:right w:val="single" w:sz="4" w:space="0" w:color="auto"/>
            </w:tcBorders>
            <w:shd w:val="clear" w:color="auto" w:fill="auto"/>
          </w:tcPr>
          <w:p w:rsidR="009977E9" w:rsidRPr="00976BFF" w:rsidRDefault="00D05A7C" w:rsidP="001556C4">
            <w:pPr>
              <w:spacing w:after="0" w:line="240" w:lineRule="auto"/>
              <w:jc w:val="center"/>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t>Año fiscal</w:t>
            </w:r>
            <w:r w:rsidR="00275692" w:rsidRPr="00976BFF">
              <w:rPr>
                <w:rFonts w:ascii="Times New Roman" w:eastAsia="Times New Roman" w:hAnsi="Times New Roman" w:cs="Times New Roman"/>
                <w:b/>
                <w:bCs/>
                <w:color w:val="000000"/>
                <w:lang w:val="es-ES_tradnl"/>
              </w:rPr>
              <w:t xml:space="preserve"> </w:t>
            </w:r>
            <w:r w:rsidR="009977E9" w:rsidRPr="00976BFF">
              <w:rPr>
                <w:rFonts w:ascii="Times New Roman" w:eastAsia="Times New Roman" w:hAnsi="Times New Roman" w:cs="Times New Roman"/>
                <w:b/>
                <w:bCs/>
                <w:color w:val="000000"/>
                <w:lang w:val="es-ES_tradnl"/>
              </w:rPr>
              <w:t>2015</w:t>
            </w:r>
          </w:p>
        </w:tc>
        <w:tc>
          <w:tcPr>
            <w:tcW w:w="1604" w:type="dxa"/>
            <w:tcBorders>
              <w:top w:val="single" w:sz="4" w:space="0" w:color="auto"/>
              <w:left w:val="nil"/>
              <w:bottom w:val="single" w:sz="4" w:space="0" w:color="auto"/>
              <w:right w:val="single" w:sz="4" w:space="0" w:color="auto"/>
            </w:tcBorders>
            <w:shd w:val="clear" w:color="auto" w:fill="auto"/>
          </w:tcPr>
          <w:p w:rsidR="009977E9" w:rsidRPr="00976BFF" w:rsidRDefault="009977E9" w:rsidP="001556C4">
            <w:pPr>
              <w:spacing w:after="0" w:line="240" w:lineRule="auto"/>
              <w:jc w:val="center"/>
              <w:rPr>
                <w:rFonts w:ascii="Times New Roman" w:eastAsia="Times New Roman" w:hAnsi="Times New Roman" w:cs="Times New Roman"/>
                <w:b/>
                <w:bCs/>
                <w:color w:val="000000"/>
                <w:lang w:val="es-ES_tradnl"/>
              </w:rPr>
            </w:pPr>
            <w:r w:rsidRPr="00976BFF">
              <w:rPr>
                <w:rFonts w:ascii="Times New Roman" w:eastAsia="Times New Roman" w:hAnsi="Times New Roman" w:cs="Times New Roman"/>
                <w:b/>
                <w:bCs/>
                <w:color w:val="000000"/>
                <w:lang w:val="es-ES_tradnl"/>
              </w:rPr>
              <w:t>TOTAL</w:t>
            </w:r>
          </w:p>
        </w:tc>
      </w:tr>
      <w:tr w:rsidR="004959F5" w:rsidRPr="00976BFF">
        <w:trPr>
          <w:trHeight w:val="315"/>
        </w:trPr>
        <w:tc>
          <w:tcPr>
            <w:tcW w:w="2960" w:type="dxa"/>
            <w:tcBorders>
              <w:top w:val="nil"/>
              <w:left w:val="single" w:sz="4" w:space="0" w:color="auto"/>
              <w:bottom w:val="single" w:sz="4" w:space="0" w:color="auto"/>
              <w:right w:val="single" w:sz="4" w:space="0" w:color="auto"/>
            </w:tcBorders>
            <w:shd w:val="clear" w:color="auto" w:fill="auto"/>
          </w:tcPr>
          <w:p w:rsidR="004959F5" w:rsidRPr="000B5989" w:rsidRDefault="004959F5" w:rsidP="00275692">
            <w:pPr>
              <w:spacing w:after="0" w:line="240" w:lineRule="auto"/>
              <w:jc w:val="both"/>
              <w:rPr>
                <w:rFonts w:ascii="Times New Roman" w:eastAsia="Times New Roman" w:hAnsi="Times New Roman" w:cs="Times New Roman"/>
                <w:iCs/>
                <w:color w:val="000000"/>
                <w:lang w:val="es-ES_tradnl"/>
              </w:rPr>
            </w:pPr>
            <w:r w:rsidRPr="000B5989">
              <w:rPr>
                <w:rFonts w:ascii="Times New Roman" w:eastAsia="Times New Roman" w:hAnsi="Times New Roman" w:cs="Times New Roman"/>
                <w:iCs/>
                <w:color w:val="000000"/>
                <w:lang w:val="es-ES_tradnl"/>
              </w:rPr>
              <w:t>Rehabilita</w:t>
            </w:r>
            <w:r w:rsidR="00275692" w:rsidRPr="000B5989">
              <w:rPr>
                <w:rFonts w:ascii="Times New Roman" w:eastAsia="Times New Roman" w:hAnsi="Times New Roman" w:cs="Times New Roman"/>
                <w:iCs/>
                <w:color w:val="000000"/>
                <w:lang w:val="es-ES_tradnl"/>
              </w:rPr>
              <w:t>ció</w:t>
            </w:r>
            <w:r w:rsidRPr="000B5989">
              <w:rPr>
                <w:rFonts w:ascii="Times New Roman" w:eastAsia="Times New Roman" w:hAnsi="Times New Roman" w:cs="Times New Roman"/>
                <w:iCs/>
                <w:color w:val="000000"/>
                <w:lang w:val="es-ES_tradnl"/>
              </w:rPr>
              <w:t>n</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117</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7</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85</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8</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62</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2</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572633">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265</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3</w:t>
            </w:r>
          </w:p>
        </w:tc>
      </w:tr>
      <w:tr w:rsidR="004959F5" w:rsidRPr="00976BFF">
        <w:trPr>
          <w:trHeight w:val="315"/>
        </w:trPr>
        <w:tc>
          <w:tcPr>
            <w:tcW w:w="2960" w:type="dxa"/>
            <w:tcBorders>
              <w:top w:val="nil"/>
              <w:left w:val="single" w:sz="4" w:space="0" w:color="auto"/>
              <w:bottom w:val="single" w:sz="4" w:space="0" w:color="auto"/>
              <w:right w:val="single" w:sz="4" w:space="0" w:color="auto"/>
            </w:tcBorders>
            <w:shd w:val="clear" w:color="auto" w:fill="auto"/>
          </w:tcPr>
          <w:p w:rsidR="004959F5" w:rsidRPr="000B5989" w:rsidRDefault="00275692" w:rsidP="001556C4">
            <w:pPr>
              <w:spacing w:after="0" w:line="240" w:lineRule="auto"/>
              <w:jc w:val="both"/>
              <w:rPr>
                <w:rFonts w:ascii="Times New Roman" w:eastAsia="Times New Roman" w:hAnsi="Times New Roman" w:cs="Times New Roman"/>
                <w:iCs/>
                <w:color w:val="000000"/>
                <w:lang w:val="es-ES_tradnl"/>
              </w:rPr>
            </w:pPr>
            <w:r w:rsidRPr="000B5989">
              <w:rPr>
                <w:rFonts w:ascii="Times New Roman" w:eastAsia="Times New Roman" w:hAnsi="Times New Roman" w:cs="Times New Roman"/>
                <w:iCs/>
                <w:color w:val="000000"/>
                <w:lang w:val="es-ES_tradnl"/>
              </w:rPr>
              <w:t>Puentes</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7</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0</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3</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4</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0</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0</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10</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4</w:t>
            </w:r>
          </w:p>
        </w:tc>
      </w:tr>
      <w:tr w:rsidR="004959F5" w:rsidRPr="00976BFF">
        <w:trPr>
          <w:trHeight w:val="315"/>
        </w:trPr>
        <w:tc>
          <w:tcPr>
            <w:tcW w:w="2960" w:type="dxa"/>
            <w:tcBorders>
              <w:top w:val="nil"/>
              <w:left w:val="single" w:sz="4" w:space="0" w:color="auto"/>
              <w:bottom w:val="single" w:sz="4" w:space="0" w:color="auto"/>
              <w:right w:val="single" w:sz="4" w:space="0" w:color="auto"/>
            </w:tcBorders>
            <w:shd w:val="clear" w:color="auto" w:fill="auto"/>
          </w:tcPr>
          <w:p w:rsidR="004959F5" w:rsidRPr="000B5989" w:rsidRDefault="004959F5" w:rsidP="00275692">
            <w:pPr>
              <w:spacing w:after="0" w:line="240" w:lineRule="auto"/>
              <w:jc w:val="both"/>
              <w:rPr>
                <w:rFonts w:ascii="Times New Roman" w:eastAsia="Times New Roman" w:hAnsi="Times New Roman" w:cs="Times New Roman"/>
                <w:iCs/>
                <w:color w:val="000000"/>
                <w:lang w:val="es-ES_tradnl"/>
              </w:rPr>
            </w:pPr>
            <w:r w:rsidRPr="000B5989">
              <w:rPr>
                <w:rFonts w:ascii="Times New Roman" w:eastAsia="Times New Roman" w:hAnsi="Times New Roman" w:cs="Times New Roman"/>
                <w:iCs/>
                <w:color w:val="000000"/>
                <w:lang w:val="es-ES_tradnl"/>
              </w:rPr>
              <w:t>Ma</w:t>
            </w:r>
            <w:r w:rsidR="00275692" w:rsidRPr="000B5989">
              <w:rPr>
                <w:rFonts w:ascii="Times New Roman" w:eastAsia="Times New Roman" w:hAnsi="Times New Roman" w:cs="Times New Roman"/>
                <w:iCs/>
                <w:color w:val="000000"/>
                <w:lang w:val="es-ES_tradnl"/>
              </w:rPr>
              <w:t>ntenimiento</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66</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2</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62</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4</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61</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0</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189</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6</w:t>
            </w:r>
          </w:p>
        </w:tc>
      </w:tr>
      <w:tr w:rsidR="004959F5" w:rsidRPr="00976BFF">
        <w:trPr>
          <w:trHeight w:val="315"/>
        </w:trPr>
        <w:tc>
          <w:tcPr>
            <w:tcW w:w="2960" w:type="dxa"/>
            <w:tcBorders>
              <w:top w:val="nil"/>
              <w:left w:val="single" w:sz="4" w:space="0" w:color="auto"/>
              <w:bottom w:val="single" w:sz="4" w:space="0" w:color="auto"/>
              <w:right w:val="single" w:sz="4" w:space="0" w:color="auto"/>
            </w:tcBorders>
            <w:shd w:val="clear" w:color="auto" w:fill="auto"/>
          </w:tcPr>
          <w:p w:rsidR="004959F5" w:rsidRPr="000B5989" w:rsidRDefault="00275692" w:rsidP="001556C4">
            <w:pPr>
              <w:spacing w:after="0" w:line="240" w:lineRule="auto"/>
              <w:jc w:val="both"/>
              <w:rPr>
                <w:rFonts w:ascii="Times New Roman" w:eastAsia="Times New Roman" w:hAnsi="Times New Roman" w:cs="Times New Roman"/>
                <w:iCs/>
                <w:color w:val="000000"/>
                <w:lang w:val="es-ES_tradnl"/>
              </w:rPr>
            </w:pPr>
            <w:r w:rsidRPr="000B5989">
              <w:rPr>
                <w:rFonts w:ascii="Times New Roman" w:eastAsia="Times New Roman" w:hAnsi="Times New Roman" w:cs="Times New Roman"/>
                <w:iCs/>
                <w:color w:val="000000"/>
                <w:lang w:val="es-ES_tradnl"/>
              </w:rPr>
              <w:t>Fortalecimiento institucional</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2</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5</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3</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5</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3</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5</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9</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5</w:t>
            </w:r>
          </w:p>
        </w:tc>
      </w:tr>
      <w:tr w:rsidR="004959F5" w:rsidRPr="00976BFF">
        <w:trPr>
          <w:trHeight w:val="315"/>
        </w:trPr>
        <w:tc>
          <w:tcPr>
            <w:tcW w:w="2960" w:type="dxa"/>
            <w:tcBorders>
              <w:top w:val="nil"/>
              <w:left w:val="single" w:sz="4" w:space="0" w:color="auto"/>
              <w:bottom w:val="single" w:sz="4" w:space="0" w:color="auto"/>
              <w:right w:val="single" w:sz="4" w:space="0" w:color="auto"/>
            </w:tcBorders>
            <w:shd w:val="clear" w:color="auto" w:fill="auto"/>
          </w:tcPr>
          <w:p w:rsidR="004959F5" w:rsidRPr="000B5989" w:rsidRDefault="00275692" w:rsidP="001556C4">
            <w:pPr>
              <w:spacing w:after="0" w:line="240" w:lineRule="auto"/>
              <w:jc w:val="both"/>
              <w:rPr>
                <w:rFonts w:ascii="Times New Roman" w:eastAsia="Times New Roman" w:hAnsi="Times New Roman" w:cs="Times New Roman"/>
                <w:iCs/>
                <w:color w:val="000000"/>
                <w:lang w:val="es-ES_tradnl"/>
              </w:rPr>
            </w:pPr>
            <w:r w:rsidRPr="000B5989">
              <w:rPr>
                <w:rFonts w:ascii="Times New Roman" w:eastAsia="Times New Roman" w:hAnsi="Times New Roman" w:cs="Times New Roman"/>
                <w:iCs/>
                <w:color w:val="000000"/>
                <w:lang w:val="es-ES_tradnl"/>
              </w:rPr>
              <w:t>Seguridad vial</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21</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6</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6</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7</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6</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9</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35</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2</w:t>
            </w:r>
          </w:p>
        </w:tc>
      </w:tr>
      <w:tr w:rsidR="004959F5" w:rsidRPr="00976BFF">
        <w:trPr>
          <w:trHeight w:val="315"/>
        </w:trPr>
        <w:tc>
          <w:tcPr>
            <w:tcW w:w="2960" w:type="dxa"/>
            <w:tcBorders>
              <w:top w:val="nil"/>
              <w:left w:val="single" w:sz="4" w:space="0" w:color="auto"/>
              <w:bottom w:val="single" w:sz="4" w:space="0" w:color="auto"/>
              <w:right w:val="single" w:sz="4" w:space="0" w:color="auto"/>
            </w:tcBorders>
            <w:shd w:val="clear" w:color="auto" w:fill="auto"/>
          </w:tcPr>
          <w:p w:rsidR="004959F5" w:rsidRPr="00976BFF" w:rsidRDefault="004959F5" w:rsidP="001556C4">
            <w:pPr>
              <w:spacing w:after="0" w:line="240" w:lineRule="auto"/>
              <w:jc w:val="right"/>
              <w:rPr>
                <w:rFonts w:ascii="Times New Roman" w:eastAsia="Times New Roman" w:hAnsi="Times New Roman" w:cs="Times New Roman"/>
                <w:b/>
                <w:bCs/>
                <w:color w:val="000000"/>
                <w:lang w:val="es-ES_tradnl"/>
              </w:rPr>
            </w:pPr>
            <w:r w:rsidRPr="00976BFF">
              <w:rPr>
                <w:rFonts w:ascii="Times New Roman" w:eastAsia="Times New Roman" w:hAnsi="Times New Roman" w:cs="Times New Roman"/>
                <w:b/>
                <w:bCs/>
                <w:color w:val="000000"/>
                <w:lang w:val="es-ES_tradnl"/>
              </w:rPr>
              <w:t>TOTAL</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215</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0</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572633">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161</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4</w:t>
            </w:r>
          </w:p>
        </w:tc>
        <w:tc>
          <w:tcPr>
            <w:tcW w:w="1603" w:type="dxa"/>
            <w:tcBorders>
              <w:top w:val="nil"/>
              <w:left w:val="nil"/>
              <w:bottom w:val="single" w:sz="4" w:space="0" w:color="auto"/>
              <w:right w:val="single" w:sz="4" w:space="0" w:color="auto"/>
            </w:tcBorders>
            <w:shd w:val="clear" w:color="auto" w:fill="auto"/>
            <w:noWrap/>
          </w:tcPr>
          <w:p w:rsidR="004959F5" w:rsidRPr="00976BFF" w:rsidRDefault="004959F5" w:rsidP="00572633">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133</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6</w:t>
            </w:r>
          </w:p>
        </w:tc>
        <w:tc>
          <w:tcPr>
            <w:tcW w:w="1604" w:type="dxa"/>
            <w:tcBorders>
              <w:top w:val="nil"/>
              <w:left w:val="nil"/>
              <w:bottom w:val="single" w:sz="4" w:space="0" w:color="auto"/>
              <w:right w:val="single" w:sz="4" w:space="0" w:color="auto"/>
            </w:tcBorders>
            <w:shd w:val="clear" w:color="auto" w:fill="auto"/>
            <w:noWrap/>
          </w:tcPr>
          <w:p w:rsidR="004959F5" w:rsidRPr="00976BFF" w:rsidRDefault="004959F5" w:rsidP="001556C4">
            <w:pPr>
              <w:spacing w:after="0" w:line="240" w:lineRule="auto"/>
              <w:jc w:val="right"/>
              <w:rPr>
                <w:rFonts w:ascii="Times New Roman" w:eastAsia="Times New Roman" w:hAnsi="Times New Roman" w:cs="Times New Roman"/>
                <w:color w:val="000000"/>
                <w:lang w:val="es-ES_tradnl"/>
              </w:rPr>
            </w:pPr>
            <w:r w:rsidRPr="00976BFF">
              <w:rPr>
                <w:rFonts w:ascii="Times New Roman" w:hAnsi="Times New Roman" w:cs="Times New Roman"/>
                <w:color w:val="000000"/>
                <w:lang w:val="es-ES_tradnl"/>
              </w:rPr>
              <w:t>510</w:t>
            </w:r>
            <w:r w:rsidR="00275692" w:rsidRPr="00976BFF">
              <w:rPr>
                <w:rFonts w:ascii="Times New Roman" w:hAnsi="Times New Roman" w:cs="Times New Roman"/>
                <w:color w:val="000000"/>
                <w:lang w:val="es-ES_tradnl"/>
              </w:rPr>
              <w:t>,</w:t>
            </w:r>
            <w:r w:rsidRPr="00976BFF">
              <w:rPr>
                <w:rFonts w:ascii="Times New Roman" w:hAnsi="Times New Roman" w:cs="Times New Roman"/>
                <w:color w:val="000000"/>
                <w:lang w:val="es-ES_tradnl"/>
              </w:rPr>
              <w:t>0</w:t>
            </w:r>
          </w:p>
        </w:tc>
      </w:tr>
    </w:tbl>
    <w:p w:rsidR="00A764A2" w:rsidRPr="00976BFF" w:rsidRDefault="00A764A2">
      <w:pPr>
        <w:rPr>
          <w:lang w:val="es-ES_tradnl"/>
        </w:rPr>
      </w:pPr>
    </w:p>
    <w:p w:rsidR="00B87AA4" w:rsidRPr="00976BFF" w:rsidRDefault="00275692" w:rsidP="000B5989">
      <w:pPr>
        <w:pStyle w:val="Annexmain"/>
        <w:ind w:left="357" w:firstLine="0"/>
        <w:rPr>
          <w:lang w:val="es-ES_tradnl"/>
        </w:rPr>
      </w:pPr>
      <w:r w:rsidRPr="00976BFF">
        <w:rPr>
          <w:lang w:val="es-ES_tradnl"/>
        </w:rPr>
        <w:t xml:space="preserve">Sobre la base de la información disponible en la etapa de evaluación inicial, se prevé que las aportaciones de los asociados en el desarrollo (BIRF, BID y </w:t>
      </w:r>
      <w:r w:rsidR="00BF0E5F" w:rsidRPr="00976BFF">
        <w:rPr>
          <w:lang w:val="es-ES_tradnl"/>
        </w:rPr>
        <w:t xml:space="preserve">FONPLATA) </w:t>
      </w:r>
      <w:r w:rsidRPr="00976BFF">
        <w:rPr>
          <w:lang w:val="es-ES_tradnl"/>
        </w:rPr>
        <w:t xml:space="preserve">al </w:t>
      </w:r>
      <w:r w:rsidR="00650A31">
        <w:rPr>
          <w:lang w:val="es-ES_tradnl"/>
        </w:rPr>
        <w:t>programa</w:t>
      </w:r>
      <w:r w:rsidRPr="00976BFF">
        <w:rPr>
          <w:lang w:val="es-ES_tradnl"/>
        </w:rPr>
        <w:t xml:space="preserve"> se concentrarán principalmente en obras de rehabilitación vial, como se indica en el siguiente cuadro</w:t>
      </w:r>
      <w:r w:rsidR="00BF0E5F" w:rsidRPr="00976BFF">
        <w:rPr>
          <w:lang w:val="es-ES_tradnl"/>
        </w:rPr>
        <w:t>.</w:t>
      </w:r>
    </w:p>
    <w:p w:rsidR="0039661E" w:rsidRPr="00976BFF" w:rsidRDefault="0039661E">
      <w:pPr>
        <w:autoSpaceDE w:val="0"/>
        <w:autoSpaceDN w:val="0"/>
        <w:adjustRightInd w:val="0"/>
        <w:spacing w:after="120"/>
        <w:ind w:left="360"/>
        <w:jc w:val="center"/>
        <w:rPr>
          <w:rFonts w:ascii="Times New Roman" w:hAnsi="Times New Roman" w:cs="Times New Roman"/>
          <w:b/>
          <w:color w:val="000000"/>
          <w:lang w:val="es-ES_tradnl"/>
        </w:rPr>
      </w:pPr>
    </w:p>
    <w:p w:rsidR="00B87AA4" w:rsidRPr="00976BFF" w:rsidRDefault="00275692">
      <w:pPr>
        <w:autoSpaceDE w:val="0"/>
        <w:autoSpaceDN w:val="0"/>
        <w:adjustRightInd w:val="0"/>
        <w:spacing w:after="120"/>
        <w:ind w:left="360"/>
        <w:jc w:val="center"/>
        <w:rPr>
          <w:rFonts w:ascii="Times New Roman" w:hAnsi="Times New Roman" w:cs="Times New Roman"/>
          <w:b/>
          <w:color w:val="000000"/>
          <w:lang w:val="es-ES_tradnl"/>
        </w:rPr>
      </w:pPr>
      <w:r w:rsidRPr="00976BFF">
        <w:rPr>
          <w:rFonts w:ascii="Times New Roman" w:hAnsi="Times New Roman" w:cs="Times New Roman"/>
          <w:b/>
          <w:color w:val="000000"/>
          <w:lang w:val="es-ES_tradnl"/>
        </w:rPr>
        <w:t xml:space="preserve">Aportaciones de los asociados en el desarrollo al </w:t>
      </w:r>
      <w:r w:rsidR="00650A31">
        <w:rPr>
          <w:rFonts w:ascii="Times New Roman" w:hAnsi="Times New Roman" w:cs="Times New Roman"/>
          <w:b/>
          <w:color w:val="000000"/>
          <w:lang w:val="es-ES_tradnl"/>
        </w:rPr>
        <w:t>programa</w:t>
      </w:r>
    </w:p>
    <w:tbl>
      <w:tblPr>
        <w:tblW w:w="9450" w:type="dxa"/>
        <w:tblInd w:w="108" w:type="dxa"/>
        <w:tblLayout w:type="fixed"/>
        <w:tblLook w:val="04A0" w:firstRow="1" w:lastRow="0" w:firstColumn="1" w:lastColumn="0" w:noHBand="0" w:noVBand="1"/>
      </w:tblPr>
      <w:tblGrid>
        <w:gridCol w:w="3330"/>
        <w:gridCol w:w="1530"/>
        <w:gridCol w:w="1350"/>
        <w:gridCol w:w="1890"/>
        <w:gridCol w:w="1350"/>
      </w:tblGrid>
      <w:tr w:rsidR="00BF0E5F" w:rsidRPr="00976BFF">
        <w:trPr>
          <w:trHeight w:val="315"/>
        </w:trPr>
        <w:tc>
          <w:tcPr>
            <w:tcW w:w="3330" w:type="dxa"/>
            <w:tcBorders>
              <w:top w:val="single" w:sz="4" w:space="0" w:color="auto"/>
              <w:left w:val="single" w:sz="4" w:space="0" w:color="auto"/>
              <w:bottom w:val="single" w:sz="4" w:space="0" w:color="auto"/>
              <w:right w:val="single" w:sz="4" w:space="0" w:color="auto"/>
            </w:tcBorders>
            <w:shd w:val="clear" w:color="auto" w:fill="auto"/>
            <w:noWrap/>
          </w:tcPr>
          <w:p w:rsidR="00B87AA4" w:rsidRPr="00976BFF" w:rsidRDefault="00852D76">
            <w:pPr>
              <w:spacing w:after="0" w:line="240" w:lineRule="auto"/>
              <w:rPr>
                <w:rFonts w:ascii="Times New Roman" w:hAnsi="Times New Roman" w:cs="Times New Roman"/>
                <w:i/>
                <w:iCs/>
                <w:lang w:val="es-ES_tradnl"/>
              </w:rPr>
            </w:pPr>
            <w:r w:rsidRPr="00976BFF">
              <w:rPr>
                <w:rFonts w:ascii="Times New Roman" w:hAnsi="Times New Roman" w:cs="Times New Roman"/>
                <w:i/>
                <w:iCs/>
                <w:lang w:val="es-ES_tradnl"/>
              </w:rPr>
              <w:t>US$ (</w:t>
            </w:r>
            <w:r w:rsidR="009914EF" w:rsidRPr="00976BFF">
              <w:rPr>
                <w:rFonts w:ascii="Times New Roman" w:hAnsi="Times New Roman" w:cs="Times New Roman"/>
                <w:i/>
                <w:iCs/>
                <w:lang w:val="es-ES_tradnl"/>
              </w:rPr>
              <w:t>millon</w:t>
            </w:r>
            <w:r w:rsidR="009914EF">
              <w:rPr>
                <w:rFonts w:ascii="Times New Roman" w:hAnsi="Times New Roman" w:cs="Times New Roman"/>
                <w:i/>
                <w:iCs/>
                <w:lang w:val="es-ES_tradnl"/>
              </w:rPr>
              <w:t>es</w:t>
            </w:r>
            <w:r w:rsidRPr="00976BFF">
              <w:rPr>
                <w:rFonts w:ascii="Times New Roman" w:hAnsi="Times New Roman" w:cs="Times New Roman"/>
                <w:i/>
                <w:iCs/>
                <w:lang w:val="es-ES_tradnl"/>
              </w:rPr>
              <w:t>)</w:t>
            </w:r>
          </w:p>
        </w:tc>
        <w:tc>
          <w:tcPr>
            <w:tcW w:w="1530" w:type="dxa"/>
            <w:tcBorders>
              <w:top w:val="single" w:sz="4" w:space="0" w:color="auto"/>
              <w:left w:val="nil"/>
              <w:bottom w:val="single" w:sz="4" w:space="0" w:color="auto"/>
              <w:right w:val="single" w:sz="4" w:space="0" w:color="auto"/>
            </w:tcBorders>
            <w:shd w:val="clear" w:color="auto" w:fill="auto"/>
          </w:tcPr>
          <w:p w:rsidR="00B87AA4" w:rsidRPr="00976BFF" w:rsidRDefault="00852D76" w:rsidP="00275692">
            <w:pPr>
              <w:spacing w:after="0" w:line="240" w:lineRule="auto"/>
              <w:jc w:val="center"/>
              <w:rPr>
                <w:rFonts w:ascii="Times New Roman" w:hAnsi="Times New Roman" w:cs="Times New Roman"/>
                <w:b/>
                <w:bCs/>
                <w:lang w:val="es-ES_tradnl"/>
              </w:rPr>
            </w:pPr>
            <w:r w:rsidRPr="00976BFF">
              <w:rPr>
                <w:rFonts w:ascii="Times New Roman" w:hAnsi="Times New Roman" w:cs="Times New Roman"/>
                <w:b/>
                <w:bCs/>
                <w:lang w:val="es-ES_tradnl"/>
              </w:rPr>
              <w:t>G</w:t>
            </w:r>
            <w:r w:rsidR="00275692" w:rsidRPr="00976BFF">
              <w:rPr>
                <w:rFonts w:ascii="Times New Roman" w:hAnsi="Times New Roman" w:cs="Times New Roman"/>
                <w:b/>
                <w:bCs/>
                <w:lang w:val="es-ES_tradnl"/>
              </w:rPr>
              <w:t xml:space="preserve">ob. de </w:t>
            </w:r>
            <w:r w:rsidRPr="00976BFF">
              <w:rPr>
                <w:rFonts w:ascii="Times New Roman" w:hAnsi="Times New Roman" w:cs="Times New Roman"/>
                <w:b/>
                <w:bCs/>
                <w:lang w:val="es-ES_tradnl"/>
              </w:rPr>
              <w:t>U</w:t>
            </w:r>
            <w:r w:rsidR="00275692" w:rsidRPr="00976BFF">
              <w:rPr>
                <w:rFonts w:ascii="Times New Roman" w:hAnsi="Times New Roman" w:cs="Times New Roman"/>
                <w:b/>
                <w:bCs/>
                <w:lang w:val="es-ES_tradnl"/>
              </w:rPr>
              <w:t xml:space="preserve">ruguay </w:t>
            </w:r>
            <w:r w:rsidRPr="00976BFF">
              <w:rPr>
                <w:rFonts w:ascii="Times New Roman" w:hAnsi="Times New Roman" w:cs="Times New Roman"/>
                <w:b/>
                <w:bCs/>
                <w:lang w:val="es-ES_tradnl"/>
              </w:rPr>
              <w:t>+</w:t>
            </w:r>
            <w:r w:rsidR="00275692" w:rsidRPr="00976BFF">
              <w:rPr>
                <w:rFonts w:ascii="Times New Roman" w:hAnsi="Times New Roman" w:cs="Times New Roman"/>
                <w:b/>
                <w:bCs/>
                <w:lang w:val="es-ES_tradnl"/>
              </w:rPr>
              <w:t xml:space="preserve"> BIRF</w:t>
            </w:r>
          </w:p>
        </w:tc>
        <w:tc>
          <w:tcPr>
            <w:tcW w:w="1350" w:type="dxa"/>
            <w:tcBorders>
              <w:top w:val="single" w:sz="4" w:space="0" w:color="auto"/>
              <w:left w:val="nil"/>
              <w:bottom w:val="single" w:sz="4" w:space="0" w:color="auto"/>
              <w:right w:val="single" w:sz="4" w:space="0" w:color="auto"/>
            </w:tcBorders>
            <w:shd w:val="clear" w:color="auto" w:fill="auto"/>
          </w:tcPr>
          <w:p w:rsidR="00B87AA4" w:rsidRPr="00976BFF" w:rsidRDefault="00275692">
            <w:pPr>
              <w:spacing w:after="0" w:line="240" w:lineRule="auto"/>
              <w:jc w:val="center"/>
              <w:rPr>
                <w:rFonts w:ascii="Times New Roman" w:hAnsi="Times New Roman" w:cs="Times New Roman"/>
                <w:b/>
                <w:bCs/>
                <w:lang w:val="es-ES_tradnl"/>
              </w:rPr>
            </w:pPr>
            <w:r w:rsidRPr="00976BFF">
              <w:rPr>
                <w:rFonts w:ascii="Times New Roman" w:hAnsi="Times New Roman" w:cs="Times New Roman"/>
                <w:b/>
                <w:bCs/>
                <w:lang w:val="es-ES_tradnl"/>
              </w:rPr>
              <w:t>BID</w:t>
            </w:r>
            <w:r w:rsidR="00852D76" w:rsidRPr="00976BFF">
              <w:rPr>
                <w:rFonts w:ascii="Times New Roman" w:hAnsi="Times New Roman" w:cs="Times New Roman"/>
                <w:bCs/>
                <w:i/>
                <w:lang w:val="es-ES_tradnl"/>
              </w:rPr>
              <w:t>*</w:t>
            </w:r>
          </w:p>
        </w:tc>
        <w:tc>
          <w:tcPr>
            <w:tcW w:w="1890" w:type="dxa"/>
            <w:tcBorders>
              <w:top w:val="single" w:sz="4" w:space="0" w:color="auto"/>
              <w:left w:val="nil"/>
              <w:bottom w:val="single" w:sz="4" w:space="0" w:color="auto"/>
              <w:right w:val="single" w:sz="4" w:space="0" w:color="auto"/>
            </w:tcBorders>
            <w:shd w:val="clear" w:color="auto" w:fill="auto"/>
          </w:tcPr>
          <w:p w:rsidR="00B87AA4" w:rsidRPr="00976BFF" w:rsidRDefault="00852D76">
            <w:pPr>
              <w:spacing w:after="0" w:line="240" w:lineRule="auto"/>
              <w:jc w:val="center"/>
              <w:rPr>
                <w:rFonts w:ascii="Times New Roman" w:hAnsi="Times New Roman" w:cs="Times New Roman"/>
                <w:b/>
                <w:bCs/>
                <w:lang w:val="es-ES_tradnl"/>
              </w:rPr>
            </w:pPr>
            <w:r w:rsidRPr="00976BFF">
              <w:rPr>
                <w:rFonts w:ascii="Times New Roman" w:hAnsi="Times New Roman" w:cs="Times New Roman"/>
                <w:b/>
                <w:bCs/>
                <w:lang w:val="es-ES_tradnl"/>
              </w:rPr>
              <w:t>FONPLATA</w:t>
            </w:r>
            <w:r w:rsidRPr="00976BFF">
              <w:rPr>
                <w:rFonts w:ascii="Times New Roman" w:hAnsi="Times New Roman" w:cs="Times New Roman"/>
                <w:bCs/>
                <w:i/>
                <w:lang w:val="es-ES_tradnl"/>
              </w:rPr>
              <w:t>*</w:t>
            </w:r>
          </w:p>
        </w:tc>
        <w:tc>
          <w:tcPr>
            <w:tcW w:w="1350" w:type="dxa"/>
            <w:tcBorders>
              <w:top w:val="single" w:sz="4" w:space="0" w:color="auto"/>
              <w:left w:val="nil"/>
              <w:bottom w:val="single" w:sz="4" w:space="0" w:color="auto"/>
              <w:right w:val="single" w:sz="4" w:space="0" w:color="auto"/>
            </w:tcBorders>
            <w:shd w:val="clear" w:color="auto" w:fill="auto"/>
          </w:tcPr>
          <w:p w:rsidR="00B87AA4" w:rsidRPr="00976BFF" w:rsidRDefault="00852D76">
            <w:pPr>
              <w:spacing w:after="0" w:line="240" w:lineRule="auto"/>
              <w:jc w:val="center"/>
              <w:rPr>
                <w:rFonts w:ascii="Times New Roman" w:hAnsi="Times New Roman" w:cs="Times New Roman"/>
                <w:b/>
                <w:bCs/>
                <w:lang w:val="es-ES_tradnl"/>
              </w:rPr>
            </w:pPr>
            <w:r w:rsidRPr="00976BFF">
              <w:rPr>
                <w:rFonts w:ascii="Times New Roman" w:hAnsi="Times New Roman" w:cs="Times New Roman"/>
                <w:b/>
                <w:bCs/>
                <w:lang w:val="es-ES_tradnl"/>
              </w:rPr>
              <w:t>T</w:t>
            </w:r>
            <w:r w:rsidR="00BF0E5F" w:rsidRPr="00976BFF">
              <w:rPr>
                <w:rFonts w:ascii="Times New Roman" w:hAnsi="Times New Roman" w:cs="Times New Roman"/>
                <w:b/>
                <w:bCs/>
                <w:lang w:val="es-ES_tradnl"/>
              </w:rPr>
              <w:t>OTAL</w:t>
            </w:r>
          </w:p>
        </w:tc>
      </w:tr>
      <w:tr w:rsidR="00275692" w:rsidRPr="00976BFF">
        <w:trPr>
          <w:trHeight w:val="315"/>
        </w:trPr>
        <w:tc>
          <w:tcPr>
            <w:tcW w:w="3330" w:type="dxa"/>
            <w:tcBorders>
              <w:top w:val="nil"/>
              <w:left w:val="single" w:sz="4" w:space="0" w:color="auto"/>
              <w:bottom w:val="single" w:sz="4" w:space="0" w:color="auto"/>
              <w:right w:val="single" w:sz="4" w:space="0" w:color="auto"/>
            </w:tcBorders>
            <w:shd w:val="clear" w:color="auto" w:fill="auto"/>
          </w:tcPr>
          <w:p w:rsidR="00275692" w:rsidRPr="00976BFF" w:rsidRDefault="00275692" w:rsidP="00E06858">
            <w:pPr>
              <w:spacing w:after="0" w:line="240" w:lineRule="auto"/>
              <w:jc w:val="both"/>
              <w:rPr>
                <w:rFonts w:ascii="Times New Roman" w:eastAsia="Times New Roman" w:hAnsi="Times New Roman" w:cs="Times New Roman"/>
                <w:iCs/>
                <w:color w:val="000000"/>
                <w:lang w:val="es-ES_tradnl"/>
              </w:rPr>
            </w:pPr>
            <w:r w:rsidRPr="00976BFF">
              <w:rPr>
                <w:rFonts w:ascii="Times New Roman" w:eastAsia="Times New Roman" w:hAnsi="Times New Roman" w:cs="Times New Roman"/>
                <w:iCs/>
                <w:color w:val="000000"/>
                <w:lang w:val="es-ES_tradnl"/>
              </w:rPr>
              <w:t>Rehabilitación</w:t>
            </w:r>
          </w:p>
        </w:tc>
        <w:tc>
          <w:tcPr>
            <w:tcW w:w="153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126,8</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75,2</w:t>
            </w:r>
          </w:p>
        </w:tc>
        <w:tc>
          <w:tcPr>
            <w:tcW w:w="189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63,3</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265,3</w:t>
            </w:r>
          </w:p>
        </w:tc>
      </w:tr>
      <w:tr w:rsidR="00275692" w:rsidRPr="00976BFF">
        <w:trPr>
          <w:trHeight w:val="315"/>
        </w:trPr>
        <w:tc>
          <w:tcPr>
            <w:tcW w:w="3330" w:type="dxa"/>
            <w:tcBorders>
              <w:top w:val="nil"/>
              <w:left w:val="single" w:sz="4" w:space="0" w:color="auto"/>
              <w:bottom w:val="single" w:sz="4" w:space="0" w:color="auto"/>
              <w:right w:val="single" w:sz="4" w:space="0" w:color="auto"/>
            </w:tcBorders>
            <w:shd w:val="clear" w:color="auto" w:fill="auto"/>
          </w:tcPr>
          <w:p w:rsidR="00275692" w:rsidRPr="00976BFF" w:rsidRDefault="00275692" w:rsidP="00E06858">
            <w:pPr>
              <w:spacing w:after="0" w:line="240" w:lineRule="auto"/>
              <w:jc w:val="both"/>
              <w:rPr>
                <w:rFonts w:ascii="Times New Roman" w:eastAsia="Times New Roman" w:hAnsi="Times New Roman" w:cs="Times New Roman"/>
                <w:iCs/>
                <w:color w:val="000000"/>
                <w:lang w:val="es-ES_tradnl"/>
              </w:rPr>
            </w:pPr>
            <w:r w:rsidRPr="00976BFF">
              <w:rPr>
                <w:rFonts w:ascii="Times New Roman" w:eastAsia="Times New Roman" w:hAnsi="Times New Roman" w:cs="Times New Roman"/>
                <w:iCs/>
                <w:color w:val="000000"/>
                <w:lang w:val="es-ES_tradnl"/>
              </w:rPr>
              <w:t>Puentes</w:t>
            </w:r>
          </w:p>
        </w:tc>
        <w:tc>
          <w:tcPr>
            <w:tcW w:w="153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0,0</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0,0</w:t>
            </w:r>
          </w:p>
        </w:tc>
        <w:tc>
          <w:tcPr>
            <w:tcW w:w="189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10,4</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10,4</w:t>
            </w:r>
          </w:p>
        </w:tc>
      </w:tr>
      <w:tr w:rsidR="00275692" w:rsidRPr="00976BFF">
        <w:trPr>
          <w:trHeight w:val="315"/>
        </w:trPr>
        <w:tc>
          <w:tcPr>
            <w:tcW w:w="3330" w:type="dxa"/>
            <w:tcBorders>
              <w:top w:val="nil"/>
              <w:left w:val="single" w:sz="4" w:space="0" w:color="auto"/>
              <w:bottom w:val="single" w:sz="4" w:space="0" w:color="auto"/>
              <w:right w:val="single" w:sz="4" w:space="0" w:color="auto"/>
            </w:tcBorders>
            <w:shd w:val="clear" w:color="auto" w:fill="auto"/>
          </w:tcPr>
          <w:p w:rsidR="00275692" w:rsidRPr="00976BFF" w:rsidRDefault="00275692" w:rsidP="00E06858">
            <w:pPr>
              <w:spacing w:after="0" w:line="240" w:lineRule="auto"/>
              <w:jc w:val="both"/>
              <w:rPr>
                <w:rFonts w:ascii="Times New Roman" w:eastAsia="Times New Roman" w:hAnsi="Times New Roman" w:cs="Times New Roman"/>
                <w:iCs/>
                <w:color w:val="000000"/>
                <w:lang w:val="es-ES_tradnl"/>
              </w:rPr>
            </w:pPr>
            <w:r w:rsidRPr="00976BFF">
              <w:rPr>
                <w:rFonts w:ascii="Times New Roman" w:eastAsia="Times New Roman" w:hAnsi="Times New Roman" w:cs="Times New Roman"/>
                <w:iCs/>
                <w:color w:val="000000"/>
                <w:lang w:val="es-ES_tradnl"/>
              </w:rPr>
              <w:t>Mantenimiento</w:t>
            </w:r>
          </w:p>
        </w:tc>
        <w:tc>
          <w:tcPr>
            <w:tcW w:w="153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189,6</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0,0</w:t>
            </w:r>
          </w:p>
        </w:tc>
        <w:tc>
          <w:tcPr>
            <w:tcW w:w="189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0,0</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189,6</w:t>
            </w:r>
          </w:p>
        </w:tc>
      </w:tr>
      <w:tr w:rsidR="00275692" w:rsidRPr="00976BFF">
        <w:trPr>
          <w:trHeight w:val="315"/>
        </w:trPr>
        <w:tc>
          <w:tcPr>
            <w:tcW w:w="3330" w:type="dxa"/>
            <w:tcBorders>
              <w:top w:val="nil"/>
              <w:left w:val="single" w:sz="4" w:space="0" w:color="auto"/>
              <w:bottom w:val="single" w:sz="4" w:space="0" w:color="auto"/>
              <w:right w:val="single" w:sz="4" w:space="0" w:color="auto"/>
            </w:tcBorders>
            <w:shd w:val="clear" w:color="auto" w:fill="auto"/>
          </w:tcPr>
          <w:p w:rsidR="00275692" w:rsidRPr="00976BFF" w:rsidRDefault="00275692" w:rsidP="00E06858">
            <w:pPr>
              <w:spacing w:after="0" w:line="240" w:lineRule="auto"/>
              <w:jc w:val="both"/>
              <w:rPr>
                <w:rFonts w:ascii="Times New Roman" w:eastAsia="Times New Roman" w:hAnsi="Times New Roman" w:cs="Times New Roman"/>
                <w:iCs/>
                <w:color w:val="000000"/>
                <w:lang w:val="es-ES_tradnl"/>
              </w:rPr>
            </w:pPr>
            <w:r w:rsidRPr="00976BFF">
              <w:rPr>
                <w:rFonts w:ascii="Times New Roman" w:eastAsia="Times New Roman" w:hAnsi="Times New Roman" w:cs="Times New Roman"/>
                <w:iCs/>
                <w:color w:val="000000"/>
                <w:lang w:val="es-ES_tradnl"/>
              </w:rPr>
              <w:t>Fortalecimiento institucional</w:t>
            </w:r>
          </w:p>
        </w:tc>
        <w:tc>
          <w:tcPr>
            <w:tcW w:w="153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4,5</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5,0</w:t>
            </w:r>
          </w:p>
        </w:tc>
        <w:tc>
          <w:tcPr>
            <w:tcW w:w="189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0,0</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9,5</w:t>
            </w:r>
          </w:p>
        </w:tc>
      </w:tr>
      <w:tr w:rsidR="00275692" w:rsidRPr="00976BFF">
        <w:trPr>
          <w:trHeight w:val="315"/>
        </w:trPr>
        <w:tc>
          <w:tcPr>
            <w:tcW w:w="3330" w:type="dxa"/>
            <w:tcBorders>
              <w:top w:val="nil"/>
              <w:left w:val="single" w:sz="4" w:space="0" w:color="auto"/>
              <w:bottom w:val="single" w:sz="4" w:space="0" w:color="auto"/>
              <w:right w:val="single" w:sz="4" w:space="0" w:color="auto"/>
            </w:tcBorders>
            <w:shd w:val="clear" w:color="auto" w:fill="auto"/>
          </w:tcPr>
          <w:p w:rsidR="00275692" w:rsidRPr="00976BFF" w:rsidRDefault="00275692" w:rsidP="00E06858">
            <w:pPr>
              <w:spacing w:after="0" w:line="240" w:lineRule="auto"/>
              <w:jc w:val="both"/>
              <w:rPr>
                <w:rFonts w:ascii="Times New Roman" w:eastAsia="Times New Roman" w:hAnsi="Times New Roman" w:cs="Times New Roman"/>
                <w:iCs/>
                <w:color w:val="000000"/>
                <w:lang w:val="es-ES_tradnl"/>
              </w:rPr>
            </w:pPr>
            <w:r w:rsidRPr="00976BFF">
              <w:rPr>
                <w:rFonts w:ascii="Times New Roman" w:eastAsia="Times New Roman" w:hAnsi="Times New Roman" w:cs="Times New Roman"/>
                <w:iCs/>
                <w:color w:val="000000"/>
                <w:lang w:val="es-ES_tradnl"/>
              </w:rPr>
              <w:t>Seguridad vial</w:t>
            </w:r>
          </w:p>
        </w:tc>
        <w:tc>
          <w:tcPr>
            <w:tcW w:w="153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3,2</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0,0</w:t>
            </w:r>
          </w:p>
        </w:tc>
        <w:tc>
          <w:tcPr>
            <w:tcW w:w="189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32,0</w:t>
            </w:r>
          </w:p>
        </w:tc>
        <w:tc>
          <w:tcPr>
            <w:tcW w:w="1350" w:type="dxa"/>
            <w:tcBorders>
              <w:top w:val="nil"/>
              <w:left w:val="nil"/>
              <w:bottom w:val="single" w:sz="4" w:space="0" w:color="auto"/>
              <w:right w:val="single" w:sz="4" w:space="0" w:color="auto"/>
            </w:tcBorders>
            <w:shd w:val="clear" w:color="auto" w:fill="auto"/>
            <w:noWrap/>
          </w:tcPr>
          <w:p w:rsidR="00275692" w:rsidRPr="00976BFF" w:rsidRDefault="00275692">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35,2</w:t>
            </w:r>
          </w:p>
        </w:tc>
      </w:tr>
      <w:tr w:rsidR="00BF0E5F" w:rsidRPr="00976BFF">
        <w:trPr>
          <w:trHeight w:val="315"/>
        </w:trPr>
        <w:tc>
          <w:tcPr>
            <w:tcW w:w="3330" w:type="dxa"/>
            <w:tcBorders>
              <w:top w:val="nil"/>
              <w:left w:val="single" w:sz="4" w:space="0" w:color="auto"/>
              <w:bottom w:val="single" w:sz="4" w:space="0" w:color="auto"/>
              <w:right w:val="single" w:sz="4" w:space="0" w:color="auto"/>
            </w:tcBorders>
            <w:shd w:val="clear" w:color="auto" w:fill="auto"/>
          </w:tcPr>
          <w:p w:rsidR="00B87AA4" w:rsidRPr="00976BFF" w:rsidRDefault="00852D76">
            <w:pPr>
              <w:spacing w:after="0" w:line="240" w:lineRule="auto"/>
              <w:rPr>
                <w:rFonts w:ascii="Times New Roman" w:hAnsi="Times New Roman" w:cs="Times New Roman"/>
                <w:b/>
                <w:bCs/>
                <w:lang w:val="es-ES_tradnl"/>
              </w:rPr>
            </w:pPr>
            <w:r w:rsidRPr="00976BFF">
              <w:rPr>
                <w:rFonts w:ascii="Times New Roman" w:hAnsi="Times New Roman" w:cs="Times New Roman"/>
                <w:b/>
                <w:bCs/>
                <w:lang w:val="es-ES_tradnl"/>
              </w:rPr>
              <w:t>TOTAL</w:t>
            </w:r>
          </w:p>
        </w:tc>
        <w:tc>
          <w:tcPr>
            <w:tcW w:w="1530" w:type="dxa"/>
            <w:tcBorders>
              <w:top w:val="nil"/>
              <w:left w:val="nil"/>
              <w:bottom w:val="single" w:sz="4" w:space="0" w:color="auto"/>
              <w:right w:val="single" w:sz="4" w:space="0" w:color="auto"/>
            </w:tcBorders>
            <w:shd w:val="clear" w:color="auto" w:fill="auto"/>
            <w:noWrap/>
          </w:tcPr>
          <w:p w:rsidR="00B87AA4" w:rsidRPr="00976BFF" w:rsidRDefault="00852D76">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324</w:t>
            </w:r>
            <w:r w:rsidR="00275692" w:rsidRPr="00976BFF">
              <w:rPr>
                <w:rFonts w:ascii="Times New Roman" w:hAnsi="Times New Roman" w:cs="Times New Roman"/>
                <w:lang w:val="es-ES_tradnl"/>
              </w:rPr>
              <w:t>,</w:t>
            </w:r>
            <w:r w:rsidRPr="00976BFF">
              <w:rPr>
                <w:rFonts w:ascii="Times New Roman" w:hAnsi="Times New Roman" w:cs="Times New Roman"/>
                <w:lang w:val="es-ES_tradnl"/>
              </w:rPr>
              <w:t>1</w:t>
            </w:r>
          </w:p>
        </w:tc>
        <w:tc>
          <w:tcPr>
            <w:tcW w:w="1350" w:type="dxa"/>
            <w:tcBorders>
              <w:top w:val="nil"/>
              <w:left w:val="nil"/>
              <w:bottom w:val="single" w:sz="4" w:space="0" w:color="auto"/>
              <w:right w:val="single" w:sz="4" w:space="0" w:color="auto"/>
            </w:tcBorders>
            <w:shd w:val="clear" w:color="auto" w:fill="auto"/>
            <w:noWrap/>
          </w:tcPr>
          <w:p w:rsidR="00B87AA4" w:rsidRPr="00976BFF" w:rsidRDefault="00852D76">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80</w:t>
            </w:r>
            <w:r w:rsidR="00275692" w:rsidRPr="00976BFF">
              <w:rPr>
                <w:rFonts w:ascii="Times New Roman" w:hAnsi="Times New Roman" w:cs="Times New Roman"/>
                <w:lang w:val="es-ES_tradnl"/>
              </w:rPr>
              <w:t>,</w:t>
            </w:r>
            <w:r w:rsidRPr="00976BFF">
              <w:rPr>
                <w:rFonts w:ascii="Times New Roman" w:hAnsi="Times New Roman" w:cs="Times New Roman"/>
                <w:lang w:val="es-ES_tradnl"/>
              </w:rPr>
              <w:t>2</w:t>
            </w:r>
          </w:p>
        </w:tc>
        <w:tc>
          <w:tcPr>
            <w:tcW w:w="1890" w:type="dxa"/>
            <w:tcBorders>
              <w:top w:val="nil"/>
              <w:left w:val="nil"/>
              <w:bottom w:val="single" w:sz="4" w:space="0" w:color="auto"/>
              <w:right w:val="single" w:sz="4" w:space="0" w:color="auto"/>
            </w:tcBorders>
            <w:shd w:val="clear" w:color="auto" w:fill="auto"/>
            <w:noWrap/>
          </w:tcPr>
          <w:p w:rsidR="00B87AA4" w:rsidRPr="00976BFF" w:rsidRDefault="00852D76">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105</w:t>
            </w:r>
            <w:r w:rsidR="00275692" w:rsidRPr="00976BFF">
              <w:rPr>
                <w:rFonts w:ascii="Times New Roman" w:hAnsi="Times New Roman" w:cs="Times New Roman"/>
                <w:lang w:val="es-ES_tradnl"/>
              </w:rPr>
              <w:t>,</w:t>
            </w:r>
            <w:r w:rsidRPr="00976BFF">
              <w:rPr>
                <w:rFonts w:ascii="Times New Roman" w:hAnsi="Times New Roman" w:cs="Times New Roman"/>
                <w:lang w:val="es-ES_tradnl"/>
              </w:rPr>
              <w:t>7</w:t>
            </w:r>
          </w:p>
        </w:tc>
        <w:tc>
          <w:tcPr>
            <w:tcW w:w="1350" w:type="dxa"/>
            <w:tcBorders>
              <w:top w:val="nil"/>
              <w:left w:val="nil"/>
              <w:bottom w:val="single" w:sz="4" w:space="0" w:color="auto"/>
              <w:right w:val="single" w:sz="4" w:space="0" w:color="auto"/>
            </w:tcBorders>
            <w:shd w:val="clear" w:color="auto" w:fill="auto"/>
            <w:noWrap/>
          </w:tcPr>
          <w:p w:rsidR="00B87AA4" w:rsidRPr="00976BFF" w:rsidRDefault="00852D76">
            <w:pPr>
              <w:spacing w:after="0" w:line="240" w:lineRule="auto"/>
              <w:jc w:val="right"/>
              <w:rPr>
                <w:rFonts w:ascii="Times New Roman" w:hAnsi="Times New Roman" w:cs="Times New Roman"/>
                <w:lang w:val="es-ES_tradnl"/>
              </w:rPr>
            </w:pPr>
            <w:r w:rsidRPr="00976BFF">
              <w:rPr>
                <w:rFonts w:ascii="Times New Roman" w:hAnsi="Times New Roman" w:cs="Times New Roman"/>
                <w:lang w:val="es-ES_tradnl"/>
              </w:rPr>
              <w:t>510</w:t>
            </w:r>
            <w:r w:rsidR="00275692" w:rsidRPr="00976BFF">
              <w:rPr>
                <w:rFonts w:ascii="Times New Roman" w:hAnsi="Times New Roman" w:cs="Times New Roman"/>
                <w:lang w:val="es-ES_tradnl"/>
              </w:rPr>
              <w:t>,</w:t>
            </w:r>
            <w:r w:rsidRPr="00976BFF">
              <w:rPr>
                <w:rFonts w:ascii="Times New Roman" w:hAnsi="Times New Roman" w:cs="Times New Roman"/>
                <w:lang w:val="es-ES_tradnl"/>
              </w:rPr>
              <w:t>0</w:t>
            </w:r>
          </w:p>
        </w:tc>
      </w:tr>
    </w:tbl>
    <w:p w:rsidR="00B87AA4" w:rsidRPr="000B5989" w:rsidRDefault="00852D76">
      <w:pPr>
        <w:ind w:left="450"/>
        <w:rPr>
          <w:rFonts w:ascii="Times New Roman" w:hAnsi="Times New Roman" w:cs="Times New Roman"/>
          <w:sz w:val="18"/>
          <w:szCs w:val="18"/>
          <w:lang w:val="es-ES_tradnl"/>
        </w:rPr>
      </w:pPr>
      <w:r w:rsidRPr="000B5989">
        <w:rPr>
          <w:rFonts w:ascii="Times New Roman" w:hAnsi="Times New Roman" w:cs="Times New Roman"/>
          <w:sz w:val="18"/>
          <w:szCs w:val="18"/>
          <w:lang w:val="es-ES_tradnl"/>
        </w:rPr>
        <w:t>* Inclu</w:t>
      </w:r>
      <w:r w:rsidR="00275692" w:rsidRPr="000B5989">
        <w:rPr>
          <w:rFonts w:ascii="Times New Roman" w:hAnsi="Times New Roman" w:cs="Times New Roman"/>
          <w:sz w:val="18"/>
          <w:szCs w:val="18"/>
          <w:lang w:val="es-ES_tradnl"/>
        </w:rPr>
        <w:t>ido el financiamiento de contrapartida del Gobierno de Uruguay</w:t>
      </w:r>
      <w:r w:rsidR="00A755BB" w:rsidRPr="000B5989">
        <w:rPr>
          <w:rFonts w:ascii="Times New Roman" w:hAnsi="Times New Roman" w:cs="Times New Roman"/>
          <w:sz w:val="18"/>
          <w:szCs w:val="18"/>
          <w:lang w:val="es-ES_tradnl"/>
        </w:rPr>
        <w:t>.</w:t>
      </w:r>
    </w:p>
    <w:p w:rsidR="00BF0E5F" w:rsidRPr="00976BFF" w:rsidRDefault="00BF0E5F">
      <w:pPr>
        <w:rPr>
          <w:lang w:val="es-ES_tradnl"/>
        </w:rPr>
      </w:pPr>
    </w:p>
    <w:p w:rsidR="003D6DF4" w:rsidRPr="00976BFF" w:rsidRDefault="00196DE6" w:rsidP="00196DE6">
      <w:pPr>
        <w:rPr>
          <w:rFonts w:ascii="Times New Roman" w:hAnsi="Times New Roman" w:cs="Times New Roman"/>
          <w:b/>
          <w:lang w:val="es-ES_tradnl"/>
        </w:rPr>
      </w:pPr>
      <w:bookmarkStart w:id="38" w:name="_Toc320463938"/>
      <w:r w:rsidRPr="00976BFF">
        <w:rPr>
          <w:rFonts w:ascii="Times New Roman" w:hAnsi="Times New Roman" w:cs="Times New Roman"/>
          <w:b/>
          <w:lang w:val="es-ES_tradnl"/>
        </w:rPr>
        <w:t xml:space="preserve">C. </w:t>
      </w:r>
      <w:r w:rsidR="00275692" w:rsidRPr="00976BFF">
        <w:rPr>
          <w:rFonts w:ascii="Times New Roman" w:hAnsi="Times New Roman" w:cs="Times New Roman"/>
          <w:b/>
          <w:lang w:val="es-ES_tradnl"/>
        </w:rPr>
        <w:t>MECANISMOS INSTITUCIONALES DEL PROGRAMA</w:t>
      </w:r>
      <w:r w:rsidR="003D6DF4" w:rsidRPr="00976BFF">
        <w:rPr>
          <w:rFonts w:ascii="Times New Roman" w:hAnsi="Times New Roman" w:cs="Times New Roman"/>
          <w:b/>
          <w:lang w:val="es-ES_tradnl"/>
        </w:rPr>
        <w:t xml:space="preserve"> </w:t>
      </w:r>
      <w:bookmarkEnd w:id="38"/>
    </w:p>
    <w:p w:rsidR="00A764A2" w:rsidRPr="00976BFF" w:rsidRDefault="00275692">
      <w:pPr>
        <w:pStyle w:val="Heading3"/>
        <w:rPr>
          <w:lang w:val="es-ES_tradnl"/>
        </w:rPr>
      </w:pPr>
      <w:bookmarkStart w:id="39" w:name="_Toc327539995"/>
      <w:bookmarkStart w:id="40" w:name="_Toc344927174"/>
      <w:r w:rsidRPr="00976BFF">
        <w:rPr>
          <w:lang w:val="es-ES_tradnl"/>
        </w:rPr>
        <w:t>Presentación de las principales partes interesadas</w:t>
      </w:r>
      <w:bookmarkEnd w:id="39"/>
      <w:bookmarkEnd w:id="40"/>
    </w:p>
    <w:p w:rsidR="00A764A2" w:rsidRPr="00976BFF" w:rsidRDefault="003D6DF4">
      <w:pPr>
        <w:pStyle w:val="Heading4"/>
        <w:rPr>
          <w:lang w:val="es-ES_tradnl"/>
        </w:rPr>
      </w:pPr>
      <w:r w:rsidRPr="00976BFF">
        <w:rPr>
          <w:lang w:val="es-ES_tradnl"/>
        </w:rPr>
        <w:t>Minist</w:t>
      </w:r>
      <w:r w:rsidR="00275692" w:rsidRPr="00976BFF">
        <w:rPr>
          <w:lang w:val="es-ES_tradnl"/>
        </w:rPr>
        <w:t>erio de Transporte y Obras Públicas</w:t>
      </w:r>
    </w:p>
    <w:p w:rsidR="0007594F" w:rsidRPr="00976BFF" w:rsidRDefault="00321D20" w:rsidP="00EB3076">
      <w:pPr>
        <w:pStyle w:val="Annexmain"/>
        <w:ind w:firstLine="0"/>
        <w:rPr>
          <w:lang w:val="es-ES_tradnl"/>
        </w:rPr>
      </w:pPr>
      <w:r w:rsidRPr="00976BFF">
        <w:rPr>
          <w:lang w:val="es-ES_tradnl"/>
        </w:rPr>
        <w:t xml:space="preserve">El organismo de ejecución del </w:t>
      </w:r>
      <w:r w:rsidR="00650A31">
        <w:rPr>
          <w:lang w:val="es-ES_tradnl"/>
        </w:rPr>
        <w:t>programa</w:t>
      </w:r>
      <w:r w:rsidRPr="00976BFF">
        <w:rPr>
          <w:lang w:val="es-ES_tradnl"/>
        </w:rPr>
        <w:t xml:space="preserve"> es el MTOP, que consta de seis direcciones (la séptima, la dirección de ferrocarriles, se creó el 31 de diciembre de </w:t>
      </w:r>
      <w:r w:rsidR="003D6DF4" w:rsidRPr="00976BFF">
        <w:rPr>
          <w:lang w:val="es-ES_tradnl"/>
        </w:rPr>
        <w:t>201</w:t>
      </w:r>
      <w:r w:rsidR="004A4357" w:rsidRPr="00976BFF">
        <w:rPr>
          <w:lang w:val="es-ES_tradnl"/>
        </w:rPr>
        <w:t>1</w:t>
      </w:r>
      <w:r w:rsidR="003D6DF4" w:rsidRPr="00976BFF">
        <w:rPr>
          <w:lang w:val="es-ES_tradnl"/>
        </w:rPr>
        <w:t>)</w:t>
      </w:r>
      <w:r w:rsidRPr="00976BFF">
        <w:rPr>
          <w:lang w:val="es-ES_tradnl"/>
        </w:rPr>
        <w:t xml:space="preserve">. </w:t>
      </w:r>
      <w:r w:rsidR="009914EF" w:rsidRPr="00976BFF">
        <w:rPr>
          <w:lang w:val="es-ES_tradnl"/>
        </w:rPr>
        <w:t xml:space="preserve">De ellas, tres intervienen especialmente en la ejecución del </w:t>
      </w:r>
      <w:r w:rsidR="00650A31">
        <w:rPr>
          <w:lang w:val="es-ES_tradnl"/>
        </w:rPr>
        <w:t>programa</w:t>
      </w:r>
      <w:r w:rsidR="009914EF" w:rsidRPr="00976BFF">
        <w:rPr>
          <w:lang w:val="es-ES_tradnl"/>
        </w:rPr>
        <w:t>: i) primero y principalmente, la D</w:t>
      </w:r>
      <w:r w:rsidR="009914EF">
        <w:rPr>
          <w:lang w:val="es-ES_tradnl"/>
        </w:rPr>
        <w:t>N</w:t>
      </w:r>
      <w:r w:rsidR="009914EF" w:rsidRPr="00976BFF">
        <w:rPr>
          <w:lang w:val="es-ES_tradnl"/>
        </w:rPr>
        <w:t>V, con una dotación de alrededor de 1600 empleados, es responsable del mantenimiento y desarrollo de la red vial nacional; ii) la DNTop, encargada de la gestión de los bienes de dominio público relacionados con el transporte</w:t>
      </w:r>
      <w:r w:rsidR="002531EE">
        <w:rPr>
          <w:lang w:val="es-ES_tradnl"/>
        </w:rPr>
        <w:t>,</w:t>
      </w:r>
      <w:r w:rsidR="009914EF" w:rsidRPr="00976BFF">
        <w:rPr>
          <w:lang w:val="es-ES_tradnl"/>
        </w:rPr>
        <w:t xml:space="preserve"> y las expropiaciones, y iii) la DINAPLO, responsable de la planificación a largo plazo, las cuestiones multimodales y la logística. </w:t>
      </w:r>
      <w:r w:rsidRPr="00976BFF">
        <w:rPr>
          <w:lang w:val="es-ES_tradnl"/>
        </w:rPr>
        <w:t xml:space="preserve">También existe una Unidad de Auditoría Interna a nivel del MTOP para garantizar el correcto funcionamiento y desempeño de la estructura ministerial y la concreción de sus </w:t>
      </w:r>
      <w:r w:rsidR="006D44FB">
        <w:rPr>
          <w:lang w:val="es-ES_tradnl"/>
        </w:rPr>
        <w:t>programas</w:t>
      </w:r>
      <w:r w:rsidR="00652CFE" w:rsidRPr="00976BFF">
        <w:rPr>
          <w:lang w:val="es-ES_tradnl"/>
        </w:rPr>
        <w:t>.</w:t>
      </w:r>
    </w:p>
    <w:p w:rsidR="00A764A2" w:rsidRPr="00976BFF" w:rsidRDefault="009914EF" w:rsidP="00EB3076">
      <w:pPr>
        <w:pStyle w:val="Heading4"/>
        <w:rPr>
          <w:lang w:val="es-ES_tradnl"/>
        </w:rPr>
      </w:pPr>
      <w:r w:rsidRPr="00976BFF">
        <w:rPr>
          <w:lang w:val="es-ES_tradnl"/>
        </w:rPr>
        <w:t>Corporación</w:t>
      </w:r>
      <w:r w:rsidR="00363BF8" w:rsidRPr="00976BFF">
        <w:rPr>
          <w:lang w:val="es-ES_tradnl"/>
        </w:rPr>
        <w:t xml:space="preserve"> Vial del Uruguay</w:t>
      </w:r>
    </w:p>
    <w:p w:rsidR="0007594F" w:rsidRPr="00976BFF" w:rsidRDefault="0057786C" w:rsidP="00EB3076">
      <w:pPr>
        <w:pStyle w:val="Annexmain"/>
        <w:ind w:firstLine="0"/>
        <w:rPr>
          <w:lang w:val="es-ES_tradnl"/>
        </w:rPr>
      </w:pPr>
      <w:r w:rsidRPr="00976BFF">
        <w:rPr>
          <w:lang w:val="es-ES_tradnl"/>
        </w:rPr>
        <w:t xml:space="preserve">CVU, una subsidiaria de la </w:t>
      </w:r>
      <w:r w:rsidR="009914EF" w:rsidRPr="00976BFF">
        <w:rPr>
          <w:lang w:val="es-ES_tradnl"/>
        </w:rPr>
        <w:t>Corporación</w:t>
      </w:r>
      <w:r w:rsidR="00363BF8" w:rsidRPr="00976BFF">
        <w:rPr>
          <w:lang w:val="es-ES_tradnl"/>
        </w:rPr>
        <w:t xml:space="preserve"> Nacional </w:t>
      </w:r>
      <w:r w:rsidR="00B34B2D" w:rsidRPr="00976BFF">
        <w:rPr>
          <w:lang w:val="es-ES_tradnl"/>
        </w:rPr>
        <w:t>para el</w:t>
      </w:r>
      <w:r w:rsidR="00363BF8" w:rsidRPr="00976BFF">
        <w:rPr>
          <w:lang w:val="es-ES_tradnl"/>
        </w:rPr>
        <w:t xml:space="preserve"> </w:t>
      </w:r>
      <w:r w:rsidRPr="00976BFF">
        <w:rPr>
          <w:lang w:val="es-ES_tradnl"/>
        </w:rPr>
        <w:t>Desarrollo (CND</w:t>
      </w:r>
      <w:r w:rsidR="00363BF8" w:rsidRPr="00976BFF">
        <w:rPr>
          <w:lang w:val="es-ES_tradnl"/>
        </w:rPr>
        <w:t>)</w:t>
      </w:r>
      <w:r w:rsidRPr="00976BFF">
        <w:rPr>
          <w:lang w:val="es-ES_tradnl"/>
        </w:rPr>
        <w:t>, se creó en 2002</w:t>
      </w:r>
      <w:r w:rsidR="002D1E46">
        <w:rPr>
          <w:lang w:val="es-ES_tradnl"/>
        </w:rPr>
        <w:t xml:space="preserve">. Es una empresa </w:t>
      </w:r>
      <w:r w:rsidR="00EA2EF3">
        <w:rPr>
          <w:lang w:val="es-ES_tradnl"/>
        </w:rPr>
        <w:t>concesionaria</w:t>
      </w:r>
      <w:r w:rsidR="002D1E46">
        <w:rPr>
          <w:lang w:val="es-ES_tradnl"/>
        </w:rPr>
        <w:t xml:space="preserve"> estatal </w:t>
      </w:r>
      <w:r w:rsidR="00561A9B">
        <w:rPr>
          <w:lang w:val="es-ES_tradnl"/>
        </w:rPr>
        <w:t>que tiene a su cargo</w:t>
      </w:r>
      <w:r w:rsidRPr="00976BFF">
        <w:rPr>
          <w:lang w:val="es-ES_tradnl"/>
        </w:rPr>
        <w:t xml:space="preserve"> aproximadamente 1600 </w:t>
      </w:r>
      <w:r w:rsidR="001F6651">
        <w:rPr>
          <w:lang w:val="es-ES_tradnl"/>
        </w:rPr>
        <w:t>kilómetros</w:t>
      </w:r>
      <w:r w:rsidRPr="00976BFF">
        <w:rPr>
          <w:lang w:val="es-ES_tradnl"/>
        </w:rPr>
        <w:t xml:space="preserve"> de la red vial nacional. </w:t>
      </w:r>
      <w:r w:rsidR="009914EF" w:rsidRPr="00976BFF">
        <w:rPr>
          <w:lang w:val="es-ES_tradnl"/>
        </w:rPr>
        <w:t>CVU está vinculada con el MTOP mediante i) un contrato de concesión, por el cual CVU tiene la responsabilidad de gestionar una parte de la red vial primaria del país; esta labor incluye el mantenim</w:t>
      </w:r>
      <w:r w:rsidR="009914EF">
        <w:rPr>
          <w:lang w:val="es-ES_tradnl"/>
        </w:rPr>
        <w:t>iento</w:t>
      </w:r>
      <w:r w:rsidR="009914EF" w:rsidRPr="00976BFF">
        <w:rPr>
          <w:lang w:val="es-ES_tradnl"/>
        </w:rPr>
        <w:t xml:space="preserve">, la rehabilitación y, en caso de ser necesario, el desarrollo de carreteras, y ii) un acuerdo de asistencia técnica, en cuyo marco la DNV proporciona apoyo técnico y administrativo a CVU. </w:t>
      </w:r>
      <w:r w:rsidRPr="00976BFF">
        <w:rPr>
          <w:lang w:val="es-ES_tradnl"/>
        </w:rPr>
        <w:t xml:space="preserve">Por lo tanto, CVU ejecuta una parte del </w:t>
      </w:r>
      <w:r w:rsidR="00650A31">
        <w:rPr>
          <w:lang w:val="es-ES_tradnl"/>
        </w:rPr>
        <w:t>programa</w:t>
      </w:r>
      <w:r w:rsidRPr="00976BFF">
        <w:rPr>
          <w:lang w:val="es-ES_tradnl"/>
        </w:rPr>
        <w:t>, y es efectivamente una de las principales partes interesadas en la gestión de la red primaria del país</w:t>
      </w:r>
      <w:r w:rsidR="00363BF8" w:rsidRPr="00976BFF">
        <w:rPr>
          <w:lang w:val="es-ES_tradnl"/>
        </w:rPr>
        <w:t>.</w:t>
      </w:r>
      <w:r w:rsidR="00E06D22" w:rsidRPr="00976BFF">
        <w:rPr>
          <w:lang w:val="es-ES_tradnl"/>
        </w:rPr>
        <w:t xml:space="preserve"> </w:t>
      </w:r>
    </w:p>
    <w:p w:rsidR="00A764A2" w:rsidRPr="00976BFF" w:rsidRDefault="003D6DF4" w:rsidP="00EB3076">
      <w:pPr>
        <w:pStyle w:val="Heading4"/>
        <w:rPr>
          <w:lang w:val="es-ES_tradnl"/>
        </w:rPr>
      </w:pPr>
      <w:r w:rsidRPr="00976BFF">
        <w:rPr>
          <w:lang w:val="es-ES_tradnl"/>
        </w:rPr>
        <w:t xml:space="preserve">Ministerio de </w:t>
      </w:r>
      <w:r w:rsidR="009914EF" w:rsidRPr="00976BFF">
        <w:rPr>
          <w:lang w:val="es-ES_tradnl"/>
        </w:rPr>
        <w:t>Economía</w:t>
      </w:r>
      <w:r w:rsidRPr="00976BFF">
        <w:rPr>
          <w:lang w:val="es-ES_tradnl"/>
        </w:rPr>
        <w:t xml:space="preserve"> y Finanzas</w:t>
      </w:r>
    </w:p>
    <w:p w:rsidR="0007594F" w:rsidRPr="00976BFF" w:rsidRDefault="00E06858" w:rsidP="00EB3076">
      <w:pPr>
        <w:pStyle w:val="Annexmain"/>
        <w:ind w:firstLine="0"/>
        <w:rPr>
          <w:lang w:val="es-ES_tradnl"/>
        </w:rPr>
      </w:pPr>
      <w:r w:rsidRPr="00976BFF">
        <w:rPr>
          <w:lang w:val="es-ES_tradnl"/>
        </w:rPr>
        <w:t xml:space="preserve">El </w:t>
      </w:r>
      <w:r w:rsidR="00652CFE" w:rsidRPr="00976BFF">
        <w:rPr>
          <w:lang w:val="es-ES_tradnl"/>
        </w:rPr>
        <w:t>MEF</w:t>
      </w:r>
      <w:r w:rsidRPr="00976BFF">
        <w:rPr>
          <w:lang w:val="es-ES_tradnl"/>
        </w:rPr>
        <w:t xml:space="preserve">, a través de la Unidad de </w:t>
      </w:r>
      <w:r w:rsidR="009914EF" w:rsidRPr="00976BFF">
        <w:rPr>
          <w:lang w:val="es-ES_tradnl"/>
        </w:rPr>
        <w:t>Presupuesto</w:t>
      </w:r>
      <w:r w:rsidRPr="00976BFF">
        <w:rPr>
          <w:lang w:val="es-ES_tradnl"/>
        </w:rPr>
        <w:t xml:space="preserve"> Nacional (UPN), la CGN, la Tesorería General de la Nación (TGN) y la Auditoría Interna de la Nación (AIN), es el principal encargado de la gestión de las finanzas públicas del país. En lo que respecta al </w:t>
      </w:r>
      <w:r w:rsidR="00650A31">
        <w:rPr>
          <w:lang w:val="es-ES_tradnl"/>
        </w:rPr>
        <w:t>programa</w:t>
      </w:r>
      <w:r w:rsidRPr="00976BFF">
        <w:rPr>
          <w:lang w:val="es-ES_tradnl"/>
        </w:rPr>
        <w:t xml:space="preserve">, sus principales funciones incluyen: i) definir los topes de gastos </w:t>
      </w:r>
      <w:r w:rsidR="00C00E52" w:rsidRPr="00976BFF">
        <w:rPr>
          <w:lang w:val="es-ES_tradnl"/>
        </w:rPr>
        <w:t xml:space="preserve">para todos los ministerios del Gobierno de Uruguay que dependen de los ingresos fiscales y externos efectivamente obtenidos; ii) recaudar los fondos presupuestarios y entregarlos a los ministerios en el curso de la implementación del plan de caja del Gobierno; iii) realizar el control interno obligatorio (control previo) de todo el gasto presupuestario; iv) administrar los fondos del Gobierno depositados en sus cuentas bancarias y efectuar pagos a los proveedores de obras, bienes y servicios, y v) preparar los estados financieros anuales obligatorios y presentarlos al </w:t>
      </w:r>
      <w:r w:rsidR="001B0CCB" w:rsidRPr="00976BFF">
        <w:rPr>
          <w:lang w:val="es-ES_tradnl"/>
        </w:rPr>
        <w:t xml:space="preserve">Tribunal de Cuentas de la </w:t>
      </w:r>
      <w:r w:rsidR="008C29C8" w:rsidRPr="00976BFF">
        <w:rPr>
          <w:lang w:val="es-ES_tradnl"/>
        </w:rPr>
        <w:t>Rep</w:t>
      </w:r>
      <w:r w:rsidR="008C29C8">
        <w:rPr>
          <w:lang w:val="es-ES_tradnl"/>
        </w:rPr>
        <w:t>ú</w:t>
      </w:r>
      <w:r w:rsidR="008C29C8" w:rsidRPr="00976BFF">
        <w:rPr>
          <w:lang w:val="es-ES_tradnl"/>
        </w:rPr>
        <w:t xml:space="preserve">blica </w:t>
      </w:r>
      <w:r w:rsidR="00C00E52" w:rsidRPr="00976BFF">
        <w:rPr>
          <w:lang w:val="es-ES_tradnl"/>
        </w:rPr>
        <w:t xml:space="preserve">a través del proceso de </w:t>
      </w:r>
      <w:r w:rsidR="00EF6426">
        <w:rPr>
          <w:lang w:val="es-ES_tradnl"/>
        </w:rPr>
        <w:t>r</w:t>
      </w:r>
      <w:r w:rsidR="00EF6426" w:rsidRPr="00976BFF">
        <w:rPr>
          <w:lang w:val="es-ES_tradnl"/>
        </w:rPr>
        <w:t xml:space="preserve">endición </w:t>
      </w:r>
      <w:r w:rsidR="001B0CCB" w:rsidRPr="00976BFF">
        <w:rPr>
          <w:lang w:val="es-ES_tradnl"/>
        </w:rPr>
        <w:t xml:space="preserve">de </w:t>
      </w:r>
      <w:r w:rsidR="00EF6426">
        <w:rPr>
          <w:lang w:val="es-ES_tradnl"/>
        </w:rPr>
        <w:t>c</w:t>
      </w:r>
      <w:r w:rsidR="00EF6426" w:rsidRPr="00976BFF">
        <w:rPr>
          <w:lang w:val="es-ES_tradnl"/>
        </w:rPr>
        <w:t>uentas</w:t>
      </w:r>
      <w:r w:rsidR="00652CFE" w:rsidRPr="00976BFF">
        <w:rPr>
          <w:lang w:val="es-ES_tradnl"/>
        </w:rPr>
        <w:t xml:space="preserve">. </w:t>
      </w:r>
      <w:r w:rsidR="00C00E52" w:rsidRPr="00976BFF">
        <w:rPr>
          <w:lang w:val="es-ES_tradnl"/>
        </w:rPr>
        <w:t>Asimismo, la AIN tiene la responsabilidad de supervisar el desempeño y el funcionamiento eficaz de los controles internos existentes</w:t>
      </w:r>
      <w:r w:rsidR="00652CFE" w:rsidRPr="00976BFF">
        <w:rPr>
          <w:lang w:val="es-ES_tradnl"/>
        </w:rPr>
        <w:t xml:space="preserve">. </w:t>
      </w:r>
    </w:p>
    <w:p w:rsidR="00A764A2" w:rsidRPr="00976BFF" w:rsidRDefault="003D6DF4" w:rsidP="00EB3076">
      <w:pPr>
        <w:pStyle w:val="Heading4"/>
        <w:rPr>
          <w:lang w:val="es-ES_tradnl"/>
        </w:rPr>
      </w:pPr>
      <w:r w:rsidRPr="00976BFF">
        <w:rPr>
          <w:lang w:val="es-ES_tradnl"/>
        </w:rPr>
        <w:t xml:space="preserve">Ministerio de Vivienda, Ordenamiento Territorial y </w:t>
      </w:r>
      <w:r w:rsidR="0052559E" w:rsidRPr="00976BFF">
        <w:rPr>
          <w:lang w:val="es-ES_tradnl"/>
        </w:rPr>
        <w:t xml:space="preserve">Medio </w:t>
      </w:r>
      <w:r w:rsidRPr="00976BFF">
        <w:rPr>
          <w:lang w:val="es-ES_tradnl"/>
        </w:rPr>
        <w:t>Ambiente</w:t>
      </w:r>
    </w:p>
    <w:p w:rsidR="0007594F" w:rsidRPr="00976BFF" w:rsidRDefault="00BA250D" w:rsidP="00EB3076">
      <w:pPr>
        <w:pStyle w:val="Annexmain"/>
        <w:ind w:firstLine="0"/>
        <w:rPr>
          <w:lang w:val="es-ES_tradnl"/>
        </w:rPr>
      </w:pPr>
      <w:r w:rsidRPr="00976BFF">
        <w:rPr>
          <w:lang w:val="es-ES_tradnl"/>
        </w:rPr>
        <w:t xml:space="preserve">El </w:t>
      </w:r>
      <w:r w:rsidR="00EF11FB">
        <w:rPr>
          <w:lang w:val="es-ES_tradnl"/>
        </w:rPr>
        <w:t>Ministerio de Vivienda, Ordenamiento Territorial y Medio Ambiente (</w:t>
      </w:r>
      <w:r w:rsidR="003D6DF4" w:rsidRPr="00976BFF">
        <w:rPr>
          <w:lang w:val="es-ES_tradnl"/>
        </w:rPr>
        <w:t>MVOT</w:t>
      </w:r>
      <w:r w:rsidR="0052559E" w:rsidRPr="00976BFF">
        <w:rPr>
          <w:lang w:val="es-ES_tradnl"/>
        </w:rPr>
        <w:t>M</w:t>
      </w:r>
      <w:r w:rsidR="003D6DF4" w:rsidRPr="00976BFF">
        <w:rPr>
          <w:lang w:val="es-ES_tradnl"/>
        </w:rPr>
        <w:t>A</w:t>
      </w:r>
      <w:r w:rsidR="00EF11FB">
        <w:rPr>
          <w:lang w:val="es-ES_tradnl"/>
        </w:rPr>
        <w:t>)</w:t>
      </w:r>
      <w:r w:rsidR="003D6DF4" w:rsidRPr="00976BFF">
        <w:rPr>
          <w:lang w:val="es-ES_tradnl"/>
        </w:rPr>
        <w:t xml:space="preserve">, </w:t>
      </w:r>
      <w:r w:rsidRPr="00976BFF">
        <w:rPr>
          <w:lang w:val="es-ES_tradnl"/>
        </w:rPr>
        <w:t xml:space="preserve">especialmente </w:t>
      </w:r>
      <w:r w:rsidR="00EF11FB">
        <w:rPr>
          <w:lang w:val="es-ES_tradnl"/>
        </w:rPr>
        <w:t>la</w:t>
      </w:r>
      <w:r w:rsidR="00EF11FB" w:rsidRPr="00976BFF">
        <w:rPr>
          <w:lang w:val="es-ES_tradnl"/>
        </w:rPr>
        <w:t xml:space="preserve"> </w:t>
      </w:r>
      <w:r w:rsidR="003D6DF4" w:rsidRPr="00976BFF">
        <w:rPr>
          <w:lang w:val="es-ES_tradnl"/>
        </w:rPr>
        <w:t xml:space="preserve">DINAMA, </w:t>
      </w:r>
      <w:r w:rsidRPr="00976BFF">
        <w:rPr>
          <w:lang w:val="es-ES_tradnl"/>
        </w:rPr>
        <w:t>se encarga de otorgar las licencias ambientales de las obras</w:t>
      </w:r>
      <w:r w:rsidR="00B6629A" w:rsidRPr="00976BFF">
        <w:rPr>
          <w:lang w:val="es-ES_tradnl"/>
        </w:rPr>
        <w:t xml:space="preserve"> y es la autoridad ambiental nacional responsable de la evaluación ambiental, la clasificación y la emisión de permisos ambientales</w:t>
      </w:r>
      <w:r w:rsidRPr="00976BFF">
        <w:rPr>
          <w:lang w:val="es-ES_tradnl"/>
        </w:rPr>
        <w:t>.</w:t>
      </w:r>
    </w:p>
    <w:p w:rsidR="00A764A2" w:rsidRPr="00976BFF" w:rsidRDefault="003D6DF4" w:rsidP="00EB3076">
      <w:pPr>
        <w:pStyle w:val="Heading4"/>
        <w:rPr>
          <w:lang w:val="es-ES_tradnl"/>
        </w:rPr>
      </w:pPr>
      <w:r w:rsidRPr="00976BFF">
        <w:rPr>
          <w:lang w:val="es-ES_tradnl"/>
        </w:rPr>
        <w:t>Ot</w:t>
      </w:r>
      <w:r w:rsidR="00B6629A" w:rsidRPr="00976BFF">
        <w:rPr>
          <w:lang w:val="es-ES_tradnl"/>
        </w:rPr>
        <w:t>ras partes importantes</w:t>
      </w:r>
    </w:p>
    <w:p w:rsidR="0007594F" w:rsidRPr="00976BFF" w:rsidRDefault="00B6629A" w:rsidP="00EB3076">
      <w:pPr>
        <w:pStyle w:val="Annexmain"/>
        <w:ind w:firstLine="0"/>
        <w:rPr>
          <w:lang w:val="es-ES_tradnl"/>
        </w:rPr>
      </w:pPr>
      <w:r w:rsidRPr="00976BFF">
        <w:rPr>
          <w:lang w:val="es-ES_tradnl"/>
        </w:rPr>
        <w:t>La</w:t>
      </w:r>
      <w:r w:rsidR="003D6DF4" w:rsidRPr="00976BFF">
        <w:rPr>
          <w:lang w:val="es-ES_tradnl"/>
        </w:rPr>
        <w:t xml:space="preserve"> </w:t>
      </w:r>
      <w:r w:rsidRPr="00976BFF">
        <w:rPr>
          <w:lang w:val="es-ES_tradnl"/>
        </w:rPr>
        <w:t>OPP</w:t>
      </w:r>
      <w:r w:rsidR="003D6DF4" w:rsidRPr="00976BFF">
        <w:rPr>
          <w:lang w:val="es-ES_tradnl"/>
        </w:rPr>
        <w:t>,</w:t>
      </w:r>
      <w:r w:rsidRPr="00976BFF">
        <w:rPr>
          <w:lang w:val="es-ES_tradnl"/>
        </w:rPr>
        <w:t xml:space="preserve"> que depende de la Presidencia, se encarga de elaborar los presupuestos anuales y quinquenales. </w:t>
      </w:r>
      <w:r w:rsidR="009914EF" w:rsidRPr="00976BFF">
        <w:rPr>
          <w:lang w:val="es-ES_tradnl"/>
        </w:rPr>
        <w:t xml:space="preserve">El Tribunal de Cuentas de la </w:t>
      </w:r>
      <w:r w:rsidR="008C29C8" w:rsidRPr="00976BFF">
        <w:rPr>
          <w:lang w:val="es-ES_tradnl"/>
        </w:rPr>
        <w:t>Rep</w:t>
      </w:r>
      <w:r w:rsidR="008C29C8">
        <w:rPr>
          <w:lang w:val="es-ES_tradnl"/>
        </w:rPr>
        <w:t>ú</w:t>
      </w:r>
      <w:r w:rsidR="008C29C8" w:rsidRPr="00976BFF">
        <w:rPr>
          <w:lang w:val="es-ES_tradnl"/>
        </w:rPr>
        <w:t>blica</w:t>
      </w:r>
      <w:r w:rsidR="00D05A7C">
        <w:rPr>
          <w:lang w:val="es-ES_tradnl"/>
        </w:rPr>
        <w:t>,</w:t>
      </w:r>
      <w:r w:rsidR="009914EF" w:rsidRPr="00976BFF">
        <w:rPr>
          <w:lang w:val="es-ES_tradnl"/>
        </w:rPr>
        <w:t xml:space="preserve"> la entidad fiscalizadora superior</w:t>
      </w:r>
      <w:r w:rsidR="00D05A7C">
        <w:rPr>
          <w:lang w:val="es-ES_tradnl"/>
        </w:rPr>
        <w:t xml:space="preserve"> del país, cumple la función</w:t>
      </w:r>
      <w:r w:rsidR="009914EF" w:rsidRPr="00976BFF">
        <w:rPr>
          <w:lang w:val="es-ES_tradnl"/>
        </w:rPr>
        <w:t xml:space="preserve"> de supervisar los procesos relativos al gasto y las adquisiciones aplicados por los diversos min</w:t>
      </w:r>
      <w:r w:rsidR="001C47AE">
        <w:rPr>
          <w:lang w:val="es-ES_tradnl"/>
        </w:rPr>
        <w:t xml:space="preserve">isterios, entre ellos el MTOP, </w:t>
      </w:r>
      <w:r w:rsidR="009914EF" w:rsidRPr="00976BFF">
        <w:rPr>
          <w:lang w:val="es-ES_tradnl"/>
        </w:rPr>
        <w:t>y realiza la auditoría de los informes financieros anuales del Estado (</w:t>
      </w:r>
      <w:r w:rsidR="00856A47">
        <w:rPr>
          <w:lang w:val="es-ES_tradnl"/>
        </w:rPr>
        <w:t>r</w:t>
      </w:r>
      <w:r w:rsidR="00856A47" w:rsidRPr="000B5989">
        <w:rPr>
          <w:lang w:val="es-ES_tradnl"/>
        </w:rPr>
        <w:t xml:space="preserve">endición </w:t>
      </w:r>
      <w:r w:rsidR="009914EF" w:rsidRPr="000B5989">
        <w:rPr>
          <w:lang w:val="es-ES_tradnl"/>
        </w:rPr>
        <w:t xml:space="preserve">de </w:t>
      </w:r>
      <w:r w:rsidR="00856A47">
        <w:rPr>
          <w:lang w:val="es-ES_tradnl"/>
        </w:rPr>
        <w:t>c</w:t>
      </w:r>
      <w:r w:rsidR="00856A47" w:rsidRPr="000B5989">
        <w:rPr>
          <w:lang w:val="es-ES_tradnl"/>
        </w:rPr>
        <w:t>uentas</w:t>
      </w:r>
      <w:r w:rsidR="009914EF" w:rsidRPr="00976BFF">
        <w:rPr>
          <w:lang w:val="es-ES_tradnl"/>
        </w:rPr>
        <w:t>).</w:t>
      </w:r>
    </w:p>
    <w:p w:rsidR="00A764A2" w:rsidRPr="00976BFF" w:rsidRDefault="00B6629A" w:rsidP="00EB3076">
      <w:pPr>
        <w:pStyle w:val="Heading3"/>
        <w:rPr>
          <w:lang w:val="es-ES_tradnl"/>
        </w:rPr>
      </w:pPr>
      <w:bookmarkStart w:id="41" w:name="_Toc327539996"/>
      <w:bookmarkStart w:id="42" w:name="_Toc344927175"/>
      <w:r w:rsidRPr="00976BFF">
        <w:rPr>
          <w:lang w:val="es-ES_tradnl"/>
        </w:rPr>
        <w:t xml:space="preserve">Mecanismos institucionales del </w:t>
      </w:r>
      <w:bookmarkEnd w:id="41"/>
      <w:bookmarkEnd w:id="42"/>
      <w:r w:rsidR="00650A31">
        <w:rPr>
          <w:lang w:val="es-ES_tradnl"/>
        </w:rPr>
        <w:t>programa</w:t>
      </w:r>
    </w:p>
    <w:p w:rsidR="00A764A2" w:rsidRPr="00976BFF" w:rsidRDefault="00B6629A" w:rsidP="00EB3076">
      <w:pPr>
        <w:pStyle w:val="Heading4"/>
        <w:rPr>
          <w:lang w:val="es-ES_tradnl"/>
        </w:rPr>
      </w:pPr>
      <w:r w:rsidRPr="00976BFF">
        <w:rPr>
          <w:lang w:val="es-ES_tradnl"/>
        </w:rPr>
        <w:t xml:space="preserve">Ejecución técnica del </w:t>
      </w:r>
      <w:r w:rsidR="00650A31">
        <w:rPr>
          <w:lang w:val="es-ES_tradnl"/>
        </w:rPr>
        <w:t>programa</w:t>
      </w:r>
      <w:r w:rsidR="003D6DF4" w:rsidRPr="00976BFF">
        <w:rPr>
          <w:lang w:val="es-ES_tradnl"/>
        </w:rPr>
        <w:t xml:space="preserve"> </w:t>
      </w:r>
      <w:r w:rsidR="00AE407E" w:rsidRPr="00976BFF">
        <w:rPr>
          <w:lang w:val="es-ES_tradnl"/>
        </w:rPr>
        <w:t>(</w:t>
      </w:r>
      <w:r w:rsidRPr="00976BFF">
        <w:rPr>
          <w:lang w:val="es-ES_tradnl"/>
        </w:rPr>
        <w:t>véase también el anexo</w:t>
      </w:r>
      <w:r w:rsidR="00AE407E" w:rsidRPr="00976BFF">
        <w:rPr>
          <w:lang w:val="es-ES_tradnl"/>
        </w:rPr>
        <w:t xml:space="preserve"> 4)</w:t>
      </w:r>
    </w:p>
    <w:p w:rsidR="0007594F" w:rsidRPr="00976BFF" w:rsidRDefault="0041702E" w:rsidP="00EB3076">
      <w:pPr>
        <w:pStyle w:val="Annexmain"/>
        <w:ind w:firstLine="0"/>
        <w:rPr>
          <w:lang w:val="es-ES_tradnl"/>
        </w:rPr>
      </w:pPr>
      <w:r w:rsidRPr="00976BFF">
        <w:rPr>
          <w:lang w:val="es-ES_tradnl"/>
        </w:rPr>
        <w:t xml:space="preserve">Todas las </w:t>
      </w:r>
      <w:r w:rsidR="003B306E" w:rsidRPr="00976BFF">
        <w:rPr>
          <w:lang w:val="es-ES_tradnl"/>
        </w:rPr>
        <w:t>gerencias</w:t>
      </w:r>
      <w:r w:rsidRPr="00976BFF">
        <w:rPr>
          <w:lang w:val="es-ES_tradnl"/>
        </w:rPr>
        <w:t xml:space="preserve"> de la </w:t>
      </w:r>
      <w:r w:rsidR="003D6DF4" w:rsidRPr="00976BFF">
        <w:rPr>
          <w:lang w:val="es-ES_tradnl"/>
        </w:rPr>
        <w:t>DNV</w:t>
      </w:r>
      <w:r w:rsidRPr="00976BFF">
        <w:rPr>
          <w:lang w:val="es-ES_tradnl"/>
        </w:rPr>
        <w:t xml:space="preserve"> intervienen, en cierta medida, en la ejecución técnica del </w:t>
      </w:r>
      <w:r w:rsidR="00650A31">
        <w:rPr>
          <w:lang w:val="es-ES_tradnl"/>
        </w:rPr>
        <w:t>programa</w:t>
      </w:r>
      <w:r w:rsidRPr="00976BFF">
        <w:rPr>
          <w:lang w:val="es-ES_tradnl"/>
        </w:rPr>
        <w:t xml:space="preserve">. A nivel de la planificación, la </w:t>
      </w:r>
      <w:r w:rsidR="003D6DF4" w:rsidRPr="00976BFF">
        <w:rPr>
          <w:lang w:val="es-ES_tradnl"/>
        </w:rPr>
        <w:t xml:space="preserve">Gerencia de </w:t>
      </w:r>
      <w:r w:rsidR="009914EF" w:rsidRPr="00976BFF">
        <w:rPr>
          <w:lang w:val="es-ES_tradnl"/>
        </w:rPr>
        <w:t>Programación</w:t>
      </w:r>
      <w:r w:rsidRPr="00976BFF">
        <w:rPr>
          <w:lang w:val="es-ES_tradnl"/>
        </w:rPr>
        <w:t xml:space="preserve"> se encarga de la planificación a mediano plazo de las obras viales, la asignación de prioridad a las obras de corto plazo, el seguimiento del presupuesto, las estimaciones de costos de las obras y la evaluación económica. La </w:t>
      </w:r>
      <w:r w:rsidR="003D6DF4" w:rsidRPr="00976BFF">
        <w:rPr>
          <w:lang w:val="es-ES_tradnl"/>
        </w:rPr>
        <w:t>Gerencia de Estudios y Proyectos</w:t>
      </w:r>
      <w:r w:rsidRPr="00976BFF">
        <w:rPr>
          <w:lang w:val="es-ES_tradnl"/>
        </w:rPr>
        <w:t xml:space="preserve"> realiza la mayoría de los diseños de ingeniería de las obras de rehabilitación vial del </w:t>
      </w:r>
      <w:r w:rsidR="008A1019">
        <w:rPr>
          <w:lang w:val="es-ES_tradnl"/>
        </w:rPr>
        <w:t>programa</w:t>
      </w:r>
      <w:r w:rsidRPr="00976BFF">
        <w:rPr>
          <w:lang w:val="es-ES_tradnl"/>
        </w:rPr>
        <w:t xml:space="preserve">. </w:t>
      </w:r>
      <w:r w:rsidR="00C606D6" w:rsidRPr="00976BFF">
        <w:rPr>
          <w:lang w:val="es-ES_tradnl"/>
        </w:rPr>
        <w:t xml:space="preserve">Una vez que se adjudica el contrato de obras, la </w:t>
      </w:r>
      <w:r w:rsidR="003D6DF4" w:rsidRPr="00976BFF">
        <w:rPr>
          <w:lang w:val="es-ES_tradnl"/>
        </w:rPr>
        <w:t xml:space="preserve">Gerencia de </w:t>
      </w:r>
      <w:r w:rsidR="00C606D6" w:rsidRPr="00976BFF">
        <w:rPr>
          <w:lang w:val="es-ES_tradnl"/>
        </w:rPr>
        <w:t>C</w:t>
      </w:r>
      <w:r w:rsidR="003D6DF4" w:rsidRPr="00976BFF">
        <w:rPr>
          <w:lang w:val="es-ES_tradnl"/>
        </w:rPr>
        <w:t>onstrucciones</w:t>
      </w:r>
      <w:r w:rsidR="00C606D6" w:rsidRPr="00976BFF">
        <w:rPr>
          <w:lang w:val="es-ES_tradnl"/>
        </w:rPr>
        <w:t xml:space="preserve"> es responsable de realizar la supervisión técnica, ambiental, administrativa y financiera del contrato; esta gerencia también se encarga de realizar un seguimiento del contrato de concesión de </w:t>
      </w:r>
      <w:r w:rsidR="003D6DF4" w:rsidRPr="00976BFF">
        <w:rPr>
          <w:lang w:val="es-ES_tradnl"/>
        </w:rPr>
        <w:t>CVU</w:t>
      </w:r>
      <w:r w:rsidR="00C606D6" w:rsidRPr="00976BFF">
        <w:rPr>
          <w:lang w:val="es-ES_tradnl"/>
        </w:rPr>
        <w:t xml:space="preserve">. </w:t>
      </w:r>
      <w:r w:rsidR="00F92BFD" w:rsidRPr="00976BFF">
        <w:rPr>
          <w:lang w:val="es-ES_tradnl"/>
        </w:rPr>
        <w:t xml:space="preserve">Mientras que la Gerencia de Construcciones supervisa los contratos de obras de rehabilitación, la Gerencia de Conservación se encarga de la supervisión de los contratos de mantenimiento vial de rutina, los contratos </w:t>
      </w:r>
      <w:r w:rsidR="00856A47" w:rsidRPr="00976BFF">
        <w:rPr>
          <w:lang w:val="es-ES_tradnl"/>
        </w:rPr>
        <w:t>de rehabilitación y mantenimiento por resultados</w:t>
      </w:r>
      <w:r w:rsidR="00856A47" w:rsidRPr="00976BFF" w:rsidDel="00856A47">
        <w:rPr>
          <w:lang w:val="es-ES_tradnl"/>
        </w:rPr>
        <w:t xml:space="preserve"> </w:t>
      </w:r>
      <w:r w:rsidR="00F92BFD" w:rsidRPr="00976BFF">
        <w:rPr>
          <w:lang w:val="es-ES_tradnl"/>
        </w:rPr>
        <w:t xml:space="preserve">y los contratos de seguridad vial; esta gerencia también proporciona un cierto grado de apoyo técnico a las gerencias regionales. Las 10 gerencias regionales de mantenimiento se encargan de las obras de mantenimiento de rutina ejecutadas por la DNV en la red vial nacional. </w:t>
      </w:r>
      <w:r w:rsidR="003B306E" w:rsidRPr="00976BFF">
        <w:rPr>
          <w:lang w:val="es-ES_tradnl"/>
        </w:rPr>
        <w:t xml:space="preserve">Sus funciones abarcan la supervisión ambiental de las obras viales y los contratistas </w:t>
      </w:r>
      <w:r w:rsidR="007C356D">
        <w:rPr>
          <w:lang w:val="es-ES_tradnl"/>
        </w:rPr>
        <w:t>así como proporcionar</w:t>
      </w:r>
      <w:r w:rsidR="003B306E" w:rsidRPr="00976BFF">
        <w:rPr>
          <w:lang w:val="es-ES_tradnl"/>
        </w:rPr>
        <w:t xml:space="preserve"> un cierto grado de asistencia técnica a las </w:t>
      </w:r>
      <w:r w:rsidR="00D05A7C">
        <w:rPr>
          <w:lang w:val="es-ES_tradnl"/>
        </w:rPr>
        <w:t xml:space="preserve">19 </w:t>
      </w:r>
      <w:r w:rsidR="003B306E" w:rsidRPr="00976BFF">
        <w:rPr>
          <w:lang w:val="es-ES_tradnl"/>
        </w:rPr>
        <w:t xml:space="preserve">intendencias </w:t>
      </w:r>
      <w:r w:rsidR="00D05A7C">
        <w:rPr>
          <w:lang w:val="es-ES_tradnl"/>
        </w:rPr>
        <w:t>para</w:t>
      </w:r>
      <w:r w:rsidR="003B306E" w:rsidRPr="00976BFF">
        <w:rPr>
          <w:lang w:val="es-ES_tradnl"/>
        </w:rPr>
        <w:t xml:space="preserve"> la rehabilitación y el mantenimiento de los caminos locales. Por último, la Gerencia de Apoyo de la DNV proporciona un cierto grado de apoyo administrativo a otras gerencias, especialmente en lo referente a las adquisiciones y la gestión financiera. Los procesos de </w:t>
      </w:r>
      <w:r w:rsidR="001C47AE">
        <w:rPr>
          <w:lang w:val="es-ES_tradnl"/>
        </w:rPr>
        <w:t xml:space="preserve">ejecución técnica se aplican a </w:t>
      </w:r>
      <w:r w:rsidR="003B306E" w:rsidRPr="00976BFF">
        <w:rPr>
          <w:lang w:val="es-ES_tradnl"/>
        </w:rPr>
        <w:t xml:space="preserve">todas las actividades incluidas en el </w:t>
      </w:r>
      <w:r w:rsidR="008A1019">
        <w:rPr>
          <w:lang w:val="es-ES_tradnl"/>
        </w:rPr>
        <w:t>programa</w:t>
      </w:r>
      <w:r w:rsidR="0092624E" w:rsidRPr="00976BFF">
        <w:rPr>
          <w:lang w:val="es-ES_tradnl"/>
        </w:rPr>
        <w:t>.</w:t>
      </w:r>
    </w:p>
    <w:p w:rsidR="00A764A2" w:rsidRPr="00976BFF" w:rsidRDefault="003B306E" w:rsidP="00EB3076">
      <w:pPr>
        <w:pStyle w:val="Heading4"/>
        <w:rPr>
          <w:lang w:val="es-ES_tradnl"/>
        </w:rPr>
      </w:pPr>
      <w:r w:rsidRPr="00976BFF">
        <w:rPr>
          <w:lang w:val="es-ES_tradnl"/>
        </w:rPr>
        <w:t xml:space="preserve">Ejecución fiduciaria del </w:t>
      </w:r>
      <w:r w:rsidR="008A1019">
        <w:rPr>
          <w:lang w:val="es-ES_tradnl"/>
        </w:rPr>
        <w:t>programa</w:t>
      </w:r>
      <w:r w:rsidR="00AE407E" w:rsidRPr="00976BFF">
        <w:rPr>
          <w:lang w:val="es-ES_tradnl"/>
        </w:rPr>
        <w:t xml:space="preserve"> (</w:t>
      </w:r>
      <w:r w:rsidRPr="00976BFF">
        <w:rPr>
          <w:lang w:val="es-ES_tradnl"/>
        </w:rPr>
        <w:t>véase también el anexo</w:t>
      </w:r>
      <w:r w:rsidR="00AE407E" w:rsidRPr="00976BFF">
        <w:rPr>
          <w:lang w:val="es-ES_tradnl"/>
        </w:rPr>
        <w:t xml:space="preserve"> 5)</w:t>
      </w:r>
    </w:p>
    <w:p w:rsidR="0007594F" w:rsidRPr="00976BFF" w:rsidRDefault="00C66D4F" w:rsidP="00EB3076">
      <w:pPr>
        <w:pStyle w:val="Annexmain"/>
        <w:ind w:firstLine="0"/>
        <w:rPr>
          <w:u w:val="single"/>
          <w:lang w:val="es-ES_tradnl"/>
        </w:rPr>
      </w:pPr>
      <w:r w:rsidRPr="00976BFF">
        <w:rPr>
          <w:lang w:val="es-ES_tradnl"/>
        </w:rPr>
        <w:t>La principal ley que regula las adquisiciones y la gestión financiera en Uruguay es e</w:t>
      </w:r>
      <w:r w:rsidR="003B306E" w:rsidRPr="00976BFF">
        <w:rPr>
          <w:lang w:val="es-ES_tradnl"/>
        </w:rPr>
        <w:t>l</w:t>
      </w:r>
      <w:r w:rsidR="003D6DF4" w:rsidRPr="00976BFF">
        <w:rPr>
          <w:lang w:val="es-ES_tradnl"/>
        </w:rPr>
        <w:t xml:space="preserve"> </w:t>
      </w:r>
      <w:r w:rsidR="003B306E" w:rsidRPr="00976BFF">
        <w:rPr>
          <w:lang w:val="es-ES_tradnl"/>
        </w:rPr>
        <w:t>TOCAF</w:t>
      </w:r>
      <w:r w:rsidRPr="00976BFF">
        <w:rPr>
          <w:lang w:val="es-ES_tradnl"/>
        </w:rPr>
        <w:t xml:space="preserve">, que se aplica en particular al </w:t>
      </w:r>
      <w:r w:rsidR="008A1019">
        <w:rPr>
          <w:lang w:val="es-ES_tradnl"/>
        </w:rPr>
        <w:t>programa</w:t>
      </w:r>
      <w:r w:rsidRPr="00976BFF">
        <w:rPr>
          <w:lang w:val="es-ES_tradnl"/>
        </w:rPr>
        <w:t xml:space="preserve">. El </w:t>
      </w:r>
      <w:r w:rsidR="003D6DF4" w:rsidRPr="00976BFF">
        <w:rPr>
          <w:lang w:val="es-ES_tradnl"/>
        </w:rPr>
        <w:t xml:space="preserve">TOCAF </w:t>
      </w:r>
      <w:r w:rsidRPr="00976BFF">
        <w:rPr>
          <w:lang w:val="es-ES_tradnl"/>
        </w:rPr>
        <w:t xml:space="preserve">ha sido actualizado recientemente y la nueva versión entró en vigor el 1 de junio de </w:t>
      </w:r>
      <w:r w:rsidR="00875D58" w:rsidRPr="00976BFF">
        <w:rPr>
          <w:lang w:val="es-ES_tradnl"/>
        </w:rPr>
        <w:t>2012.</w:t>
      </w:r>
      <w:r w:rsidR="00E20B27" w:rsidRPr="00976BFF">
        <w:rPr>
          <w:lang w:val="es-ES_tradnl"/>
        </w:rPr>
        <w:t xml:space="preserve"> </w:t>
      </w:r>
      <w:r w:rsidRPr="00976BFF">
        <w:rPr>
          <w:lang w:val="es-ES_tradnl"/>
        </w:rPr>
        <w:t xml:space="preserve">Para un examen detallado de las modificaciones incorporadas recientemente al </w:t>
      </w:r>
      <w:r w:rsidR="00E20B27" w:rsidRPr="00976BFF">
        <w:rPr>
          <w:lang w:val="es-ES_tradnl"/>
        </w:rPr>
        <w:t>TOCAF,</w:t>
      </w:r>
      <w:r w:rsidRPr="00976BFF">
        <w:rPr>
          <w:lang w:val="es-ES_tradnl"/>
        </w:rPr>
        <w:t xml:space="preserve"> véase el documento sobre la evaluación fiduciaria. En la ejecución de los contratos financiados por el BID y por el </w:t>
      </w:r>
      <w:r w:rsidR="00AE407E" w:rsidRPr="00976BFF">
        <w:rPr>
          <w:lang w:val="es-ES_tradnl"/>
        </w:rPr>
        <w:t>FONPLATA</w:t>
      </w:r>
      <w:r w:rsidRPr="00976BFF">
        <w:rPr>
          <w:lang w:val="es-ES_tradnl"/>
        </w:rPr>
        <w:t xml:space="preserve"> se utilizarán los mismos sistemas fiduciarios, con algunos mecanismos específicos en materia de adquisiciones</w:t>
      </w:r>
      <w:r w:rsidR="00AE407E" w:rsidRPr="00976BFF">
        <w:rPr>
          <w:lang w:val="es-ES_tradnl"/>
        </w:rPr>
        <w:t xml:space="preserve">. </w:t>
      </w:r>
    </w:p>
    <w:p w:rsidR="00E521B9" w:rsidRPr="00976BFF" w:rsidRDefault="00C66D4F" w:rsidP="00EB3076">
      <w:pPr>
        <w:pStyle w:val="Annexmain"/>
        <w:ind w:firstLine="0"/>
        <w:rPr>
          <w:lang w:val="es-ES_tradnl"/>
        </w:rPr>
      </w:pPr>
      <w:r w:rsidRPr="00976BFF">
        <w:rPr>
          <w:b/>
          <w:lang w:val="es-ES_tradnl"/>
        </w:rPr>
        <w:t>Adquisiciones</w:t>
      </w:r>
      <w:r w:rsidR="003D6DF4" w:rsidRPr="000B5989">
        <w:rPr>
          <w:b/>
          <w:lang w:val="es-ES_tradnl"/>
        </w:rPr>
        <w:t>.</w:t>
      </w:r>
      <w:r w:rsidR="006617EA" w:rsidRPr="00976BFF">
        <w:rPr>
          <w:lang w:val="es-ES_tradnl"/>
        </w:rPr>
        <w:t xml:space="preserve"> </w:t>
      </w:r>
      <w:r w:rsidR="00CD4E21" w:rsidRPr="00976BFF">
        <w:rPr>
          <w:lang w:val="es-ES_tradnl"/>
        </w:rPr>
        <w:t>La</w:t>
      </w:r>
      <w:r w:rsidR="00EF45BB" w:rsidRPr="00976BFF">
        <w:rPr>
          <w:lang w:val="es-ES_tradnl"/>
        </w:rPr>
        <w:t xml:space="preserve"> </w:t>
      </w:r>
      <w:r w:rsidR="00A23DDA" w:rsidRPr="00976BFF">
        <w:rPr>
          <w:lang w:val="es-ES_tradnl"/>
        </w:rPr>
        <w:t>Gerencia de Administración</w:t>
      </w:r>
      <w:r w:rsidR="00EF45BB" w:rsidRPr="00976BFF">
        <w:rPr>
          <w:lang w:val="es-ES_tradnl"/>
        </w:rPr>
        <w:t xml:space="preserve"> de la DNV prepara los documentos de licitación con la información suministrada por las unidades técnicas. Dependiendo del monto estimado del contrato, un funcionario (el ordenador de gasto), como el </w:t>
      </w:r>
      <w:r w:rsidR="000F6C8F">
        <w:rPr>
          <w:lang w:val="es-ES_tradnl"/>
        </w:rPr>
        <w:t>d</w:t>
      </w:r>
      <w:r w:rsidR="000F6C8F" w:rsidRPr="00976BFF">
        <w:rPr>
          <w:lang w:val="es-ES_tradnl"/>
        </w:rPr>
        <w:t xml:space="preserve">irector </w:t>
      </w:r>
      <w:r w:rsidR="00EF45BB" w:rsidRPr="00976BFF">
        <w:rPr>
          <w:lang w:val="es-ES_tradnl"/>
        </w:rPr>
        <w:t xml:space="preserve">de la DNV, el </w:t>
      </w:r>
      <w:r w:rsidR="000F6C8F">
        <w:rPr>
          <w:lang w:val="es-ES_tradnl"/>
        </w:rPr>
        <w:t>m</w:t>
      </w:r>
      <w:r w:rsidR="000F6C8F" w:rsidRPr="00976BFF">
        <w:rPr>
          <w:lang w:val="es-ES_tradnl"/>
        </w:rPr>
        <w:t xml:space="preserve">inistro </w:t>
      </w:r>
      <w:r w:rsidR="00EF45BB" w:rsidRPr="00976BFF">
        <w:rPr>
          <w:lang w:val="es-ES_tradnl"/>
        </w:rPr>
        <w:t xml:space="preserve">de Trabajo y Obras Públicas o el Presidente, pone oficialmente en marcha el proceso de licitación. De acuerdo con lo previsto, la licitación pública será el proceso utilizado en el marco del </w:t>
      </w:r>
      <w:r w:rsidR="008A1019">
        <w:rPr>
          <w:lang w:val="es-ES_tradnl"/>
        </w:rPr>
        <w:t>programa</w:t>
      </w:r>
      <w:r w:rsidR="00EF45BB" w:rsidRPr="00976BFF">
        <w:rPr>
          <w:lang w:val="es-ES_tradnl"/>
        </w:rPr>
        <w:t xml:space="preserve">. Los llamados a licitación se publicarán a través de varios medios, entre ellos el sitio web de adquisiciones del Estado. Existe una clara división de funciones y responsabilidades para los principales pasos del proceso de licitación. </w:t>
      </w:r>
      <w:r w:rsidR="001B23C8" w:rsidRPr="00976BFF">
        <w:rPr>
          <w:lang w:val="es-ES_tradnl"/>
        </w:rPr>
        <w:t>La responsabilidad final de las decisiones relativas al proceso de licitación y la adjudicación de</w:t>
      </w:r>
      <w:r w:rsidR="007C356D">
        <w:rPr>
          <w:lang w:val="es-ES_tradnl"/>
        </w:rPr>
        <w:t xml:space="preserve"> </w:t>
      </w:r>
      <w:r w:rsidR="001B23C8" w:rsidRPr="00976BFF">
        <w:rPr>
          <w:lang w:val="es-ES_tradnl"/>
        </w:rPr>
        <w:t>l</w:t>
      </w:r>
      <w:r w:rsidR="007C356D">
        <w:rPr>
          <w:lang w:val="es-ES_tradnl"/>
        </w:rPr>
        <w:t>os</w:t>
      </w:r>
      <w:r w:rsidR="001B23C8" w:rsidRPr="00976BFF">
        <w:rPr>
          <w:lang w:val="es-ES_tradnl"/>
        </w:rPr>
        <w:t xml:space="preserve"> contrato</w:t>
      </w:r>
      <w:r w:rsidR="007C356D">
        <w:rPr>
          <w:lang w:val="es-ES_tradnl"/>
        </w:rPr>
        <w:t>s</w:t>
      </w:r>
      <w:r w:rsidR="001B23C8" w:rsidRPr="00976BFF">
        <w:rPr>
          <w:lang w:val="es-ES_tradnl"/>
        </w:rPr>
        <w:t xml:space="preserve"> recae en e</w:t>
      </w:r>
      <w:r w:rsidR="00EF45BB" w:rsidRPr="00976BFF">
        <w:rPr>
          <w:lang w:val="es-ES_tradnl"/>
        </w:rPr>
        <w:t>l funcionario público</w:t>
      </w:r>
      <w:r w:rsidR="001B23C8" w:rsidRPr="00976BFF">
        <w:rPr>
          <w:lang w:val="es-ES_tradnl"/>
        </w:rPr>
        <w:t xml:space="preserve">, </w:t>
      </w:r>
      <w:r w:rsidR="00191026" w:rsidRPr="00976BFF">
        <w:rPr>
          <w:lang w:val="es-ES_tradnl"/>
        </w:rPr>
        <w:t xml:space="preserve">que cuenta con la colaboración de los equipos técnicos y </w:t>
      </w:r>
      <w:r w:rsidR="008565F2" w:rsidRPr="00976BFF">
        <w:rPr>
          <w:lang w:val="es-ES_tradnl"/>
        </w:rPr>
        <w:t xml:space="preserve">de adquisiciones de la DNV y de un comité de evaluación de ofertas. El </w:t>
      </w:r>
      <w:r w:rsidR="00CF07C3">
        <w:rPr>
          <w:lang w:val="es-ES_tradnl"/>
        </w:rPr>
        <w:t xml:space="preserve">TCR </w:t>
      </w:r>
      <w:r w:rsidR="008565F2" w:rsidRPr="00976BFF">
        <w:rPr>
          <w:lang w:val="es-ES_tradnl"/>
        </w:rPr>
        <w:t xml:space="preserve">tiene la facultad de examinar previamente las decisiones que generarán gastos, incluidas las decisiones de adjudicar contratos. Los </w:t>
      </w:r>
      <w:r w:rsidR="005A0711" w:rsidRPr="00976BFF">
        <w:rPr>
          <w:lang w:val="es-ES_tradnl"/>
        </w:rPr>
        <w:t>licitante</w:t>
      </w:r>
      <w:r w:rsidR="008565F2" w:rsidRPr="00976BFF">
        <w:rPr>
          <w:lang w:val="es-ES_tradnl"/>
        </w:rPr>
        <w:t xml:space="preserve">s pueden plantear reclamaciones respecto de las decisiones durante el proceso de adquisiciones directamente al organismo de ejecución, e informar dicha reclamación al </w:t>
      </w:r>
      <w:r w:rsidR="00CF07C3">
        <w:rPr>
          <w:lang w:val="es-ES_tradnl"/>
        </w:rPr>
        <w:t>TCR</w:t>
      </w:r>
      <w:r w:rsidR="008565F2" w:rsidRPr="00976BFF">
        <w:rPr>
          <w:lang w:val="es-ES_tradnl"/>
        </w:rPr>
        <w:t xml:space="preserve">. Dado que en virtud del marco jurídico de Uruguay los organismos no están obligados a responder las reclamaciones directamente, estas se abordan en los informes sobre la evaluación de las ofertas, que están a </w:t>
      </w:r>
      <w:r w:rsidR="009914EF" w:rsidRPr="00976BFF">
        <w:rPr>
          <w:lang w:val="es-ES_tradnl"/>
        </w:rPr>
        <w:t>disposición</w:t>
      </w:r>
      <w:r w:rsidR="008565F2" w:rsidRPr="00976BFF">
        <w:rPr>
          <w:lang w:val="es-ES_tradnl"/>
        </w:rPr>
        <w:t xml:space="preserve"> de todos los </w:t>
      </w:r>
      <w:r w:rsidR="005A0711" w:rsidRPr="00976BFF">
        <w:rPr>
          <w:lang w:val="es-ES_tradnl"/>
        </w:rPr>
        <w:t>licitante</w:t>
      </w:r>
      <w:r w:rsidR="008565F2" w:rsidRPr="00976BFF">
        <w:rPr>
          <w:lang w:val="es-ES_tradnl"/>
        </w:rPr>
        <w:t>s para su examen</w:t>
      </w:r>
      <w:r w:rsidR="001C47AE">
        <w:rPr>
          <w:lang w:val="es-ES_tradnl"/>
        </w:rPr>
        <w:t xml:space="preserve">. </w:t>
      </w:r>
    </w:p>
    <w:p w:rsidR="00E521B9" w:rsidRPr="00976BFF" w:rsidRDefault="002A5451" w:rsidP="00EB3076">
      <w:pPr>
        <w:pStyle w:val="Annexmain"/>
        <w:ind w:firstLine="0"/>
        <w:rPr>
          <w:lang w:val="es-ES_tradnl"/>
        </w:rPr>
      </w:pPr>
      <w:r w:rsidRPr="00976BFF">
        <w:rPr>
          <w:lang w:val="es-ES_tradnl"/>
        </w:rPr>
        <w:t xml:space="preserve">Dado que CVU se rige por las reglamentaciones del derecho privado, no está obligada a ajustarse al TOCAF. Sin embargo, en el contrato de concesión se establece que deben respetarse sus principios, entre ellos que se den a conocer las oportunidades de adquisiciones, que todos los llamados a licitación, adjudicaciones de contratos y contratos firmados se publiquen en el sitio web de </w:t>
      </w:r>
      <w:r w:rsidR="00E521B9" w:rsidRPr="00976BFF">
        <w:rPr>
          <w:lang w:val="es-ES_tradnl"/>
        </w:rPr>
        <w:t>CVU</w:t>
      </w:r>
      <w:r w:rsidRPr="00976BFF">
        <w:rPr>
          <w:lang w:val="es-ES_tradnl"/>
        </w:rPr>
        <w:t xml:space="preserve">, y que </w:t>
      </w:r>
      <w:r w:rsidR="009914EF" w:rsidRPr="00976BFF">
        <w:rPr>
          <w:lang w:val="es-ES_tradnl"/>
        </w:rPr>
        <w:t>todos</w:t>
      </w:r>
      <w:r w:rsidRPr="00976BFF">
        <w:rPr>
          <w:lang w:val="es-ES_tradnl"/>
        </w:rPr>
        <w:t xml:space="preserve"> los </w:t>
      </w:r>
      <w:r w:rsidR="005A0711" w:rsidRPr="00976BFF">
        <w:rPr>
          <w:lang w:val="es-ES_tradnl"/>
        </w:rPr>
        <w:t>licita</w:t>
      </w:r>
      <w:r w:rsidRPr="00976BFF">
        <w:rPr>
          <w:lang w:val="es-ES_tradnl"/>
        </w:rPr>
        <w:t xml:space="preserve">ntes reciban el mismo trato independientemente del monto del contrato. </w:t>
      </w:r>
      <w:r w:rsidR="008F5083" w:rsidRPr="00976BFF">
        <w:rPr>
          <w:lang w:val="es-ES_tradnl"/>
        </w:rPr>
        <w:t>E</w:t>
      </w:r>
      <w:r w:rsidR="00F72F69" w:rsidRPr="00976BFF">
        <w:rPr>
          <w:lang w:val="es-ES_tradnl"/>
        </w:rPr>
        <w:t>n e</w:t>
      </w:r>
      <w:r w:rsidR="008F5083" w:rsidRPr="00976BFF">
        <w:rPr>
          <w:lang w:val="es-ES_tradnl"/>
        </w:rPr>
        <w:t>l acuerdo operativo en materia de adquisiciones,</w:t>
      </w:r>
      <w:r w:rsidR="00F72F69" w:rsidRPr="00976BFF">
        <w:rPr>
          <w:lang w:val="es-ES_tradnl"/>
        </w:rPr>
        <w:t xml:space="preserve"> incluido en un contrato de asistencia técnica celebrado por</w:t>
      </w:r>
      <w:r w:rsidR="00E521B9" w:rsidRPr="00976BFF">
        <w:rPr>
          <w:lang w:val="es-ES_tradnl"/>
        </w:rPr>
        <w:t xml:space="preserve"> CVU </w:t>
      </w:r>
      <w:r w:rsidR="00F72F69" w:rsidRPr="00976BFF">
        <w:rPr>
          <w:lang w:val="es-ES_tradnl"/>
        </w:rPr>
        <w:t>y la</w:t>
      </w:r>
      <w:r w:rsidR="00E521B9" w:rsidRPr="00976BFF">
        <w:rPr>
          <w:lang w:val="es-ES_tradnl"/>
        </w:rPr>
        <w:t xml:space="preserve"> DNV, </w:t>
      </w:r>
      <w:r w:rsidR="00F72F69" w:rsidRPr="00976BFF">
        <w:rPr>
          <w:lang w:val="es-ES_tradnl"/>
        </w:rPr>
        <w:t>se establece que, por una parte, CVU publicará los documentos de licitación, abrirá las ofertas, firmará los contratos y realizará los pagos a los contratistas, y, por la otra, la DNV preparará los diseños de ingeniería, las especificaciones técnicas y los documentos de licitación; evaluará todas las ofertas recibidas y recomendará la correspondiente adjudicación, y supervisará las obras realizadas por los contratistas</w:t>
      </w:r>
      <w:r w:rsidR="00E521B9" w:rsidRPr="00976BFF">
        <w:rPr>
          <w:lang w:val="es-ES_tradnl"/>
        </w:rPr>
        <w:t>.</w:t>
      </w:r>
    </w:p>
    <w:p w:rsidR="006617EA" w:rsidRPr="00976BFF" w:rsidRDefault="00A23DDA" w:rsidP="00EB3076">
      <w:pPr>
        <w:pStyle w:val="Annexmain"/>
        <w:ind w:firstLine="0"/>
        <w:rPr>
          <w:lang w:val="es-ES_tradnl"/>
        </w:rPr>
      </w:pPr>
      <w:r w:rsidRPr="00976BFF">
        <w:rPr>
          <w:b/>
          <w:lang w:val="es-ES_tradnl"/>
        </w:rPr>
        <w:t>Gestión financiera</w:t>
      </w:r>
      <w:r w:rsidR="003D6DF4" w:rsidRPr="000B5989">
        <w:rPr>
          <w:b/>
          <w:lang w:val="es-ES_tradnl"/>
        </w:rPr>
        <w:t>.</w:t>
      </w:r>
      <w:r w:rsidR="003D6DF4" w:rsidRPr="00976BFF">
        <w:rPr>
          <w:lang w:val="es-ES_tradnl"/>
        </w:rPr>
        <w:t xml:space="preserve"> </w:t>
      </w:r>
      <w:r w:rsidRPr="00976BFF">
        <w:rPr>
          <w:lang w:val="es-ES_tradnl"/>
        </w:rPr>
        <w:t xml:space="preserve">La Gerencia de Programación de la </w:t>
      </w:r>
      <w:r w:rsidR="006617EA" w:rsidRPr="00976BFF">
        <w:rPr>
          <w:lang w:val="es-ES_tradnl"/>
        </w:rPr>
        <w:t xml:space="preserve">DNV </w:t>
      </w:r>
      <w:r w:rsidR="009B0B03" w:rsidRPr="00976BFF">
        <w:rPr>
          <w:lang w:val="es-ES_tradnl"/>
        </w:rPr>
        <w:t xml:space="preserve">es </w:t>
      </w:r>
      <w:r w:rsidR="009914EF" w:rsidRPr="00976BFF">
        <w:rPr>
          <w:lang w:val="es-ES_tradnl"/>
        </w:rPr>
        <w:t>responsable</w:t>
      </w:r>
      <w:r w:rsidR="009B0B03" w:rsidRPr="00976BFF">
        <w:rPr>
          <w:lang w:val="es-ES_tradnl"/>
        </w:rPr>
        <w:t xml:space="preserve"> de la preparación y el seguimiento del presupuesto, en colaboración con la Gerencia de Administración, que desempeña la función contable de la DNV. </w:t>
      </w:r>
      <w:r w:rsidR="00A00971" w:rsidRPr="00976BFF">
        <w:rPr>
          <w:lang w:val="es-ES_tradnl"/>
        </w:rPr>
        <w:t xml:space="preserve">La ejecución del presupuesto y las transacciones de pago están en manos de cada unidad encargada del gasto (ministerio). </w:t>
      </w:r>
      <w:r w:rsidR="009B0B03" w:rsidRPr="00976BFF">
        <w:rPr>
          <w:lang w:val="es-ES_tradnl"/>
        </w:rPr>
        <w:t xml:space="preserve">Todas las transacciones presupuestarias y financieras se registran a través del </w:t>
      </w:r>
      <w:r w:rsidR="006617EA" w:rsidRPr="00976BFF">
        <w:rPr>
          <w:lang w:val="es-ES_tradnl"/>
        </w:rPr>
        <w:t>SIIF;</w:t>
      </w:r>
      <w:r w:rsidR="009B0B03" w:rsidRPr="00976BFF">
        <w:rPr>
          <w:lang w:val="es-ES_tradnl"/>
        </w:rPr>
        <w:t xml:space="preserve"> una vez que la información se ingresa al sistema y </w:t>
      </w:r>
      <w:r w:rsidR="009914EF" w:rsidRPr="00976BFF">
        <w:rPr>
          <w:lang w:val="es-ES_tradnl"/>
        </w:rPr>
        <w:t>las</w:t>
      </w:r>
      <w:r w:rsidR="009B0B03" w:rsidRPr="00976BFF">
        <w:rPr>
          <w:lang w:val="es-ES_tradnl"/>
        </w:rPr>
        <w:t xml:space="preserve"> solicitudes de pago son aprobadas por la </w:t>
      </w:r>
      <w:r w:rsidR="006617EA" w:rsidRPr="00976BFF">
        <w:rPr>
          <w:lang w:val="es-ES_tradnl"/>
        </w:rPr>
        <w:t xml:space="preserve">CGN </w:t>
      </w:r>
      <w:r w:rsidR="009B0B03" w:rsidRPr="00976BFF">
        <w:rPr>
          <w:lang w:val="es-ES_tradnl"/>
        </w:rPr>
        <w:t xml:space="preserve">y la </w:t>
      </w:r>
      <w:r w:rsidR="006617EA" w:rsidRPr="00976BFF">
        <w:rPr>
          <w:lang w:val="es-ES_tradnl"/>
        </w:rPr>
        <w:t xml:space="preserve">TGN, </w:t>
      </w:r>
      <w:r w:rsidR="00A00971" w:rsidRPr="00976BFF">
        <w:rPr>
          <w:lang w:val="es-ES_tradnl"/>
        </w:rPr>
        <w:t xml:space="preserve">el trámite pasa al MEF y a la </w:t>
      </w:r>
      <w:r w:rsidR="000F6C8F">
        <w:rPr>
          <w:lang w:val="es-ES_tradnl"/>
        </w:rPr>
        <w:t>t</w:t>
      </w:r>
      <w:r w:rsidR="000F6C8F" w:rsidRPr="00976BFF">
        <w:rPr>
          <w:lang w:val="es-ES_tradnl"/>
        </w:rPr>
        <w:t xml:space="preserve">esorería </w:t>
      </w:r>
      <w:r w:rsidR="00A00971" w:rsidRPr="00976BFF">
        <w:rPr>
          <w:lang w:val="es-ES_tradnl"/>
        </w:rPr>
        <w:t xml:space="preserve">para la liberación de los fondos. Los procesos de gestión financiera están sujetos a controles internos, de la CGN, la TGN, y auditorías externas por el </w:t>
      </w:r>
      <w:r w:rsidR="006617EA" w:rsidRPr="00976BFF">
        <w:rPr>
          <w:lang w:val="es-ES_tradnl"/>
        </w:rPr>
        <w:t xml:space="preserve">TCR. </w:t>
      </w:r>
      <w:r w:rsidR="00203F53" w:rsidRPr="00976BFF">
        <w:rPr>
          <w:lang w:val="es-ES_tradnl"/>
        </w:rPr>
        <w:t xml:space="preserve">Los estados financieros del </w:t>
      </w:r>
      <w:r w:rsidR="008A1019">
        <w:rPr>
          <w:lang w:val="es-ES_tradnl"/>
        </w:rPr>
        <w:t>programa</w:t>
      </w:r>
      <w:r w:rsidR="00203F53" w:rsidRPr="00976BFF">
        <w:rPr>
          <w:lang w:val="es-ES_tradnl"/>
        </w:rPr>
        <w:t xml:space="preserve"> constarían principalmente del informe anual </w:t>
      </w:r>
      <w:r w:rsidR="002C352D">
        <w:rPr>
          <w:lang w:val="es-ES_tradnl"/>
        </w:rPr>
        <w:t xml:space="preserve">emitido por </w:t>
      </w:r>
      <w:r w:rsidR="002C352D" w:rsidRPr="00976BFF">
        <w:rPr>
          <w:lang w:val="es-ES_tradnl"/>
        </w:rPr>
        <w:t>la CGN</w:t>
      </w:r>
      <w:r w:rsidR="002C352D">
        <w:rPr>
          <w:lang w:val="es-ES_tradnl"/>
        </w:rPr>
        <w:t xml:space="preserve"> </w:t>
      </w:r>
      <w:r w:rsidR="00203F53" w:rsidRPr="00976BFF">
        <w:rPr>
          <w:lang w:val="es-ES_tradnl"/>
        </w:rPr>
        <w:t>sobre la ejecución del presupuesto</w:t>
      </w:r>
      <w:r w:rsidR="002C352D">
        <w:rPr>
          <w:lang w:val="es-ES_tradnl"/>
        </w:rPr>
        <w:t>, que</w:t>
      </w:r>
      <w:r w:rsidR="00203F53" w:rsidRPr="00976BFF">
        <w:rPr>
          <w:lang w:val="es-ES_tradnl"/>
        </w:rPr>
        <w:t xml:space="preserve"> </w:t>
      </w:r>
      <w:r w:rsidR="002C352D">
        <w:rPr>
          <w:lang w:val="es-ES_tradnl"/>
        </w:rPr>
        <w:t xml:space="preserve">abarca al </w:t>
      </w:r>
      <w:r w:rsidR="00CF07C3">
        <w:rPr>
          <w:lang w:val="es-ES_tradnl"/>
        </w:rPr>
        <w:t xml:space="preserve">Gobierno </w:t>
      </w:r>
      <w:r w:rsidR="00203F53" w:rsidRPr="00976BFF">
        <w:rPr>
          <w:lang w:val="es-ES_tradnl"/>
        </w:rPr>
        <w:t xml:space="preserve">central en su conjunto (con una lista detallada de los </w:t>
      </w:r>
      <w:r w:rsidR="006D44FB">
        <w:rPr>
          <w:lang w:val="es-ES_tradnl"/>
        </w:rPr>
        <w:t>programas</w:t>
      </w:r>
      <w:r w:rsidR="00203F53" w:rsidRPr="00976BFF">
        <w:rPr>
          <w:lang w:val="es-ES_tradnl"/>
        </w:rPr>
        <w:t xml:space="preserve"> gestionados por el MTOP)</w:t>
      </w:r>
      <w:r w:rsidR="002C352D">
        <w:rPr>
          <w:lang w:val="es-ES_tradnl"/>
        </w:rPr>
        <w:t>, y</w:t>
      </w:r>
      <w:r w:rsidR="00203F53" w:rsidRPr="00976BFF">
        <w:rPr>
          <w:lang w:val="es-ES_tradnl"/>
        </w:rPr>
        <w:t xml:space="preserve"> se presenta al Parlamento cada año.</w:t>
      </w:r>
    </w:p>
    <w:p w:rsidR="006617EA" w:rsidRPr="00976BFF" w:rsidRDefault="000B7372" w:rsidP="00EB3076">
      <w:pPr>
        <w:pStyle w:val="Annexmain"/>
        <w:ind w:firstLine="0"/>
        <w:rPr>
          <w:lang w:val="es-ES_tradnl"/>
        </w:rPr>
      </w:pPr>
      <w:r w:rsidRPr="00976BFF">
        <w:rPr>
          <w:lang w:val="es-ES_tradnl"/>
        </w:rPr>
        <w:t xml:space="preserve">En cuanto a los controles internos, el contador general del MTOP verifica los gastos del </w:t>
      </w:r>
      <w:r w:rsidR="008A1019">
        <w:rPr>
          <w:lang w:val="es-ES_tradnl"/>
        </w:rPr>
        <w:t>programa</w:t>
      </w:r>
      <w:r w:rsidRPr="00976BFF">
        <w:rPr>
          <w:lang w:val="es-ES_tradnl"/>
        </w:rPr>
        <w:t xml:space="preserve"> y presenta informes a la CGN y el TCR. Además, el MTOP cuenta con un auditor interno, que presenta informes a la </w:t>
      </w:r>
      <w:r w:rsidR="006617EA" w:rsidRPr="00976BFF">
        <w:rPr>
          <w:lang w:val="es-ES_tradnl"/>
        </w:rPr>
        <w:t xml:space="preserve">AIN. </w:t>
      </w:r>
      <w:r w:rsidRPr="00976BFF">
        <w:rPr>
          <w:lang w:val="es-ES_tradnl"/>
        </w:rPr>
        <w:t xml:space="preserve">El </w:t>
      </w:r>
      <w:r w:rsidR="00CF07C3">
        <w:rPr>
          <w:lang w:val="es-ES_tradnl"/>
        </w:rPr>
        <w:t>TCR</w:t>
      </w:r>
      <w:r w:rsidRPr="00976BFF">
        <w:rPr>
          <w:lang w:val="es-ES_tradnl"/>
        </w:rPr>
        <w:t xml:space="preserve">, que también es la </w:t>
      </w:r>
      <w:r w:rsidR="00D54CA1">
        <w:rPr>
          <w:lang w:val="es-ES_tradnl"/>
        </w:rPr>
        <w:t>e</w:t>
      </w:r>
      <w:r w:rsidR="00D54CA1" w:rsidRPr="00976BFF">
        <w:rPr>
          <w:lang w:val="es-ES_tradnl"/>
        </w:rPr>
        <w:t xml:space="preserve">ntidad </w:t>
      </w:r>
      <w:r w:rsidR="00D54CA1">
        <w:rPr>
          <w:lang w:val="es-ES_tradnl"/>
        </w:rPr>
        <w:t>f</w:t>
      </w:r>
      <w:r w:rsidR="00D54CA1" w:rsidRPr="00976BFF">
        <w:rPr>
          <w:lang w:val="es-ES_tradnl"/>
        </w:rPr>
        <w:t xml:space="preserve">iscalizadora </w:t>
      </w:r>
      <w:r w:rsidR="00D54CA1">
        <w:rPr>
          <w:lang w:val="es-ES_tradnl"/>
        </w:rPr>
        <w:t>s</w:t>
      </w:r>
      <w:r w:rsidR="00D54CA1" w:rsidRPr="00976BFF">
        <w:rPr>
          <w:lang w:val="es-ES_tradnl"/>
        </w:rPr>
        <w:t>uperior</w:t>
      </w:r>
      <w:r w:rsidRPr="00976BFF">
        <w:rPr>
          <w:lang w:val="es-ES_tradnl"/>
        </w:rPr>
        <w:t xml:space="preserve">, es el responsable de la auditoría externa del </w:t>
      </w:r>
      <w:r w:rsidR="008A1019">
        <w:rPr>
          <w:lang w:val="es-ES_tradnl"/>
        </w:rPr>
        <w:t>programa</w:t>
      </w:r>
      <w:r w:rsidRPr="00976BFF">
        <w:rPr>
          <w:lang w:val="es-ES_tradnl"/>
        </w:rPr>
        <w:t xml:space="preserve">. </w:t>
      </w:r>
      <w:r w:rsidR="00883125" w:rsidRPr="00976BFF">
        <w:rPr>
          <w:lang w:val="es-ES_tradnl"/>
        </w:rPr>
        <w:t xml:space="preserve">La ejecución del presupuesto por el MTOP está sujeta a diversos tipos de auditoría en consonancia con la fuente de financiamiento del gasto. La auditoría externa del </w:t>
      </w:r>
      <w:r w:rsidR="008A1019">
        <w:rPr>
          <w:lang w:val="es-ES_tradnl"/>
        </w:rPr>
        <w:t>programa</w:t>
      </w:r>
      <w:r w:rsidR="00883125" w:rsidRPr="00976BFF">
        <w:rPr>
          <w:lang w:val="es-ES_tradnl"/>
        </w:rPr>
        <w:t xml:space="preserve"> será la misma que se utiliza para la auditoría anual ordinaria de los </w:t>
      </w:r>
      <w:r w:rsidR="006D44FB">
        <w:rPr>
          <w:lang w:val="es-ES_tradnl"/>
        </w:rPr>
        <w:t>programas</w:t>
      </w:r>
      <w:r w:rsidR="00883125" w:rsidRPr="00976BFF">
        <w:rPr>
          <w:lang w:val="es-ES_tradnl"/>
        </w:rPr>
        <w:t xml:space="preserve"> del Gobierno. La auditoría de los estados financieros del </w:t>
      </w:r>
      <w:r w:rsidR="008A1019">
        <w:rPr>
          <w:lang w:val="es-ES_tradnl"/>
        </w:rPr>
        <w:t>programa</w:t>
      </w:r>
      <w:r w:rsidR="00883125" w:rsidRPr="00976BFF">
        <w:rPr>
          <w:lang w:val="es-ES_tradnl"/>
        </w:rPr>
        <w:t xml:space="preserve"> incluirá: i) el dictamen emitido por el TCR sobre la </w:t>
      </w:r>
      <w:r w:rsidR="00893415">
        <w:rPr>
          <w:lang w:val="es-ES_tradnl"/>
        </w:rPr>
        <w:t>r</w:t>
      </w:r>
      <w:r w:rsidR="00893415" w:rsidRPr="00976BFF">
        <w:rPr>
          <w:lang w:val="es-ES_tradnl"/>
        </w:rPr>
        <w:t xml:space="preserve">endición </w:t>
      </w:r>
      <w:r w:rsidR="006617EA" w:rsidRPr="00976BFF">
        <w:rPr>
          <w:lang w:val="es-ES_tradnl"/>
        </w:rPr>
        <w:t xml:space="preserve">de </w:t>
      </w:r>
      <w:r w:rsidR="00893415">
        <w:rPr>
          <w:lang w:val="es-ES_tradnl"/>
        </w:rPr>
        <w:t>c</w:t>
      </w:r>
      <w:r w:rsidR="00893415" w:rsidRPr="00976BFF">
        <w:rPr>
          <w:lang w:val="es-ES_tradnl"/>
        </w:rPr>
        <w:t>uentas</w:t>
      </w:r>
      <w:r w:rsidR="006617EA" w:rsidRPr="00976BFF">
        <w:rPr>
          <w:lang w:val="es-ES_tradnl"/>
        </w:rPr>
        <w:t xml:space="preserve">, </w:t>
      </w:r>
      <w:r w:rsidR="00883125" w:rsidRPr="00976BFF">
        <w:rPr>
          <w:lang w:val="es-ES_tradnl"/>
        </w:rPr>
        <w:t>junto con</w:t>
      </w:r>
      <w:r w:rsidR="006617EA" w:rsidRPr="00976BFF">
        <w:rPr>
          <w:lang w:val="es-ES_tradnl"/>
        </w:rPr>
        <w:t xml:space="preserve"> ii) </w:t>
      </w:r>
      <w:r w:rsidR="00883125" w:rsidRPr="00976BFF">
        <w:rPr>
          <w:lang w:val="es-ES_tradnl"/>
        </w:rPr>
        <w:t xml:space="preserve">un dictamen suplementario emitido por el TCR sobre los </w:t>
      </w:r>
      <w:r w:rsidR="006D44FB">
        <w:rPr>
          <w:lang w:val="es-ES_tradnl"/>
        </w:rPr>
        <w:t>programas</w:t>
      </w:r>
      <w:r w:rsidR="00883125" w:rsidRPr="00976BFF">
        <w:rPr>
          <w:lang w:val="es-ES_tradnl"/>
        </w:rPr>
        <w:t xml:space="preserve"> ejecutados por el MTOP en el marco de la operación financiada por el Banco, </w:t>
      </w:r>
      <w:r w:rsidR="00D05A7C">
        <w:rPr>
          <w:lang w:val="es-ES_tradnl"/>
        </w:rPr>
        <w:t>en el que</w:t>
      </w:r>
      <w:r w:rsidR="006F16AD" w:rsidRPr="00976BFF">
        <w:rPr>
          <w:lang w:val="es-ES_tradnl"/>
        </w:rPr>
        <w:t xml:space="preserve"> se consignará que las transacciones relacionadas con estos </w:t>
      </w:r>
      <w:r w:rsidR="006D44FB">
        <w:rPr>
          <w:lang w:val="es-ES_tradnl"/>
        </w:rPr>
        <w:t>programas</w:t>
      </w:r>
      <w:r w:rsidR="006F16AD" w:rsidRPr="00976BFF">
        <w:rPr>
          <w:lang w:val="es-ES_tradnl"/>
        </w:rPr>
        <w:t xml:space="preserve"> se incluyen en la </w:t>
      </w:r>
      <w:r w:rsidR="00893415">
        <w:rPr>
          <w:lang w:val="es-ES_tradnl"/>
        </w:rPr>
        <w:t>r</w:t>
      </w:r>
      <w:r w:rsidR="00893415" w:rsidRPr="00976BFF">
        <w:rPr>
          <w:lang w:val="es-ES_tradnl"/>
        </w:rPr>
        <w:t xml:space="preserve">endición </w:t>
      </w:r>
      <w:r w:rsidR="006617EA" w:rsidRPr="00976BFF">
        <w:rPr>
          <w:lang w:val="es-ES_tradnl"/>
        </w:rPr>
        <w:t xml:space="preserve">de </w:t>
      </w:r>
      <w:r w:rsidR="00893415">
        <w:rPr>
          <w:lang w:val="es-ES_tradnl"/>
        </w:rPr>
        <w:t>c</w:t>
      </w:r>
      <w:r w:rsidR="00893415" w:rsidRPr="00976BFF">
        <w:rPr>
          <w:lang w:val="es-ES_tradnl"/>
        </w:rPr>
        <w:t>uentas</w:t>
      </w:r>
      <w:r w:rsidR="00893415" w:rsidRPr="00976BFF">
        <w:rPr>
          <w:i/>
          <w:lang w:val="es-ES_tradnl"/>
        </w:rPr>
        <w:t xml:space="preserve"> </w:t>
      </w:r>
      <w:r w:rsidR="006617EA" w:rsidRPr="00976BFF">
        <w:rPr>
          <w:lang w:val="es-ES_tradnl"/>
        </w:rPr>
        <w:t>(</w:t>
      </w:r>
      <w:r w:rsidR="006F16AD" w:rsidRPr="00976BFF">
        <w:rPr>
          <w:lang w:val="es-ES_tradnl"/>
        </w:rPr>
        <w:t xml:space="preserve">con referencia al cuadro/anexo específico que contiene esta información). Dado que la </w:t>
      </w:r>
      <w:r w:rsidR="00893415">
        <w:rPr>
          <w:lang w:val="es-ES_tradnl"/>
        </w:rPr>
        <w:t>r</w:t>
      </w:r>
      <w:r w:rsidR="00893415" w:rsidRPr="00976BFF">
        <w:rPr>
          <w:lang w:val="es-ES_tradnl"/>
        </w:rPr>
        <w:t xml:space="preserve">endición </w:t>
      </w:r>
      <w:r w:rsidR="006617EA" w:rsidRPr="00976BFF">
        <w:rPr>
          <w:lang w:val="es-ES_tradnl"/>
        </w:rPr>
        <w:t xml:space="preserve">de </w:t>
      </w:r>
      <w:r w:rsidR="00893415">
        <w:rPr>
          <w:lang w:val="es-ES_tradnl"/>
        </w:rPr>
        <w:t>c</w:t>
      </w:r>
      <w:r w:rsidR="00893415" w:rsidRPr="00976BFF">
        <w:rPr>
          <w:lang w:val="es-ES_tradnl"/>
        </w:rPr>
        <w:t xml:space="preserve">uentas </w:t>
      </w:r>
      <w:r w:rsidR="006F16AD" w:rsidRPr="00976BFF">
        <w:rPr>
          <w:lang w:val="es-ES_tradnl"/>
        </w:rPr>
        <w:t xml:space="preserve">se envía al Parlamento no más tarde </w:t>
      </w:r>
      <w:r w:rsidR="00893415">
        <w:rPr>
          <w:lang w:val="es-ES_tradnl"/>
        </w:rPr>
        <w:t xml:space="preserve">que </w:t>
      </w:r>
      <w:r w:rsidR="00893415" w:rsidRPr="00976BFF">
        <w:rPr>
          <w:lang w:val="es-ES_tradnl"/>
        </w:rPr>
        <w:t xml:space="preserve">el </w:t>
      </w:r>
      <w:r w:rsidR="006F16AD" w:rsidRPr="00976BFF">
        <w:rPr>
          <w:lang w:val="es-ES_tradnl"/>
        </w:rPr>
        <w:t xml:space="preserve">30 de junio de cada año, se prevé que los informes de auditoría del </w:t>
      </w:r>
      <w:r w:rsidR="008A1019">
        <w:rPr>
          <w:lang w:val="es-ES_tradnl"/>
        </w:rPr>
        <w:t>programa</w:t>
      </w:r>
      <w:r w:rsidR="006F16AD" w:rsidRPr="00976BFF">
        <w:rPr>
          <w:lang w:val="es-ES_tradnl"/>
        </w:rPr>
        <w:t xml:space="preserve"> incluidos en los puntos i) y ii) </w:t>
      </w:r>
      <w:r w:rsidR="006F16AD" w:rsidRPr="00976BFF">
        <w:rPr>
          <w:i/>
          <w:lang w:val="es-ES_tradnl"/>
        </w:rPr>
        <w:t>supra</w:t>
      </w:r>
      <w:r w:rsidR="006F16AD" w:rsidRPr="00976BFF">
        <w:rPr>
          <w:lang w:val="es-ES_tradnl"/>
        </w:rPr>
        <w:t xml:space="preserve"> </w:t>
      </w:r>
      <w:r w:rsidR="00092CD3" w:rsidRPr="00976BFF">
        <w:rPr>
          <w:lang w:val="es-ES_tradnl"/>
        </w:rPr>
        <w:t>se presentar</w:t>
      </w:r>
      <w:r w:rsidR="006F16AD" w:rsidRPr="00976BFF">
        <w:rPr>
          <w:lang w:val="es-ES_tradnl"/>
        </w:rPr>
        <w:t>án</w:t>
      </w:r>
      <w:r w:rsidR="00092CD3" w:rsidRPr="00976BFF">
        <w:rPr>
          <w:lang w:val="es-ES_tradnl"/>
        </w:rPr>
        <w:t xml:space="preserve"> al Banco no más tarde del 30 de septiembre de cada año</w:t>
      </w:r>
      <w:r w:rsidR="006617EA" w:rsidRPr="00976BFF">
        <w:rPr>
          <w:lang w:val="es-ES_tradnl"/>
        </w:rPr>
        <w:t>.</w:t>
      </w:r>
    </w:p>
    <w:p w:rsidR="006617EA" w:rsidRPr="00976BFF" w:rsidRDefault="0035000A" w:rsidP="00EB3076">
      <w:pPr>
        <w:pStyle w:val="Annexmain"/>
        <w:ind w:firstLine="0"/>
        <w:rPr>
          <w:lang w:val="es-ES_tradnl"/>
        </w:rPr>
      </w:pPr>
      <w:r w:rsidRPr="00976BFF">
        <w:rPr>
          <w:lang w:val="es-ES_tradnl"/>
        </w:rPr>
        <w:t xml:space="preserve">CVU lleva a cabo la gestión financiera en consonancia con las </w:t>
      </w:r>
      <w:r w:rsidR="00893415">
        <w:rPr>
          <w:lang w:val="es-ES_tradnl"/>
        </w:rPr>
        <w:t>n</w:t>
      </w:r>
      <w:r w:rsidR="00893415" w:rsidRPr="00976BFF">
        <w:rPr>
          <w:lang w:val="es-ES_tradnl"/>
        </w:rPr>
        <w:t xml:space="preserve">ormas </w:t>
      </w:r>
      <w:r w:rsidR="00893415">
        <w:rPr>
          <w:lang w:val="es-ES_tradnl"/>
        </w:rPr>
        <w:t>i</w:t>
      </w:r>
      <w:r w:rsidR="00893415" w:rsidRPr="00976BFF">
        <w:rPr>
          <w:lang w:val="es-ES_tradnl"/>
        </w:rPr>
        <w:t xml:space="preserve">nternacionales </w:t>
      </w:r>
      <w:r w:rsidRPr="00976BFF">
        <w:rPr>
          <w:lang w:val="es-ES_tradnl"/>
        </w:rPr>
        <w:t xml:space="preserve">de </w:t>
      </w:r>
      <w:r w:rsidR="00893415">
        <w:rPr>
          <w:lang w:val="es-ES_tradnl"/>
        </w:rPr>
        <w:t>i</w:t>
      </w:r>
      <w:r w:rsidR="00893415" w:rsidRPr="00976BFF">
        <w:rPr>
          <w:lang w:val="es-ES_tradnl"/>
        </w:rPr>
        <w:t xml:space="preserve">nformación </w:t>
      </w:r>
      <w:r w:rsidR="00893415">
        <w:rPr>
          <w:lang w:val="es-ES_tradnl"/>
        </w:rPr>
        <w:t>f</w:t>
      </w:r>
      <w:r w:rsidR="00893415" w:rsidRPr="00976BFF">
        <w:rPr>
          <w:lang w:val="es-ES_tradnl"/>
        </w:rPr>
        <w:t>inanciera</w:t>
      </w:r>
      <w:r w:rsidRPr="00976BFF">
        <w:rPr>
          <w:lang w:val="es-ES_tradnl"/>
        </w:rPr>
        <w:t>. Específicamente, emite estados financieros anuales y semestrales (de período intermedio), que están sujetos a la auditoría externa de una empresa privada de auditoría y se presentan al TCR en el marco de los informes de la</w:t>
      </w:r>
      <w:r w:rsidR="009E2A30" w:rsidRPr="00976BFF">
        <w:rPr>
          <w:lang w:val="es-ES_tradnl"/>
        </w:rPr>
        <w:t xml:space="preserve"> </w:t>
      </w:r>
      <w:r w:rsidRPr="00976BFF">
        <w:rPr>
          <w:lang w:val="es-ES_tradnl"/>
        </w:rPr>
        <w:t>CND. Las auditorías anuales se presentan al MTOP y al Banco</w:t>
      </w:r>
      <w:r w:rsidR="006617EA" w:rsidRPr="00976BFF">
        <w:rPr>
          <w:lang w:val="es-ES_tradnl"/>
        </w:rPr>
        <w:t xml:space="preserve">. </w:t>
      </w:r>
    </w:p>
    <w:p w:rsidR="0007594F" w:rsidRPr="00976BFF" w:rsidRDefault="0035000A" w:rsidP="00EB3076">
      <w:pPr>
        <w:pStyle w:val="Annexmain"/>
        <w:ind w:firstLine="0"/>
        <w:rPr>
          <w:lang w:val="es-ES_tradnl"/>
        </w:rPr>
      </w:pPr>
      <w:r w:rsidRPr="00976BFF">
        <w:rPr>
          <w:b/>
          <w:lang w:val="es-ES_tradnl"/>
        </w:rPr>
        <w:t>Instituciones que respaldan la lucha contra el fraude y la corrupción</w:t>
      </w:r>
      <w:r w:rsidR="001C47AE" w:rsidRPr="000B5989">
        <w:rPr>
          <w:b/>
          <w:lang w:val="es-ES_tradnl"/>
        </w:rPr>
        <w:t>.</w:t>
      </w:r>
      <w:r w:rsidR="001C47AE">
        <w:rPr>
          <w:lang w:val="es-ES_tradnl"/>
        </w:rPr>
        <w:t xml:space="preserve"> </w:t>
      </w:r>
      <w:r w:rsidR="0013722F" w:rsidRPr="00976BFF">
        <w:rPr>
          <w:lang w:val="es-ES_tradnl"/>
        </w:rPr>
        <w:t xml:space="preserve">El marco institucional para abordar los potenciales riesgos o sospechas de fraude y corrupción está integrado por varios organismos y leyes. Los organismos que podrían proporcionar apoyo al MTOP y CVU para prevenir, identificar e investigar </w:t>
      </w:r>
      <w:r w:rsidR="00DB5E7A" w:rsidRPr="00976BFF">
        <w:rPr>
          <w:lang w:val="es-ES_tradnl"/>
        </w:rPr>
        <w:t xml:space="preserve">denuncias de fraude y corrupción son los siguientes: i) la Junta de Transparencia y Ética Pública; ii) el Tribunal de Cuentas de la República; iii) el Tribunal de lo Contencioso Administrativo; iv) el Ministerio Público y Fiscal; v) el Poder Judicial; vi) la Agencia para el Desarrollo del Gobierno de Gestión Electrónica y la Sociedad de la Información y del Conocimiento, y vii) la </w:t>
      </w:r>
      <w:r w:rsidR="009914EF" w:rsidRPr="00976BFF">
        <w:rPr>
          <w:lang w:val="es-ES_tradnl"/>
        </w:rPr>
        <w:t>Contaduría</w:t>
      </w:r>
      <w:r w:rsidR="00ED305F" w:rsidRPr="00976BFF">
        <w:rPr>
          <w:lang w:val="es-ES_tradnl"/>
        </w:rPr>
        <w:t xml:space="preserve"> General de la Nación. </w:t>
      </w:r>
      <w:r w:rsidR="00DB5E7A" w:rsidRPr="00976BFF">
        <w:rPr>
          <w:lang w:val="es-ES_tradnl"/>
        </w:rPr>
        <w:t xml:space="preserve">Este sistema de leyes y organismos brinda un grado razonable de seguridad de que los riesgos de fraude y corrupción pueden abordarse eficazmente en </w:t>
      </w:r>
      <w:r w:rsidR="00ED305F" w:rsidRPr="00976BFF">
        <w:rPr>
          <w:lang w:val="es-ES_tradnl"/>
        </w:rPr>
        <w:t>Uruguay.</w:t>
      </w:r>
    </w:p>
    <w:p w:rsidR="00A764A2" w:rsidRPr="00976BFF" w:rsidRDefault="00CC5A19" w:rsidP="00EB3076">
      <w:pPr>
        <w:pStyle w:val="Heading4"/>
        <w:rPr>
          <w:lang w:val="es-ES_tradnl"/>
        </w:rPr>
      </w:pPr>
      <w:r w:rsidRPr="00976BFF">
        <w:rPr>
          <w:lang w:val="es-ES_tradnl"/>
        </w:rPr>
        <w:t xml:space="preserve">Ejecución de los aspectos ambientales y sociales del </w:t>
      </w:r>
      <w:r w:rsidR="008A1019">
        <w:rPr>
          <w:lang w:val="es-ES_tradnl"/>
        </w:rPr>
        <w:t>programa</w:t>
      </w:r>
      <w:r w:rsidR="009C0703" w:rsidRPr="00976BFF">
        <w:rPr>
          <w:lang w:val="es-ES_tradnl"/>
        </w:rPr>
        <w:t xml:space="preserve"> </w:t>
      </w:r>
      <w:r w:rsidR="00AE407E" w:rsidRPr="00976BFF">
        <w:rPr>
          <w:lang w:val="es-ES_tradnl"/>
        </w:rPr>
        <w:t>(</w:t>
      </w:r>
      <w:r w:rsidRPr="00976BFF">
        <w:rPr>
          <w:lang w:val="es-ES_tradnl"/>
        </w:rPr>
        <w:t>véase también el anexo</w:t>
      </w:r>
      <w:r w:rsidR="00AE407E" w:rsidRPr="00976BFF">
        <w:rPr>
          <w:lang w:val="es-ES_tradnl"/>
        </w:rPr>
        <w:t xml:space="preserve"> 6)</w:t>
      </w:r>
    </w:p>
    <w:p w:rsidR="004E552D" w:rsidRPr="00976BFF" w:rsidRDefault="00CC5A19" w:rsidP="00EB3076">
      <w:pPr>
        <w:pStyle w:val="Annexmain"/>
        <w:ind w:firstLine="0"/>
        <w:rPr>
          <w:lang w:val="es-ES_tradnl"/>
        </w:rPr>
      </w:pPr>
      <w:r w:rsidRPr="00976BFF">
        <w:rPr>
          <w:b/>
          <w:lang w:val="es-ES_tradnl"/>
        </w:rPr>
        <w:t>Aspectos ambientales</w:t>
      </w:r>
      <w:r w:rsidR="00C41F5D" w:rsidRPr="00976BFF">
        <w:rPr>
          <w:b/>
          <w:lang w:val="es-ES_tradnl"/>
        </w:rPr>
        <w:t>.</w:t>
      </w:r>
      <w:r w:rsidR="006E34CD" w:rsidRPr="00976BFF">
        <w:rPr>
          <w:lang w:val="es-ES_tradnl"/>
        </w:rPr>
        <w:t xml:space="preserve"> </w:t>
      </w:r>
      <w:r w:rsidRPr="00976BFF">
        <w:rPr>
          <w:lang w:val="es-ES_tradnl"/>
        </w:rPr>
        <w:t xml:space="preserve">La UAV es la </w:t>
      </w:r>
      <w:r w:rsidR="00D05A7C">
        <w:rPr>
          <w:lang w:val="es-ES_tradnl"/>
        </w:rPr>
        <w:t>dependencia d</w:t>
      </w:r>
      <w:r w:rsidRPr="00976BFF">
        <w:rPr>
          <w:lang w:val="es-ES_tradnl"/>
        </w:rPr>
        <w:t>el MTOP</w:t>
      </w:r>
      <w:r w:rsidR="00D05A7C">
        <w:rPr>
          <w:lang w:val="es-ES_tradnl"/>
        </w:rPr>
        <w:t xml:space="preserve"> que se encarga principalmente</w:t>
      </w:r>
      <w:r w:rsidRPr="00976BFF">
        <w:rPr>
          <w:lang w:val="es-ES_tradnl"/>
        </w:rPr>
        <w:t xml:space="preserve"> de la preparación de la documentación ambiental y el análisis y seguimiento de la supervisión ambiental</w:t>
      </w:r>
      <w:r w:rsidR="00D05A7C">
        <w:rPr>
          <w:lang w:val="es-ES_tradnl"/>
        </w:rPr>
        <w:t xml:space="preserve"> del </w:t>
      </w:r>
      <w:r w:rsidR="008A1019">
        <w:rPr>
          <w:lang w:val="es-ES_tradnl"/>
        </w:rPr>
        <w:t>programa</w:t>
      </w:r>
      <w:r w:rsidRPr="00976BFF">
        <w:rPr>
          <w:lang w:val="es-ES_tradnl"/>
        </w:rPr>
        <w:t xml:space="preserve">, para actividades ejecutadas tanto por la DNV como por </w:t>
      </w:r>
      <w:r w:rsidR="004E552D" w:rsidRPr="00976BFF">
        <w:rPr>
          <w:lang w:val="es-ES_tradnl"/>
        </w:rPr>
        <w:t xml:space="preserve">CVU. </w:t>
      </w:r>
      <w:r w:rsidR="005E70F6" w:rsidRPr="00976BFF">
        <w:rPr>
          <w:lang w:val="es-ES_tradnl"/>
        </w:rPr>
        <w:t xml:space="preserve">En 2003, mediante el </w:t>
      </w:r>
      <w:r w:rsidR="008877A5">
        <w:rPr>
          <w:lang w:val="es-ES_tradnl"/>
        </w:rPr>
        <w:t>d</w:t>
      </w:r>
      <w:r w:rsidR="008877A5" w:rsidRPr="00976BFF">
        <w:rPr>
          <w:lang w:val="es-ES_tradnl"/>
        </w:rPr>
        <w:t xml:space="preserve">ecreto </w:t>
      </w:r>
      <w:r w:rsidR="00E43733">
        <w:rPr>
          <w:lang w:val="es-ES_tradnl"/>
        </w:rPr>
        <w:t>n.</w:t>
      </w:r>
      <w:r w:rsidR="00E43733" w:rsidRPr="00E43733">
        <w:rPr>
          <w:vertAlign w:val="superscript"/>
          <w:lang w:val="es-ES_tradnl"/>
        </w:rPr>
        <w:t>o</w:t>
      </w:r>
      <w:r w:rsidR="00E43733">
        <w:rPr>
          <w:lang w:val="es-ES_tradnl"/>
        </w:rPr>
        <w:t xml:space="preserve"> </w:t>
      </w:r>
      <w:r w:rsidR="005E70F6" w:rsidRPr="00976BFF">
        <w:rPr>
          <w:lang w:val="es-ES_tradnl"/>
        </w:rPr>
        <w:t>176/003, e</w:t>
      </w:r>
      <w:r w:rsidRPr="00976BFF">
        <w:rPr>
          <w:lang w:val="es-ES_tradnl"/>
        </w:rPr>
        <w:t xml:space="preserve">l manual ambiental de la </w:t>
      </w:r>
      <w:r w:rsidR="004E552D" w:rsidRPr="00976BFF">
        <w:rPr>
          <w:lang w:val="es-ES_tradnl"/>
        </w:rPr>
        <w:t>DNV</w:t>
      </w:r>
      <w:r w:rsidRPr="00976BFF">
        <w:rPr>
          <w:lang w:val="es-ES_tradnl"/>
        </w:rPr>
        <w:t xml:space="preserve">, preparado con apoyo de operaciones anteriores financiadas por el Banco Mundial, </w:t>
      </w:r>
      <w:r w:rsidR="00717C4A" w:rsidRPr="00976BFF">
        <w:rPr>
          <w:lang w:val="es-ES_tradnl"/>
        </w:rPr>
        <w:t>se convirtió en la guía oficial en materia de gestión ambiental</w:t>
      </w:r>
      <w:r w:rsidR="005E70F6" w:rsidRPr="00976BFF">
        <w:rPr>
          <w:lang w:val="es-ES_tradnl"/>
        </w:rPr>
        <w:t>. E</w:t>
      </w:r>
      <w:r w:rsidR="00FA7C13" w:rsidRPr="00976BFF">
        <w:rPr>
          <w:lang w:val="es-ES_tradnl"/>
        </w:rPr>
        <w:t xml:space="preserve">l manual ambiental, cuyo cumplimiento reviste carácter obligatorio </w:t>
      </w:r>
      <w:r w:rsidR="005E70F6" w:rsidRPr="00976BFF">
        <w:rPr>
          <w:lang w:val="es-ES_tradnl"/>
        </w:rPr>
        <w:t>para todos los contratistas y las obras viales ejecutadas por la DNV y CVU</w:t>
      </w:r>
      <w:r w:rsidR="00FA7C13" w:rsidRPr="00976BFF">
        <w:rPr>
          <w:lang w:val="es-ES_tradnl"/>
        </w:rPr>
        <w:t xml:space="preserve">, se asienta en las reglamentaciones nacionales en materia de </w:t>
      </w:r>
      <w:r w:rsidR="009D0923" w:rsidRPr="00976BFF">
        <w:rPr>
          <w:lang w:val="es-ES_tradnl"/>
        </w:rPr>
        <w:t>gestión ambiental e incluye medidas y procedimientos para prevenir y reducir el impacto negativo de las obras viales. CVU usará su propio manual, basado en el manual ambiental de la DNV y en las normas ISO y realizará auditorias en forma periódica para verificar que sus contratistas cumplan con la</w:t>
      </w:r>
      <w:r w:rsidR="001E223F">
        <w:rPr>
          <w:lang w:val="es-ES_tradnl"/>
        </w:rPr>
        <w:t>s normas de</w:t>
      </w:r>
      <w:r w:rsidR="009D0923" w:rsidRPr="00976BFF">
        <w:rPr>
          <w:lang w:val="es-ES_tradnl"/>
        </w:rPr>
        <w:t xml:space="preserve"> gestión ambiental</w:t>
      </w:r>
      <w:r w:rsidR="004E552D" w:rsidRPr="00976BFF">
        <w:rPr>
          <w:lang w:val="es-ES_tradnl"/>
        </w:rPr>
        <w:t>.</w:t>
      </w:r>
    </w:p>
    <w:p w:rsidR="004E552D" w:rsidRPr="00976BFF" w:rsidRDefault="005B4549" w:rsidP="00EB3076">
      <w:pPr>
        <w:pStyle w:val="Annexmain"/>
        <w:ind w:firstLine="0"/>
        <w:rPr>
          <w:lang w:val="es-ES_tradnl"/>
        </w:rPr>
      </w:pPr>
      <w:r w:rsidRPr="00976BFF">
        <w:rPr>
          <w:lang w:val="es-ES_tradnl"/>
        </w:rPr>
        <w:t xml:space="preserve">Además del manual ambiental, existen varios instrumentos ambientales para evaluar, controlar y supervisar la gestión ambiental en las obras del </w:t>
      </w:r>
      <w:r w:rsidR="008A1019">
        <w:rPr>
          <w:lang w:val="es-ES_tradnl"/>
        </w:rPr>
        <w:t>programa</w:t>
      </w:r>
      <w:r w:rsidRPr="00976BFF">
        <w:rPr>
          <w:lang w:val="es-ES_tradnl"/>
        </w:rPr>
        <w:t xml:space="preserve">, entre ellos: a) cláusulas ambientales en los documentos de licitación; b) el plan de gestión ambiental; c) </w:t>
      </w:r>
      <w:r w:rsidR="00047CD2" w:rsidRPr="00976BFF">
        <w:rPr>
          <w:lang w:val="es-ES_tradnl"/>
        </w:rPr>
        <w:t xml:space="preserve">el </w:t>
      </w:r>
      <w:r w:rsidR="00893415">
        <w:rPr>
          <w:lang w:val="es-ES_tradnl"/>
        </w:rPr>
        <w:t>“r</w:t>
      </w:r>
      <w:r w:rsidR="00893415" w:rsidRPr="00976BFF">
        <w:rPr>
          <w:lang w:val="es-ES_tradnl"/>
        </w:rPr>
        <w:t xml:space="preserve">ubro </w:t>
      </w:r>
      <w:r w:rsidR="00893415">
        <w:rPr>
          <w:lang w:val="es-ES_tradnl"/>
        </w:rPr>
        <w:t>a</w:t>
      </w:r>
      <w:r w:rsidR="00893415" w:rsidRPr="00976BFF">
        <w:rPr>
          <w:lang w:val="es-ES_tradnl"/>
        </w:rPr>
        <w:t>mbiental</w:t>
      </w:r>
      <w:r w:rsidR="00893415">
        <w:rPr>
          <w:lang w:val="es-ES_tradnl"/>
        </w:rPr>
        <w:t>”</w:t>
      </w:r>
      <w:r w:rsidR="00047CD2" w:rsidRPr="00976BFF">
        <w:rPr>
          <w:lang w:val="es-ES_tradnl"/>
        </w:rPr>
        <w:t>, que es el porcentaje del monto total del contrato que se paga mensualmente a los contratistas en consonancia con su desempeño ambiental; d) listas de chequeo utilizadas por los ingenieros supervisores para verificar el cumplimiento de los contratistas; e) informes trimestrales preparados por los contratistas</w:t>
      </w:r>
      <w:r w:rsidR="00D05A7C">
        <w:rPr>
          <w:lang w:val="es-ES_tradnl"/>
        </w:rPr>
        <w:t xml:space="preserve"> y presentados</w:t>
      </w:r>
      <w:r w:rsidR="00047CD2" w:rsidRPr="00976BFF">
        <w:rPr>
          <w:lang w:val="es-ES_tradnl"/>
        </w:rPr>
        <w:t xml:space="preserve"> a la </w:t>
      </w:r>
      <w:r w:rsidR="00423929">
        <w:rPr>
          <w:lang w:val="es-ES_tradnl"/>
        </w:rPr>
        <w:t>u</w:t>
      </w:r>
      <w:r w:rsidR="00423929" w:rsidRPr="00976BFF">
        <w:rPr>
          <w:lang w:val="es-ES_tradnl"/>
        </w:rPr>
        <w:t xml:space="preserve">nidad </w:t>
      </w:r>
      <w:r w:rsidR="00423929">
        <w:rPr>
          <w:lang w:val="es-ES_tradnl"/>
        </w:rPr>
        <w:t>a</w:t>
      </w:r>
      <w:r w:rsidR="00423929" w:rsidRPr="00976BFF">
        <w:rPr>
          <w:lang w:val="es-ES_tradnl"/>
        </w:rPr>
        <w:t>mbiental</w:t>
      </w:r>
      <w:r w:rsidR="00047CD2" w:rsidRPr="00976BFF">
        <w:rPr>
          <w:lang w:val="es-ES_tradnl"/>
        </w:rPr>
        <w:t xml:space="preserve">, y vi) el </w:t>
      </w:r>
      <w:r w:rsidR="004E552D" w:rsidRPr="00976BFF">
        <w:rPr>
          <w:lang w:val="es-ES_tradnl"/>
        </w:rPr>
        <w:t xml:space="preserve">Plan de </w:t>
      </w:r>
      <w:r w:rsidR="009914EF" w:rsidRPr="00976BFF">
        <w:rPr>
          <w:lang w:val="es-ES_tradnl"/>
        </w:rPr>
        <w:t>Restauración</w:t>
      </w:r>
      <w:r w:rsidR="004E552D" w:rsidRPr="00976BFF">
        <w:rPr>
          <w:lang w:val="es-ES_tradnl"/>
        </w:rPr>
        <w:t xml:space="preserve"> Ambiental para el </w:t>
      </w:r>
      <w:r w:rsidR="00047CD2" w:rsidRPr="00976BFF">
        <w:rPr>
          <w:lang w:val="es-ES_tradnl"/>
        </w:rPr>
        <w:t>C</w:t>
      </w:r>
      <w:r w:rsidR="004E552D" w:rsidRPr="00976BFF">
        <w:rPr>
          <w:lang w:val="es-ES_tradnl"/>
        </w:rPr>
        <w:t>ierre,</w:t>
      </w:r>
      <w:r w:rsidR="00047CD2" w:rsidRPr="00976BFF">
        <w:rPr>
          <w:lang w:val="es-ES_tradnl"/>
        </w:rPr>
        <w:t xml:space="preserve"> un plan para la limpieza y recuperación del área de la obra</w:t>
      </w:r>
      <w:r w:rsidR="004E552D" w:rsidRPr="00976BFF">
        <w:rPr>
          <w:lang w:val="es-ES_tradnl"/>
        </w:rPr>
        <w:t xml:space="preserve">. </w:t>
      </w:r>
    </w:p>
    <w:p w:rsidR="0007594F" w:rsidRPr="00976BFF" w:rsidRDefault="00047CD2" w:rsidP="00EB3076">
      <w:pPr>
        <w:pStyle w:val="Annexmain"/>
        <w:ind w:firstLine="0"/>
        <w:rPr>
          <w:lang w:val="es-ES_tradnl"/>
        </w:rPr>
      </w:pPr>
      <w:r w:rsidRPr="00976BFF">
        <w:rPr>
          <w:b/>
          <w:lang w:val="es-ES_tradnl"/>
        </w:rPr>
        <w:t>Aspecto social</w:t>
      </w:r>
      <w:r w:rsidR="00C41F5D" w:rsidRPr="00976BFF">
        <w:rPr>
          <w:b/>
          <w:lang w:val="es-ES_tradnl"/>
        </w:rPr>
        <w:t>.</w:t>
      </w:r>
      <w:r w:rsidR="003D6DF4" w:rsidRPr="00976BFF">
        <w:rPr>
          <w:lang w:val="es-ES_tradnl"/>
        </w:rPr>
        <w:t xml:space="preserve"> </w:t>
      </w:r>
      <w:r w:rsidR="0023339D" w:rsidRPr="00976BFF">
        <w:rPr>
          <w:lang w:val="es-ES_tradnl"/>
        </w:rPr>
        <w:t xml:space="preserve">La DNTop y su </w:t>
      </w:r>
      <w:r w:rsidR="00A65656">
        <w:rPr>
          <w:lang w:val="es-ES_tradnl"/>
        </w:rPr>
        <w:t>u</w:t>
      </w:r>
      <w:r w:rsidR="00A65656" w:rsidRPr="00976BFF">
        <w:rPr>
          <w:lang w:val="es-ES_tradnl"/>
        </w:rPr>
        <w:t xml:space="preserve">nidad </w:t>
      </w:r>
      <w:r w:rsidR="00A65656">
        <w:rPr>
          <w:lang w:val="es-ES_tradnl"/>
        </w:rPr>
        <w:t>s</w:t>
      </w:r>
      <w:r w:rsidR="00A65656" w:rsidRPr="00976BFF">
        <w:rPr>
          <w:lang w:val="es-ES_tradnl"/>
        </w:rPr>
        <w:t xml:space="preserve">ocial </w:t>
      </w:r>
      <w:r w:rsidR="0023339D" w:rsidRPr="00976BFF">
        <w:rPr>
          <w:lang w:val="es-ES_tradnl"/>
        </w:rPr>
        <w:t xml:space="preserve">tienen la responsabilidad de abordar los potenciales impactos negativos de la adquisición de las </w:t>
      </w:r>
      <w:r w:rsidR="0023339D" w:rsidRPr="00766354">
        <w:rPr>
          <w:lang w:val="es-ES_tradnl"/>
        </w:rPr>
        <w:t>servidumbres de paso</w:t>
      </w:r>
      <w:r w:rsidR="0023339D" w:rsidRPr="00976BFF">
        <w:rPr>
          <w:lang w:val="es-ES_tradnl"/>
        </w:rPr>
        <w:t xml:space="preserve"> necesarias para todo tipo de proyectos viales en el país; por lo tanto, los mecanismos de gestión social son idénticos para los contratos de la DNV y CVU</w:t>
      </w:r>
      <w:r w:rsidR="00B00238" w:rsidRPr="00976BFF">
        <w:rPr>
          <w:lang w:val="es-ES_tradnl"/>
        </w:rPr>
        <w:t xml:space="preserve">. </w:t>
      </w:r>
      <w:r w:rsidR="0023339D" w:rsidRPr="00976BFF">
        <w:rPr>
          <w:lang w:val="es-ES_tradnl"/>
        </w:rPr>
        <w:t>Por lo general, para los proyectos de mantenimiento y rehabilitación vial no es preciso adquirir terrenos</w:t>
      </w:r>
      <w:r w:rsidR="001C47AE">
        <w:rPr>
          <w:lang w:val="es-ES_tradnl"/>
        </w:rPr>
        <w:t xml:space="preserve">. </w:t>
      </w:r>
      <w:r w:rsidR="0023339D" w:rsidRPr="00976BFF">
        <w:rPr>
          <w:lang w:val="es-ES_tradnl"/>
        </w:rPr>
        <w:t xml:space="preserve">Sin embargo, algunos proyectos pueden requerir pequeñas modificaciones en el </w:t>
      </w:r>
      <w:r w:rsidR="004A49C4">
        <w:rPr>
          <w:lang w:val="es-ES_tradnl"/>
        </w:rPr>
        <w:t>trazado</w:t>
      </w:r>
      <w:r w:rsidR="0023339D" w:rsidRPr="00976BFF">
        <w:rPr>
          <w:lang w:val="es-ES_tradnl"/>
        </w:rPr>
        <w:t xml:space="preserve"> del camino (por </w:t>
      </w:r>
      <w:r w:rsidR="00E2359C" w:rsidRPr="00976BFF">
        <w:rPr>
          <w:lang w:val="es-ES_tradnl"/>
        </w:rPr>
        <w:t xml:space="preserve">ejemplo para rectificar curvas), las que a su vez requerirán la adquisición de franjas estrechas de terrenos privados </w:t>
      </w:r>
      <w:r w:rsidR="0049495B">
        <w:rPr>
          <w:lang w:val="es-ES_tradnl"/>
        </w:rPr>
        <w:t>adyacentes</w:t>
      </w:r>
      <w:r w:rsidR="00E2359C" w:rsidRPr="00976BFF">
        <w:rPr>
          <w:lang w:val="es-ES_tradnl"/>
        </w:rPr>
        <w:t xml:space="preserve"> al camino para mantener el ancho legal de la servidumbre de paso. Toda adquisición de terrenos en el marco del </w:t>
      </w:r>
      <w:r w:rsidR="008A1019">
        <w:rPr>
          <w:lang w:val="es-ES_tradnl"/>
        </w:rPr>
        <w:t>programa</w:t>
      </w:r>
      <w:r w:rsidR="00E2359C" w:rsidRPr="00976BFF">
        <w:rPr>
          <w:lang w:val="es-ES_tradnl"/>
        </w:rPr>
        <w:t xml:space="preserve"> se llevaría a cabo de conformidad con las disposiciones de la Ley de Expropiación de Bienes Raíces (</w:t>
      </w:r>
      <w:r w:rsidR="008877A5">
        <w:rPr>
          <w:lang w:val="es-ES_tradnl"/>
        </w:rPr>
        <w:t>l</w:t>
      </w:r>
      <w:r w:rsidR="008877A5" w:rsidRPr="00976BFF">
        <w:rPr>
          <w:lang w:val="es-ES_tradnl"/>
        </w:rPr>
        <w:t xml:space="preserve">ey </w:t>
      </w:r>
      <w:r w:rsidR="00E2359C" w:rsidRPr="00976BFF">
        <w:rPr>
          <w:lang w:val="es-ES_tradnl"/>
        </w:rPr>
        <w:t xml:space="preserve">3958 del 28 de marzo de 1912, y sus modificaciones posteriores), que brinda protección a las personas afectadas por el proceso de expropiación. La </w:t>
      </w:r>
      <w:r w:rsidR="00B00238" w:rsidRPr="00976BFF">
        <w:rPr>
          <w:lang w:val="es-ES_tradnl"/>
        </w:rPr>
        <w:t xml:space="preserve">DNTop </w:t>
      </w:r>
      <w:r w:rsidR="00E2359C" w:rsidRPr="00976BFF">
        <w:rPr>
          <w:lang w:val="es-ES_tradnl"/>
        </w:rPr>
        <w:t xml:space="preserve">se encarga de determinar </w:t>
      </w:r>
      <w:r w:rsidR="0049495B">
        <w:rPr>
          <w:lang w:val="es-ES_tradnl"/>
        </w:rPr>
        <w:t xml:space="preserve">las pérdidas y </w:t>
      </w:r>
      <w:r w:rsidR="00E2359C" w:rsidRPr="00976BFF">
        <w:rPr>
          <w:lang w:val="es-ES_tradnl"/>
        </w:rPr>
        <w:t>los daños y perjuicios ocasionados por la expropiación y de establecer una compensación equitativa. El MTOP proporciona los fondos para cubrir los costos de las expropiaciones</w:t>
      </w:r>
      <w:r w:rsidR="00B00238" w:rsidRPr="00976BFF">
        <w:rPr>
          <w:lang w:val="es-ES_tradnl"/>
        </w:rPr>
        <w:t>.</w:t>
      </w:r>
    </w:p>
    <w:p w:rsidR="00286687" w:rsidRPr="00976BFF" w:rsidRDefault="00286687">
      <w:pPr>
        <w:rPr>
          <w:rFonts w:ascii="Times New Roman" w:hAnsi="Times New Roman" w:cs="Times New Roman"/>
          <w:lang w:val="es-ES_tradnl"/>
        </w:rPr>
      </w:pPr>
      <w:r w:rsidRPr="00976BFF">
        <w:rPr>
          <w:rFonts w:ascii="Times New Roman" w:hAnsi="Times New Roman" w:cs="Times New Roman"/>
          <w:lang w:val="es-ES_tradnl"/>
        </w:rPr>
        <w:br w:type="page"/>
      </w:r>
    </w:p>
    <w:p w:rsidR="00D072DE" w:rsidRPr="00976BFF" w:rsidRDefault="007F0604">
      <w:pPr>
        <w:rPr>
          <w:rFonts w:ascii="Times New Roman" w:hAnsi="Times New Roman" w:cs="Times New Roman"/>
          <w:b/>
          <w:lang w:val="es-ES_tradnl"/>
        </w:rPr>
      </w:pPr>
      <w:r w:rsidRPr="00976BFF">
        <w:rPr>
          <w:rFonts w:ascii="Times New Roman" w:hAnsi="Times New Roman" w:cs="Times New Roman"/>
          <w:b/>
          <w:lang w:val="es-ES_tradnl"/>
        </w:rPr>
        <w:t xml:space="preserve">Evolución del estado de la red vial nacional de </w:t>
      </w:r>
      <w:r w:rsidR="00240EFC" w:rsidRPr="00976BFF">
        <w:rPr>
          <w:rFonts w:ascii="Times New Roman" w:hAnsi="Times New Roman" w:cs="Times New Roman"/>
          <w:b/>
          <w:lang w:val="es-ES_tradnl"/>
        </w:rPr>
        <w:t>Uruguay</w:t>
      </w:r>
      <w:r w:rsidRPr="00976BFF">
        <w:rPr>
          <w:rFonts w:ascii="Times New Roman" w:hAnsi="Times New Roman" w:cs="Times New Roman"/>
          <w:b/>
          <w:lang w:val="es-ES_tradnl"/>
        </w:rPr>
        <w:t xml:space="preserve"> (medido por el índice de rugosidad internacional</w:t>
      </w:r>
      <w:r w:rsidR="00076033" w:rsidRPr="00976BFF">
        <w:rPr>
          <w:rFonts w:ascii="Times New Roman" w:hAnsi="Times New Roman" w:cs="Times New Roman"/>
          <w:b/>
          <w:lang w:val="es-ES_tradnl"/>
        </w:rPr>
        <w:t>)</w:t>
      </w:r>
    </w:p>
    <w:p w:rsidR="00C657BF" w:rsidRPr="00976BFF" w:rsidRDefault="00C3706E">
      <w:pPr>
        <w:rPr>
          <w:rFonts w:ascii="Times New Roman" w:hAnsi="Times New Roman" w:cs="Times New Roman"/>
          <w:lang w:val="es-ES_tradnl"/>
        </w:rPr>
      </w:pPr>
      <w:r>
        <w:rPr>
          <w:noProof/>
        </w:rPr>
        <w:drawing>
          <wp:inline distT="0" distB="0" distL="0" distR="0">
            <wp:extent cx="5612130" cy="3324860"/>
            <wp:effectExtent l="0" t="0" r="26670" b="279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57BF" w:rsidRPr="00976BFF" w:rsidRDefault="007F0604">
      <w:pPr>
        <w:rPr>
          <w:rFonts w:ascii="Times New Roman" w:hAnsi="Times New Roman" w:cs="Times New Roman"/>
          <w:lang w:val="es-ES_tradnl"/>
        </w:rPr>
      </w:pPr>
      <w:r w:rsidRPr="000B5989">
        <w:rPr>
          <w:rFonts w:ascii="Times New Roman" w:hAnsi="Times New Roman" w:cs="Times New Roman"/>
          <w:i/>
          <w:lang w:val="es-ES_tradnl"/>
        </w:rPr>
        <w:t>Fuente:</w:t>
      </w:r>
      <w:r w:rsidRPr="00976BFF">
        <w:rPr>
          <w:rFonts w:ascii="Times New Roman" w:hAnsi="Times New Roman" w:cs="Times New Roman"/>
          <w:lang w:val="es-ES_tradnl"/>
        </w:rPr>
        <w:t xml:space="preserve"> </w:t>
      </w:r>
      <w:r w:rsidR="009914EF" w:rsidRPr="00976BFF">
        <w:rPr>
          <w:rFonts w:ascii="Times New Roman" w:hAnsi="Times New Roman" w:cs="Times New Roman"/>
          <w:lang w:val="es-ES_tradnl"/>
        </w:rPr>
        <w:t>D</w:t>
      </w:r>
      <w:r w:rsidR="009914EF">
        <w:rPr>
          <w:rFonts w:ascii="Times New Roman" w:hAnsi="Times New Roman" w:cs="Times New Roman"/>
          <w:lang w:val="es-ES_tradnl"/>
        </w:rPr>
        <w:t>N</w:t>
      </w:r>
      <w:r w:rsidR="009914EF" w:rsidRPr="00976BFF">
        <w:rPr>
          <w:rFonts w:ascii="Times New Roman" w:hAnsi="Times New Roman" w:cs="Times New Roman"/>
          <w:lang w:val="es-ES_tradnl"/>
        </w:rPr>
        <w:t>V</w:t>
      </w:r>
      <w:r w:rsidRPr="00976BFF">
        <w:rPr>
          <w:rFonts w:ascii="Times New Roman" w:hAnsi="Times New Roman" w:cs="Times New Roman"/>
          <w:lang w:val="es-ES_tradnl"/>
        </w:rPr>
        <w:t xml:space="preserve"> del </w:t>
      </w:r>
      <w:r w:rsidR="00C657BF" w:rsidRPr="00976BFF">
        <w:rPr>
          <w:rFonts w:ascii="Times New Roman" w:hAnsi="Times New Roman" w:cs="Times New Roman"/>
          <w:lang w:val="es-ES_tradnl"/>
        </w:rPr>
        <w:t>MTOP</w:t>
      </w:r>
      <w:r w:rsidRPr="00976BFF">
        <w:rPr>
          <w:rFonts w:ascii="Times New Roman" w:hAnsi="Times New Roman" w:cs="Times New Roman"/>
          <w:lang w:val="es-ES_tradnl"/>
        </w:rPr>
        <w:t>.</w:t>
      </w:r>
    </w:p>
    <w:p w:rsidR="00A92B39" w:rsidRPr="00976BFF" w:rsidRDefault="00A92B39">
      <w:pPr>
        <w:rPr>
          <w:rFonts w:ascii="Times New Roman" w:hAnsi="Times New Roman" w:cs="Times New Roman"/>
          <w:lang w:val="es-ES_tradnl"/>
        </w:rPr>
        <w:sectPr w:rsidR="00A92B39" w:rsidRPr="00976BFF">
          <w:pgSz w:w="12240" w:h="15840"/>
          <w:pgMar w:top="1440" w:right="1440" w:bottom="1440" w:left="1440" w:header="720" w:footer="720" w:gutter="0"/>
          <w:cols w:space="720"/>
          <w:titlePg/>
          <w:docGrid w:linePitch="360"/>
        </w:sectPr>
      </w:pPr>
    </w:p>
    <w:p w:rsidR="00BD130B" w:rsidRPr="00976BFF" w:rsidRDefault="00BD130B" w:rsidP="00BD130B">
      <w:pPr>
        <w:pStyle w:val="Heading1"/>
        <w:numPr>
          <w:ilvl w:val="0"/>
          <w:numId w:val="0"/>
        </w:numPr>
        <w:rPr>
          <w:lang w:val="es-ES_tradnl"/>
        </w:rPr>
      </w:pPr>
      <w:bookmarkStart w:id="43" w:name="_Toc344927176"/>
      <w:r w:rsidRPr="00976BFF">
        <w:rPr>
          <w:lang w:val="es-ES_tradnl"/>
        </w:rPr>
        <w:t xml:space="preserve">Anexo 2. Marco de </w:t>
      </w:r>
      <w:bookmarkEnd w:id="43"/>
      <w:r w:rsidR="00893415">
        <w:rPr>
          <w:lang w:val="es-ES_tradnl"/>
        </w:rPr>
        <w:t>r</w:t>
      </w:r>
      <w:r w:rsidR="00893415" w:rsidRPr="00976BFF">
        <w:rPr>
          <w:lang w:val="es-ES_tradnl"/>
        </w:rPr>
        <w:t>esultados</w:t>
      </w: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450"/>
        <w:gridCol w:w="360"/>
        <w:gridCol w:w="90"/>
        <w:gridCol w:w="990"/>
        <w:gridCol w:w="810"/>
        <w:gridCol w:w="900"/>
        <w:gridCol w:w="810"/>
        <w:gridCol w:w="990"/>
        <w:gridCol w:w="900"/>
        <w:gridCol w:w="2790"/>
        <w:gridCol w:w="1440"/>
      </w:tblGrid>
      <w:tr w:rsidR="00BD130B" w:rsidRPr="00377DAB">
        <w:trPr>
          <w:trHeight w:val="755"/>
        </w:trPr>
        <w:tc>
          <w:tcPr>
            <w:tcW w:w="13158" w:type="dxa"/>
            <w:gridSpan w:val="12"/>
          </w:tcPr>
          <w:p w:rsidR="00BD130B" w:rsidRPr="00976BFF" w:rsidRDefault="00BD130B" w:rsidP="00835AB6">
            <w:pPr>
              <w:pStyle w:val="NoSpacing"/>
              <w:rPr>
                <w:rFonts w:ascii="Times New Roman" w:hAnsi="Times New Roman"/>
                <w:lang w:val="es-ES_tradnl"/>
              </w:rPr>
            </w:pPr>
            <w:r w:rsidRPr="00976BFF">
              <w:rPr>
                <w:rFonts w:ascii="Times New Roman" w:hAnsi="Times New Roman"/>
                <w:b/>
                <w:lang w:val="es-ES_tradnl"/>
              </w:rPr>
              <w:t xml:space="preserve">Objetivo de desarrollo del </w:t>
            </w:r>
            <w:r w:rsidR="008A1019">
              <w:rPr>
                <w:rFonts w:ascii="Times New Roman" w:hAnsi="Times New Roman"/>
                <w:b/>
                <w:lang w:val="es-ES_tradnl"/>
              </w:rPr>
              <w:t>programa</w:t>
            </w:r>
            <w:r w:rsidR="00893415">
              <w:rPr>
                <w:rFonts w:ascii="Times New Roman" w:hAnsi="Times New Roman"/>
                <w:b/>
                <w:lang w:val="es-ES_tradnl"/>
              </w:rPr>
              <w:t xml:space="preserve"> (ODP)</w:t>
            </w:r>
            <w:r w:rsidRPr="000B5989">
              <w:rPr>
                <w:rFonts w:ascii="Times New Roman" w:hAnsi="Times New Roman"/>
                <w:b/>
                <w:lang w:val="es-ES_tradnl"/>
              </w:rPr>
              <w:t>:</w:t>
            </w:r>
            <w:r w:rsidRPr="00976BFF">
              <w:rPr>
                <w:rFonts w:ascii="Times New Roman" w:hAnsi="Times New Roman"/>
                <w:lang w:val="es-ES_tradnl"/>
              </w:rPr>
              <w:t xml:space="preserve"> Mantener en buenas o muy buenas condiciones el 35%, como mínimo, de la red vial nacional de Uruguay y mejorar la gestión del sector vial.</w:t>
            </w:r>
          </w:p>
        </w:tc>
      </w:tr>
      <w:tr w:rsidR="00BD130B" w:rsidRPr="00377DAB">
        <w:trPr>
          <w:cantSplit/>
          <w:trHeight w:val="242"/>
        </w:trPr>
        <w:tc>
          <w:tcPr>
            <w:tcW w:w="2628" w:type="dxa"/>
            <w:vMerge w:val="restart"/>
          </w:tcPr>
          <w:p w:rsidR="00BD130B" w:rsidRPr="00976BFF" w:rsidRDefault="00BD130B" w:rsidP="00835AB6">
            <w:pPr>
              <w:pStyle w:val="NoSpacing"/>
              <w:rPr>
                <w:rFonts w:ascii="Times New Roman" w:hAnsi="Times New Roman"/>
                <w:b/>
                <w:sz w:val="24"/>
                <w:szCs w:val="24"/>
                <w:lang w:val="es-ES_tradnl"/>
              </w:rPr>
            </w:pPr>
            <w:r w:rsidRPr="00976BFF">
              <w:rPr>
                <w:rFonts w:ascii="Times New Roman" w:hAnsi="Times New Roman"/>
                <w:b/>
                <w:sz w:val="24"/>
                <w:szCs w:val="24"/>
                <w:lang w:val="es-ES_tradnl"/>
              </w:rPr>
              <w:t>Indicadores de resultados a nivel de los ODP</w:t>
            </w:r>
          </w:p>
        </w:tc>
        <w:tc>
          <w:tcPr>
            <w:tcW w:w="450" w:type="dxa"/>
            <w:vMerge w:val="restart"/>
            <w:textDirection w:val="btLr"/>
          </w:tcPr>
          <w:p w:rsidR="00BD130B" w:rsidRPr="00976BFF" w:rsidRDefault="00BD130B" w:rsidP="00835AB6">
            <w:pPr>
              <w:pStyle w:val="NoSpacing"/>
              <w:rPr>
                <w:rFonts w:ascii="Times New Roman" w:hAnsi="Times New Roman"/>
                <w:b/>
                <w:lang w:val="es-ES_tradnl"/>
              </w:rPr>
            </w:pPr>
            <w:r w:rsidRPr="00976BFF">
              <w:rPr>
                <w:rFonts w:ascii="Times New Roman" w:hAnsi="Times New Roman"/>
                <w:b/>
                <w:lang w:val="es-ES_tradnl"/>
              </w:rPr>
              <w:t>Básicos</w:t>
            </w:r>
          </w:p>
        </w:tc>
        <w:tc>
          <w:tcPr>
            <w:tcW w:w="450" w:type="dxa"/>
            <w:gridSpan w:val="2"/>
            <w:vMerge w:val="restart"/>
            <w:textDirection w:val="btLr"/>
          </w:tcPr>
          <w:p w:rsidR="00BD130B" w:rsidRPr="00976BFF" w:rsidRDefault="00BD130B" w:rsidP="00835AB6">
            <w:pPr>
              <w:pStyle w:val="NoSpacing"/>
              <w:rPr>
                <w:rFonts w:ascii="Times New Roman" w:hAnsi="Times New Roman"/>
                <w:b/>
                <w:lang w:val="es-ES_tradnl"/>
              </w:rPr>
            </w:pPr>
            <w:r w:rsidRPr="00976BFF">
              <w:rPr>
                <w:rFonts w:ascii="Times New Roman" w:hAnsi="Times New Roman"/>
                <w:b/>
                <w:lang w:val="es-ES_tradnl"/>
              </w:rPr>
              <w:t>IVD</w:t>
            </w:r>
          </w:p>
        </w:tc>
        <w:tc>
          <w:tcPr>
            <w:tcW w:w="990" w:type="dxa"/>
            <w:vMerge w:val="restart"/>
          </w:tcPr>
          <w:p w:rsidR="00BD130B" w:rsidRPr="00976BFF" w:rsidRDefault="00BD130B" w:rsidP="00835AB6">
            <w:pPr>
              <w:pStyle w:val="NoSpacing"/>
              <w:jc w:val="center"/>
              <w:rPr>
                <w:rFonts w:ascii="Times New Roman" w:hAnsi="Times New Roman"/>
                <w:b/>
                <w:lang w:val="es-ES_tradnl"/>
              </w:rPr>
            </w:pPr>
            <w:r w:rsidRPr="00976BFF">
              <w:rPr>
                <w:rFonts w:ascii="Times New Roman" w:hAnsi="Times New Roman"/>
                <w:b/>
                <w:lang w:val="es-ES_tradnl"/>
              </w:rPr>
              <w:t>Unidad de medida</w:t>
            </w:r>
          </w:p>
        </w:tc>
        <w:tc>
          <w:tcPr>
            <w:tcW w:w="810" w:type="dxa"/>
            <w:vMerge w:val="restart"/>
          </w:tcPr>
          <w:p w:rsidR="00BD130B" w:rsidRPr="00976BFF" w:rsidRDefault="00BD130B" w:rsidP="00835AB6">
            <w:pPr>
              <w:pStyle w:val="NoSpacing"/>
              <w:jc w:val="center"/>
              <w:rPr>
                <w:rFonts w:ascii="Times New Roman" w:hAnsi="Times New Roman"/>
                <w:b/>
                <w:lang w:val="es-ES_tradnl"/>
              </w:rPr>
            </w:pPr>
            <w:r w:rsidRPr="00976BFF">
              <w:rPr>
                <w:rFonts w:ascii="Times New Roman" w:hAnsi="Times New Roman"/>
                <w:b/>
                <w:lang w:val="es-ES_tradnl"/>
              </w:rPr>
              <w:t>Parámetro de referencia</w:t>
            </w:r>
          </w:p>
          <w:p w:rsidR="00BD130B" w:rsidRPr="00976BFF" w:rsidRDefault="00BD130B" w:rsidP="00835AB6">
            <w:pPr>
              <w:pStyle w:val="NoSpacing"/>
              <w:jc w:val="center"/>
              <w:rPr>
                <w:rFonts w:ascii="Times New Roman" w:hAnsi="Times New Roman"/>
                <w:b/>
                <w:lang w:val="es-ES_tradnl"/>
              </w:rPr>
            </w:pPr>
          </w:p>
        </w:tc>
        <w:tc>
          <w:tcPr>
            <w:tcW w:w="2700" w:type="dxa"/>
            <w:gridSpan w:val="3"/>
          </w:tcPr>
          <w:p w:rsidR="00BD130B" w:rsidRPr="00976BFF" w:rsidRDefault="00BD130B" w:rsidP="00835AB6">
            <w:pPr>
              <w:pStyle w:val="NoSpacing"/>
              <w:autoSpaceDE w:val="0"/>
              <w:jc w:val="center"/>
              <w:rPr>
                <w:rFonts w:ascii="Times New Roman" w:hAnsi="Times New Roman"/>
                <w:b/>
                <w:lang w:val="es-ES_tradnl"/>
              </w:rPr>
            </w:pPr>
            <w:r w:rsidRPr="00976BFF">
              <w:rPr>
                <w:rFonts w:ascii="Times New Roman" w:hAnsi="Times New Roman"/>
                <w:b/>
                <w:lang w:val="es-ES_tradnl"/>
              </w:rPr>
              <w:t>Valores fijados como objetivo</w:t>
            </w:r>
            <w:r w:rsidRPr="00976BFF">
              <w:rPr>
                <w:rStyle w:val="FootnoteReference"/>
                <w:rFonts w:ascii="Times New Roman" w:hAnsi="Times New Roman"/>
                <w:b/>
                <w:lang w:val="es-ES_tradnl"/>
              </w:rPr>
              <w:footnoteReference w:id="20"/>
            </w:r>
          </w:p>
        </w:tc>
        <w:tc>
          <w:tcPr>
            <w:tcW w:w="900" w:type="dxa"/>
            <w:vMerge w:val="restart"/>
          </w:tcPr>
          <w:p w:rsidR="00BD130B" w:rsidRPr="00976BFF" w:rsidRDefault="00BD130B" w:rsidP="00835AB6">
            <w:pPr>
              <w:pStyle w:val="NoSpacing"/>
              <w:jc w:val="center"/>
              <w:rPr>
                <w:rFonts w:ascii="Times New Roman" w:hAnsi="Times New Roman"/>
                <w:b/>
                <w:lang w:val="es-ES_tradnl"/>
              </w:rPr>
            </w:pPr>
            <w:r w:rsidRPr="00976BFF">
              <w:rPr>
                <w:rFonts w:ascii="Times New Roman" w:hAnsi="Times New Roman"/>
                <w:b/>
                <w:lang w:val="es-ES_tradnl"/>
              </w:rPr>
              <w:t>Frecuencia</w:t>
            </w:r>
          </w:p>
        </w:tc>
        <w:tc>
          <w:tcPr>
            <w:tcW w:w="2790" w:type="dxa"/>
            <w:vMerge w:val="restart"/>
          </w:tcPr>
          <w:p w:rsidR="00BD130B" w:rsidRPr="00976BFF" w:rsidRDefault="00BD130B" w:rsidP="00835AB6">
            <w:pPr>
              <w:pStyle w:val="NoSpacing"/>
              <w:jc w:val="center"/>
              <w:rPr>
                <w:rFonts w:ascii="Times New Roman" w:hAnsi="Times New Roman"/>
                <w:b/>
                <w:lang w:val="es-ES_tradnl"/>
              </w:rPr>
            </w:pPr>
            <w:r w:rsidRPr="00976BFF">
              <w:rPr>
                <w:rFonts w:ascii="Times New Roman" w:hAnsi="Times New Roman"/>
                <w:b/>
                <w:lang w:val="es-ES_tradnl"/>
              </w:rPr>
              <w:t>Metodología</w:t>
            </w:r>
          </w:p>
        </w:tc>
        <w:tc>
          <w:tcPr>
            <w:tcW w:w="1440" w:type="dxa"/>
            <w:vMerge w:val="restart"/>
          </w:tcPr>
          <w:p w:rsidR="00BD130B" w:rsidRPr="00976BFF" w:rsidRDefault="00BD130B" w:rsidP="00835AB6">
            <w:pPr>
              <w:pStyle w:val="NoSpacing"/>
              <w:jc w:val="center"/>
              <w:rPr>
                <w:rFonts w:ascii="Times New Roman" w:hAnsi="Times New Roman"/>
                <w:b/>
                <w:lang w:val="es-ES_tradnl"/>
              </w:rPr>
            </w:pPr>
            <w:r w:rsidRPr="00976BFF">
              <w:rPr>
                <w:rFonts w:ascii="Times New Roman" w:hAnsi="Times New Roman"/>
                <w:b/>
                <w:lang w:val="es-ES_tradnl"/>
              </w:rPr>
              <w:t>Responsable de la recopilación de datos</w:t>
            </w:r>
          </w:p>
        </w:tc>
      </w:tr>
      <w:tr w:rsidR="00BD130B" w:rsidRPr="00976BFF">
        <w:trPr>
          <w:cantSplit/>
          <w:trHeight w:val="449"/>
        </w:trPr>
        <w:tc>
          <w:tcPr>
            <w:tcW w:w="2628" w:type="dxa"/>
            <w:vMerge/>
          </w:tcPr>
          <w:p w:rsidR="00BD130B" w:rsidRPr="00976BFF" w:rsidRDefault="00BD130B" w:rsidP="00835AB6">
            <w:pPr>
              <w:pStyle w:val="NoSpacing"/>
              <w:rPr>
                <w:rFonts w:ascii="Times New Roman" w:hAnsi="Times New Roman"/>
                <w:lang w:val="es-ES_tradnl"/>
              </w:rPr>
            </w:pPr>
          </w:p>
        </w:tc>
        <w:tc>
          <w:tcPr>
            <w:tcW w:w="450" w:type="dxa"/>
            <w:vMerge/>
            <w:textDirection w:val="btLr"/>
          </w:tcPr>
          <w:p w:rsidR="00BD130B" w:rsidRPr="00976BFF" w:rsidRDefault="00BD130B" w:rsidP="00835AB6">
            <w:pPr>
              <w:pStyle w:val="NoSpacing"/>
              <w:rPr>
                <w:rFonts w:ascii="Times New Roman" w:hAnsi="Times New Roman"/>
                <w:lang w:val="es-ES_tradnl"/>
              </w:rPr>
            </w:pPr>
          </w:p>
        </w:tc>
        <w:tc>
          <w:tcPr>
            <w:tcW w:w="450" w:type="dxa"/>
            <w:gridSpan w:val="2"/>
            <w:vMerge/>
            <w:textDirection w:val="btLr"/>
          </w:tcPr>
          <w:p w:rsidR="00BD130B" w:rsidRPr="00976BFF" w:rsidRDefault="00BD130B" w:rsidP="00835AB6">
            <w:pPr>
              <w:pStyle w:val="NoSpacing"/>
              <w:rPr>
                <w:rFonts w:ascii="Times New Roman" w:hAnsi="Times New Roman"/>
                <w:lang w:val="es-ES_tradnl"/>
              </w:rPr>
            </w:pPr>
          </w:p>
        </w:tc>
        <w:tc>
          <w:tcPr>
            <w:tcW w:w="990" w:type="dxa"/>
            <w:vMerge/>
          </w:tcPr>
          <w:p w:rsidR="00BD130B" w:rsidRPr="00976BFF" w:rsidRDefault="00BD130B" w:rsidP="00835AB6">
            <w:pPr>
              <w:pStyle w:val="NoSpacing"/>
              <w:rPr>
                <w:rFonts w:ascii="Times New Roman" w:hAnsi="Times New Roman"/>
                <w:lang w:val="es-ES_tradnl"/>
              </w:rPr>
            </w:pPr>
          </w:p>
        </w:tc>
        <w:tc>
          <w:tcPr>
            <w:tcW w:w="810" w:type="dxa"/>
            <w:vMerge/>
          </w:tcPr>
          <w:p w:rsidR="00BD130B" w:rsidRPr="00976BFF" w:rsidRDefault="00BD130B" w:rsidP="00835AB6">
            <w:pPr>
              <w:pStyle w:val="NoSpacing"/>
              <w:rPr>
                <w:rFonts w:ascii="Times New Roman" w:hAnsi="Times New Roman"/>
                <w:lang w:val="es-ES_tradnl"/>
              </w:rPr>
            </w:pPr>
          </w:p>
        </w:tc>
        <w:tc>
          <w:tcPr>
            <w:tcW w:w="900" w:type="dxa"/>
          </w:tcPr>
          <w:p w:rsidR="00BD130B" w:rsidRPr="00976BFF" w:rsidRDefault="00BD130B" w:rsidP="00835AB6">
            <w:pPr>
              <w:pStyle w:val="NoSpacing"/>
              <w:rPr>
                <w:rFonts w:ascii="Times New Roman" w:hAnsi="Times New Roman"/>
                <w:lang w:val="es-ES_tradnl"/>
              </w:rPr>
            </w:pPr>
            <w:r w:rsidRPr="00976BFF">
              <w:rPr>
                <w:rFonts w:ascii="Times New Roman" w:hAnsi="Times New Roman"/>
                <w:lang w:val="es-ES_tradnl"/>
              </w:rPr>
              <w:t>2013</w:t>
            </w:r>
          </w:p>
        </w:tc>
        <w:tc>
          <w:tcPr>
            <w:tcW w:w="810" w:type="dxa"/>
          </w:tcPr>
          <w:p w:rsidR="00BD130B" w:rsidRPr="00976BFF" w:rsidRDefault="00BD130B" w:rsidP="00835AB6">
            <w:pPr>
              <w:pStyle w:val="NoSpacing"/>
              <w:rPr>
                <w:rFonts w:ascii="Times New Roman" w:hAnsi="Times New Roman"/>
                <w:lang w:val="es-ES_tradnl"/>
              </w:rPr>
            </w:pPr>
            <w:r w:rsidRPr="00976BFF">
              <w:rPr>
                <w:rFonts w:ascii="Times New Roman" w:hAnsi="Times New Roman"/>
                <w:lang w:val="es-ES_tradnl"/>
              </w:rPr>
              <w:t>2014</w:t>
            </w:r>
          </w:p>
        </w:tc>
        <w:tc>
          <w:tcPr>
            <w:tcW w:w="990" w:type="dxa"/>
          </w:tcPr>
          <w:p w:rsidR="00BD130B" w:rsidRPr="00976BFF" w:rsidRDefault="00BD130B" w:rsidP="00835AB6">
            <w:pPr>
              <w:pStyle w:val="NoSpacing"/>
              <w:rPr>
                <w:rFonts w:ascii="Times New Roman" w:hAnsi="Times New Roman"/>
                <w:lang w:val="es-ES_tradnl"/>
              </w:rPr>
            </w:pPr>
            <w:r w:rsidRPr="00976BFF">
              <w:rPr>
                <w:rFonts w:ascii="Times New Roman" w:hAnsi="Times New Roman"/>
                <w:lang w:val="es-ES_tradnl"/>
              </w:rPr>
              <w:t>2015</w:t>
            </w:r>
          </w:p>
        </w:tc>
        <w:tc>
          <w:tcPr>
            <w:tcW w:w="900" w:type="dxa"/>
            <w:vMerge/>
          </w:tcPr>
          <w:p w:rsidR="00BD130B" w:rsidRPr="00976BFF" w:rsidRDefault="00BD130B" w:rsidP="00835AB6">
            <w:pPr>
              <w:pStyle w:val="NoSpacing"/>
              <w:rPr>
                <w:rFonts w:ascii="Times New Roman" w:hAnsi="Times New Roman"/>
                <w:lang w:val="es-ES_tradnl"/>
              </w:rPr>
            </w:pPr>
          </w:p>
        </w:tc>
        <w:tc>
          <w:tcPr>
            <w:tcW w:w="2790" w:type="dxa"/>
            <w:vMerge/>
          </w:tcPr>
          <w:p w:rsidR="00BD130B" w:rsidRPr="00976BFF" w:rsidRDefault="00BD130B" w:rsidP="00835AB6">
            <w:pPr>
              <w:pStyle w:val="NoSpacing"/>
              <w:rPr>
                <w:rFonts w:ascii="Times New Roman" w:hAnsi="Times New Roman"/>
                <w:lang w:val="es-ES_tradnl"/>
              </w:rPr>
            </w:pPr>
          </w:p>
        </w:tc>
        <w:tc>
          <w:tcPr>
            <w:tcW w:w="1440" w:type="dxa"/>
            <w:vMerge/>
          </w:tcPr>
          <w:p w:rsidR="00BD130B" w:rsidRPr="00976BFF" w:rsidRDefault="00BD130B" w:rsidP="00835AB6">
            <w:pPr>
              <w:pStyle w:val="NoSpacing"/>
              <w:rPr>
                <w:rFonts w:ascii="Times New Roman" w:hAnsi="Times New Roman"/>
                <w:lang w:val="es-ES_tradnl"/>
              </w:rPr>
            </w:pPr>
          </w:p>
        </w:tc>
      </w:tr>
      <w:tr w:rsidR="00BD130B" w:rsidRPr="00377DAB">
        <w:tc>
          <w:tcPr>
            <w:tcW w:w="2628" w:type="dxa"/>
          </w:tcPr>
          <w:p w:rsidR="00BD130B" w:rsidRPr="00976BFF" w:rsidRDefault="00BD130B" w:rsidP="00835AB6">
            <w:pPr>
              <w:pStyle w:val="NoSpacing"/>
              <w:rPr>
                <w:rFonts w:ascii="Times New Roman" w:hAnsi="Times New Roman"/>
                <w:b/>
                <w:sz w:val="20"/>
                <w:szCs w:val="20"/>
                <w:u w:val="single"/>
                <w:lang w:val="es-ES_tradnl"/>
              </w:rPr>
            </w:pPr>
            <w:r w:rsidRPr="00976BFF">
              <w:rPr>
                <w:rFonts w:ascii="Times New Roman" w:hAnsi="Times New Roman"/>
                <w:b/>
                <w:sz w:val="20"/>
                <w:szCs w:val="20"/>
                <w:u w:val="single"/>
                <w:lang w:val="es-ES_tradnl"/>
              </w:rPr>
              <w:t>Indicador de los ODP 1:</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El 35%, como mínimo, de la red vial de Uruguay se encuentra en buenas o muy buenas condiciones.</w:t>
            </w:r>
          </w:p>
          <w:p w:rsidR="00BD130B" w:rsidRPr="00976BFF" w:rsidRDefault="00BD130B" w:rsidP="00835AB6">
            <w:pPr>
              <w:pStyle w:val="NoSpacing"/>
              <w:rPr>
                <w:rFonts w:ascii="Times New Roman" w:hAnsi="Times New Roman"/>
                <w:sz w:val="20"/>
                <w:szCs w:val="20"/>
                <w:u w:val="single"/>
                <w:lang w:val="es-ES_tradnl"/>
              </w:rPr>
            </w:pPr>
          </w:p>
        </w:tc>
        <w:tc>
          <w:tcPr>
            <w:tcW w:w="450" w:type="dxa"/>
          </w:tcPr>
          <w:p w:rsidR="00BD130B" w:rsidRPr="00976BFF" w:rsidRDefault="0080432C" w:rsidP="00835AB6">
            <w:pPr>
              <w:pStyle w:val="NoSpacing"/>
              <w:rPr>
                <w:rFonts w:ascii="Times New Roman" w:hAnsi="Times New Roman"/>
                <w:sz w:val="20"/>
                <w:szCs w:val="20"/>
                <w:lang w:val="es-ES_tradnl"/>
              </w:rPr>
            </w:pPr>
            <w:r>
              <w:rPr>
                <w:noProof/>
              </w:rPr>
              <mc:AlternateContent>
                <mc:Choice Requires="wps">
                  <w:drawing>
                    <wp:anchor distT="0" distB="0" distL="114300" distR="114300" simplePos="0" relativeHeight="251659264" behindDoc="0" locked="0" layoutInCell="1" allowOverlap="1" wp14:anchorId="2436B28E" wp14:editId="616CC6A1">
                      <wp:simplePos x="0" y="0"/>
                      <wp:positionH relativeFrom="column">
                        <wp:posOffset>15240</wp:posOffset>
                      </wp:positionH>
                      <wp:positionV relativeFrom="paragraph">
                        <wp:posOffset>25400</wp:posOffset>
                      </wp:positionV>
                      <wp:extent cx="94615" cy="94615"/>
                      <wp:effectExtent l="0" t="0" r="19685" b="1968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pt;margin-top:2pt;width:7.45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"/>
                  </w:pict>
                </mc:Fallback>
              </mc:AlternateContent>
            </w:r>
          </w:p>
        </w:tc>
        <w:tc>
          <w:tcPr>
            <w:tcW w:w="450" w:type="dxa"/>
            <w:gridSpan w:val="2"/>
          </w:tcPr>
          <w:p w:rsidR="00BD130B" w:rsidRPr="00976BFF" w:rsidRDefault="0080432C" w:rsidP="00835AB6">
            <w:pPr>
              <w:pStyle w:val="NoSpacing"/>
              <w:rPr>
                <w:rFonts w:ascii="Times New Roman" w:hAnsi="Times New Roman"/>
                <w:sz w:val="20"/>
                <w:szCs w:val="20"/>
                <w:lang w:val="es-ES_tradnl"/>
              </w:rPr>
            </w:pPr>
            <w:r>
              <w:rPr>
                <w:noProof/>
              </w:rPr>
              <mc:AlternateContent>
                <mc:Choice Requires="wps">
                  <w:drawing>
                    <wp:anchor distT="0" distB="0" distL="114300" distR="114300" simplePos="0" relativeHeight="251663360" behindDoc="0" locked="0" layoutInCell="1" allowOverlap="1" wp14:anchorId="250CEE8C" wp14:editId="7C284573">
                      <wp:simplePos x="0" y="0"/>
                      <wp:positionH relativeFrom="column">
                        <wp:posOffset>7620</wp:posOffset>
                      </wp:positionH>
                      <wp:positionV relativeFrom="paragraph">
                        <wp:posOffset>25400</wp:posOffset>
                      </wp:positionV>
                      <wp:extent cx="94615" cy="94615"/>
                      <wp:effectExtent l="0" t="0" r="19685" b="1968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6" style="position:absolute;margin-left:.6pt;margin-top:2pt;width:7.45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"/>
                  </w:pict>
                </mc:Fallback>
              </mc:AlternateContent>
            </w:r>
          </w:p>
        </w:tc>
        <w:tc>
          <w:tcPr>
            <w:tcW w:w="9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 / No</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9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Anual</w:t>
            </w:r>
          </w:p>
        </w:tc>
        <w:tc>
          <w:tcPr>
            <w:tcW w:w="27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Promedio del número de kilómetros con un IRI &lt; x</w:t>
            </w:r>
          </w:p>
          <w:p w:rsidR="00BD130B" w:rsidRPr="00976BFF" w:rsidRDefault="00BD130B" w:rsidP="00835AB6">
            <w:pPr>
              <w:pStyle w:val="NoSpacing"/>
              <w:rPr>
                <w:rFonts w:ascii="Times New Roman" w:hAnsi="Times New Roman"/>
                <w:sz w:val="20"/>
                <w:szCs w:val="20"/>
                <w:lang w:val="es-ES_tradnl"/>
              </w:rPr>
            </w:pP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 xml:space="preserve">x: </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2,8 pavimento de cemento asfáltico</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3,6 pavimento de cemento hidráulico</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3,9 pavimento con tratamiento superficial</w:t>
            </w:r>
          </w:p>
        </w:tc>
        <w:tc>
          <w:tcPr>
            <w:tcW w:w="144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DNV (condición de la red vial)</w:t>
            </w:r>
          </w:p>
          <w:p w:rsidR="00BD130B" w:rsidRPr="00976BFF" w:rsidRDefault="00BD130B" w:rsidP="00835AB6">
            <w:pPr>
              <w:pStyle w:val="NoSpacing"/>
              <w:rPr>
                <w:rFonts w:ascii="Times New Roman" w:hAnsi="Times New Roman"/>
                <w:sz w:val="20"/>
                <w:szCs w:val="20"/>
                <w:lang w:val="es-ES_tradnl"/>
              </w:rPr>
            </w:pPr>
          </w:p>
        </w:tc>
      </w:tr>
      <w:tr w:rsidR="00BD130B" w:rsidRPr="00976BFF">
        <w:tc>
          <w:tcPr>
            <w:tcW w:w="2628" w:type="dxa"/>
          </w:tcPr>
          <w:p w:rsidR="00BD130B" w:rsidRPr="00976BFF" w:rsidRDefault="00BD130B" w:rsidP="00835AB6">
            <w:pPr>
              <w:pStyle w:val="NoSpacing"/>
              <w:rPr>
                <w:rFonts w:ascii="Times New Roman" w:hAnsi="Times New Roman"/>
                <w:b/>
                <w:sz w:val="20"/>
                <w:szCs w:val="20"/>
                <w:u w:val="single"/>
                <w:lang w:val="es-ES_tradnl"/>
              </w:rPr>
            </w:pPr>
            <w:r w:rsidRPr="00976BFF">
              <w:rPr>
                <w:rFonts w:ascii="Times New Roman" w:hAnsi="Times New Roman"/>
                <w:b/>
                <w:sz w:val="20"/>
                <w:szCs w:val="20"/>
                <w:u w:val="single"/>
                <w:lang w:val="es-ES_tradnl"/>
              </w:rPr>
              <w:t>Indicador de los ODP 2:</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 xml:space="preserve">Porcentaje del Plan de Acción del </w:t>
            </w:r>
            <w:r w:rsidR="008A1019">
              <w:rPr>
                <w:rFonts w:ascii="Times New Roman" w:hAnsi="Times New Roman"/>
                <w:sz w:val="20"/>
                <w:szCs w:val="20"/>
                <w:lang w:val="es-ES_tradnl"/>
              </w:rPr>
              <w:t>programa</w:t>
            </w:r>
            <w:r w:rsidRPr="00976BFF">
              <w:rPr>
                <w:rFonts w:ascii="Times New Roman" w:hAnsi="Times New Roman"/>
                <w:sz w:val="20"/>
                <w:szCs w:val="20"/>
                <w:lang w:val="es-ES_tradnl"/>
              </w:rPr>
              <w:t xml:space="preserve"> que se ha completado (acumulativo).</w:t>
            </w:r>
          </w:p>
        </w:tc>
        <w:tc>
          <w:tcPr>
            <w:tcW w:w="450" w:type="dxa"/>
          </w:tcPr>
          <w:p w:rsidR="00BD130B" w:rsidRPr="00976BFF" w:rsidRDefault="0080432C" w:rsidP="00835AB6">
            <w:pPr>
              <w:pStyle w:val="NoSpacing"/>
              <w:rPr>
                <w:rFonts w:ascii="Times New Roman" w:hAnsi="Times New Roman"/>
                <w:sz w:val="20"/>
                <w:szCs w:val="20"/>
                <w:lang w:val="es-ES_tradnl"/>
              </w:rPr>
            </w:pPr>
            <w:r>
              <w:rPr>
                <w:noProof/>
              </w:rPr>
              <mc:AlternateContent>
                <mc:Choice Requires="wps">
                  <w:drawing>
                    <wp:anchor distT="0" distB="0" distL="114300" distR="114300" simplePos="0" relativeHeight="251661312" behindDoc="0" locked="0" layoutInCell="1" allowOverlap="1" wp14:anchorId="08EA564E" wp14:editId="20FD9B38">
                      <wp:simplePos x="0" y="0"/>
                      <wp:positionH relativeFrom="column">
                        <wp:posOffset>15240</wp:posOffset>
                      </wp:positionH>
                      <wp:positionV relativeFrom="paragraph">
                        <wp:posOffset>61595</wp:posOffset>
                      </wp:positionV>
                      <wp:extent cx="94615" cy="94615"/>
                      <wp:effectExtent l="0" t="0" r="19685" b="1968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26" style="position:absolute;margin-left:1.2pt;margin-top:4.85pt;width:7.4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"/>
                  </w:pict>
                </mc:Fallback>
              </mc:AlternateContent>
            </w:r>
          </w:p>
        </w:tc>
        <w:tc>
          <w:tcPr>
            <w:tcW w:w="450" w:type="dxa"/>
            <w:gridSpan w:val="2"/>
          </w:tcPr>
          <w:p w:rsidR="00BD130B" w:rsidRPr="00976BFF" w:rsidRDefault="0080432C" w:rsidP="00BD130B">
            <w:pPr>
              <w:pStyle w:val="NoSpacing"/>
              <w:numPr>
                <w:ilvl w:val="2"/>
                <w:numId w:val="1"/>
              </w:numPr>
              <w:rPr>
                <w:rFonts w:ascii="Times New Roman" w:hAnsi="Times New Roman"/>
                <w:sz w:val="20"/>
                <w:szCs w:val="20"/>
                <w:lang w:val="es-ES_tradnl"/>
              </w:rPr>
            </w:pPr>
            <w:r>
              <w:rPr>
                <w:noProof/>
              </w:rPr>
              <mc:AlternateContent>
                <mc:Choice Requires="wps">
                  <w:drawing>
                    <wp:anchor distT="0" distB="0" distL="114300" distR="114300" simplePos="0" relativeHeight="251660288" behindDoc="0" locked="0" layoutInCell="1" allowOverlap="1" wp14:anchorId="3C38859E" wp14:editId="5F6AC2CE">
                      <wp:simplePos x="0" y="0"/>
                      <wp:positionH relativeFrom="column">
                        <wp:posOffset>7620</wp:posOffset>
                      </wp:positionH>
                      <wp:positionV relativeFrom="paragraph">
                        <wp:posOffset>61595</wp:posOffset>
                      </wp:positionV>
                      <wp:extent cx="94615" cy="94615"/>
                      <wp:effectExtent l="0" t="0" r="19685" b="1968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4" o:spid="_x0000_s1026" style="position:absolute;margin-left:.6pt;margin-top:4.85pt;width:7.45pt;height: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"/>
                  </w:pict>
                </mc:Fallback>
              </mc:AlternateContent>
            </w:r>
          </w:p>
        </w:tc>
        <w:tc>
          <w:tcPr>
            <w:tcW w:w="9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0%</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11%</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55%</w:t>
            </w:r>
          </w:p>
        </w:tc>
        <w:tc>
          <w:tcPr>
            <w:tcW w:w="9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100%</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Anual</w:t>
            </w:r>
          </w:p>
        </w:tc>
        <w:tc>
          <w:tcPr>
            <w:tcW w:w="27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 xml:space="preserve">Se basa en la cantidad de actividades finalizadas del Plan de Acción del </w:t>
            </w:r>
            <w:r w:rsidR="008A1019">
              <w:rPr>
                <w:rFonts w:ascii="Times New Roman" w:hAnsi="Times New Roman"/>
                <w:sz w:val="20"/>
                <w:szCs w:val="20"/>
                <w:lang w:val="es-ES_tradnl"/>
              </w:rPr>
              <w:t>programa</w:t>
            </w:r>
            <w:r w:rsidRPr="00976BFF">
              <w:rPr>
                <w:rFonts w:ascii="Times New Roman" w:hAnsi="Times New Roman"/>
                <w:sz w:val="20"/>
                <w:szCs w:val="20"/>
                <w:lang w:val="es-ES_tradnl"/>
              </w:rPr>
              <w:t>.</w:t>
            </w:r>
          </w:p>
        </w:tc>
        <w:tc>
          <w:tcPr>
            <w:tcW w:w="144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MTOP</w:t>
            </w:r>
          </w:p>
        </w:tc>
      </w:tr>
      <w:tr w:rsidR="00BD130B" w:rsidRPr="00976BFF">
        <w:tc>
          <w:tcPr>
            <w:tcW w:w="13158" w:type="dxa"/>
            <w:gridSpan w:val="12"/>
          </w:tcPr>
          <w:p w:rsidR="00BD130B" w:rsidRPr="00976BFF" w:rsidRDefault="00BD130B" w:rsidP="00835AB6">
            <w:pPr>
              <w:pStyle w:val="NoSpacing"/>
              <w:rPr>
                <w:rFonts w:ascii="Times New Roman" w:hAnsi="Times New Roman"/>
                <w:b/>
                <w:sz w:val="24"/>
                <w:szCs w:val="24"/>
                <w:lang w:val="es-ES_tradnl"/>
              </w:rPr>
            </w:pPr>
          </w:p>
          <w:p w:rsidR="00BD130B" w:rsidRPr="00976BFF" w:rsidRDefault="00BD130B" w:rsidP="00835AB6">
            <w:pPr>
              <w:pStyle w:val="NoSpacing"/>
              <w:rPr>
                <w:rFonts w:ascii="Times New Roman" w:hAnsi="Times New Roman"/>
                <w:b/>
                <w:sz w:val="24"/>
                <w:szCs w:val="24"/>
                <w:lang w:val="es-ES_tradnl"/>
              </w:rPr>
            </w:pPr>
            <w:r w:rsidRPr="00976BFF">
              <w:rPr>
                <w:rFonts w:ascii="Times New Roman" w:hAnsi="Times New Roman"/>
                <w:b/>
                <w:sz w:val="24"/>
                <w:szCs w:val="24"/>
                <w:lang w:val="es-ES_tradnl"/>
              </w:rPr>
              <w:t>Resultados intermedios</w:t>
            </w:r>
          </w:p>
        </w:tc>
      </w:tr>
      <w:tr w:rsidR="00BD130B" w:rsidRPr="00976BFF">
        <w:tc>
          <w:tcPr>
            <w:tcW w:w="2628" w:type="dxa"/>
          </w:tcPr>
          <w:p w:rsidR="00BD130B" w:rsidRPr="00976BFF" w:rsidRDefault="00BD130B" w:rsidP="00835AB6">
            <w:pPr>
              <w:pStyle w:val="NoSpacing"/>
              <w:rPr>
                <w:rFonts w:ascii="Times New Roman" w:hAnsi="Times New Roman"/>
                <w:b/>
                <w:sz w:val="20"/>
                <w:szCs w:val="20"/>
                <w:lang w:val="es-ES_tradnl"/>
              </w:rPr>
            </w:pPr>
            <w:r w:rsidRPr="00976BFF">
              <w:rPr>
                <w:rFonts w:ascii="Times New Roman" w:hAnsi="Times New Roman"/>
                <w:b/>
                <w:sz w:val="20"/>
                <w:szCs w:val="20"/>
                <w:u w:val="single"/>
                <w:lang w:val="es-ES_tradnl"/>
              </w:rPr>
              <w:t xml:space="preserve">Indicador 1 (IVD-1): </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Número acumulativo de kilómetros de la red vial nacional rehabilitados con una clasificación mínima de 85 puntos, medida por el IES.</w:t>
            </w:r>
          </w:p>
        </w:tc>
        <w:tc>
          <w:tcPr>
            <w:tcW w:w="45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sym w:font="Wingdings" w:char="F078"/>
            </w:r>
          </w:p>
        </w:tc>
        <w:tc>
          <w:tcPr>
            <w:tcW w:w="36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sym w:font="Wingdings" w:char="F078"/>
            </w:r>
          </w:p>
        </w:tc>
        <w:tc>
          <w:tcPr>
            <w:tcW w:w="1080" w:type="dxa"/>
            <w:gridSpan w:val="2"/>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Km</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0</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218</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392</w:t>
            </w:r>
          </w:p>
        </w:tc>
        <w:tc>
          <w:tcPr>
            <w:tcW w:w="9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524</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Anual</w:t>
            </w:r>
          </w:p>
        </w:tc>
        <w:tc>
          <w:tcPr>
            <w:tcW w:w="27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Véase el anexo 3</w:t>
            </w:r>
          </w:p>
          <w:p w:rsidR="00BD130B" w:rsidRPr="00976BFF" w:rsidRDefault="00BD130B" w:rsidP="00C915B4">
            <w:pPr>
              <w:pStyle w:val="NoSpacing"/>
              <w:rPr>
                <w:rFonts w:ascii="Times New Roman" w:hAnsi="Times New Roman"/>
                <w:sz w:val="20"/>
                <w:szCs w:val="20"/>
                <w:lang w:val="es-ES_tradnl"/>
              </w:rPr>
            </w:pPr>
            <w:r w:rsidRPr="00976BFF">
              <w:rPr>
                <w:rFonts w:ascii="Times New Roman" w:hAnsi="Times New Roman"/>
                <w:sz w:val="20"/>
                <w:szCs w:val="20"/>
                <w:lang w:val="es-ES_tradnl"/>
              </w:rPr>
              <w:t>(</w:t>
            </w:r>
            <w:r w:rsidR="00C915B4">
              <w:rPr>
                <w:rFonts w:ascii="Times New Roman" w:hAnsi="Times New Roman"/>
                <w:sz w:val="20"/>
                <w:szCs w:val="20"/>
                <w:lang w:val="es-ES_tradnl"/>
              </w:rPr>
              <w:t>p</w:t>
            </w:r>
            <w:r w:rsidR="00C915B4" w:rsidRPr="00976BFF">
              <w:rPr>
                <w:rFonts w:ascii="Times New Roman" w:hAnsi="Times New Roman"/>
                <w:sz w:val="20"/>
                <w:szCs w:val="20"/>
                <w:lang w:val="es-ES_tradnl"/>
              </w:rPr>
              <w:t xml:space="preserve">rotocolo </w:t>
            </w:r>
            <w:r w:rsidRPr="00976BFF">
              <w:rPr>
                <w:rFonts w:ascii="Times New Roman" w:hAnsi="Times New Roman"/>
                <w:sz w:val="20"/>
                <w:szCs w:val="20"/>
                <w:lang w:val="es-ES_tradnl"/>
              </w:rPr>
              <w:t>de verificación de los IVD)</w:t>
            </w:r>
          </w:p>
        </w:tc>
        <w:tc>
          <w:tcPr>
            <w:tcW w:w="144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DNV</w:t>
            </w:r>
          </w:p>
        </w:tc>
      </w:tr>
      <w:tr w:rsidR="00BD130B" w:rsidRPr="00976BFF">
        <w:tc>
          <w:tcPr>
            <w:tcW w:w="2628" w:type="dxa"/>
          </w:tcPr>
          <w:p w:rsidR="00BD130B" w:rsidRPr="00976BFF" w:rsidRDefault="00BD130B" w:rsidP="00835AB6">
            <w:pPr>
              <w:pStyle w:val="NoSpacing"/>
              <w:rPr>
                <w:rFonts w:ascii="Times New Roman" w:hAnsi="Times New Roman"/>
                <w:b/>
                <w:sz w:val="20"/>
                <w:szCs w:val="20"/>
                <w:u w:val="single"/>
                <w:lang w:val="es-ES_tradnl"/>
              </w:rPr>
            </w:pPr>
            <w:r w:rsidRPr="00976BFF">
              <w:rPr>
                <w:rFonts w:ascii="Times New Roman" w:hAnsi="Times New Roman"/>
                <w:b/>
                <w:sz w:val="20"/>
                <w:szCs w:val="20"/>
                <w:u w:val="single"/>
                <w:lang w:val="es-ES_tradnl"/>
              </w:rPr>
              <w:t>Indicador 2 (IVD-2):</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Número de kilómetros de la red vial nacional mantenidos a través de contratos basados en el desempeño.</w:t>
            </w:r>
          </w:p>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 xml:space="preserve"> </w:t>
            </w:r>
          </w:p>
        </w:tc>
        <w:tc>
          <w:tcPr>
            <w:tcW w:w="450" w:type="dxa"/>
          </w:tcPr>
          <w:p w:rsidR="00BD130B" w:rsidRPr="00976BFF" w:rsidRDefault="0080432C" w:rsidP="00835AB6">
            <w:pPr>
              <w:pStyle w:val="NoSpacing"/>
              <w:rPr>
                <w:rFonts w:ascii="Times New Roman" w:hAnsi="Times New Roman"/>
                <w:sz w:val="20"/>
                <w:szCs w:val="20"/>
                <w:lang w:val="es-ES_tradnl"/>
              </w:rPr>
            </w:pPr>
            <w:r>
              <w:rPr>
                <w:noProof/>
              </w:rPr>
              <mc:AlternateContent>
                <mc:Choice Requires="wps">
                  <w:drawing>
                    <wp:anchor distT="0" distB="0" distL="114300" distR="114300" simplePos="0" relativeHeight="251664384" behindDoc="0" locked="0" layoutInCell="1" allowOverlap="1" wp14:anchorId="521D9ED4" wp14:editId="55630FA5">
                      <wp:simplePos x="0" y="0"/>
                      <wp:positionH relativeFrom="column">
                        <wp:posOffset>15240</wp:posOffset>
                      </wp:positionH>
                      <wp:positionV relativeFrom="paragraph">
                        <wp:posOffset>37465</wp:posOffset>
                      </wp:positionV>
                      <wp:extent cx="94615" cy="94615"/>
                      <wp:effectExtent l="0" t="0" r="19685" b="1968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3" o:spid="_x0000_s1026" style="position:absolute;margin-left:1.2pt;margin-top:2.95pt;width:7.45pt;height: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"/>
                  </w:pict>
                </mc:Fallback>
              </mc:AlternateContent>
            </w:r>
          </w:p>
        </w:tc>
        <w:tc>
          <w:tcPr>
            <w:tcW w:w="36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sym w:font="Wingdings" w:char="F078"/>
            </w:r>
          </w:p>
        </w:tc>
        <w:tc>
          <w:tcPr>
            <w:tcW w:w="1080" w:type="dxa"/>
            <w:gridSpan w:val="2"/>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Km</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3100</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3200</w:t>
            </w:r>
          </w:p>
        </w:tc>
        <w:tc>
          <w:tcPr>
            <w:tcW w:w="81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3250</w:t>
            </w:r>
          </w:p>
        </w:tc>
        <w:tc>
          <w:tcPr>
            <w:tcW w:w="9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3300</w:t>
            </w:r>
          </w:p>
        </w:tc>
        <w:tc>
          <w:tcPr>
            <w:tcW w:w="90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Anual</w:t>
            </w:r>
          </w:p>
        </w:tc>
        <w:tc>
          <w:tcPr>
            <w:tcW w:w="279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Véase el anexo 3</w:t>
            </w:r>
          </w:p>
          <w:p w:rsidR="00BD130B" w:rsidRPr="00976BFF" w:rsidRDefault="00BD130B" w:rsidP="00C915B4">
            <w:pPr>
              <w:pStyle w:val="NoSpacing"/>
              <w:rPr>
                <w:rFonts w:ascii="Times New Roman" w:hAnsi="Times New Roman"/>
                <w:sz w:val="20"/>
                <w:szCs w:val="20"/>
                <w:lang w:val="es-ES_tradnl"/>
              </w:rPr>
            </w:pPr>
            <w:r w:rsidRPr="00976BFF">
              <w:rPr>
                <w:rFonts w:ascii="Times New Roman" w:hAnsi="Times New Roman"/>
                <w:sz w:val="20"/>
                <w:szCs w:val="20"/>
                <w:lang w:val="es-ES_tradnl"/>
              </w:rPr>
              <w:t>(</w:t>
            </w:r>
            <w:r w:rsidR="00C915B4">
              <w:rPr>
                <w:rFonts w:ascii="Times New Roman" w:hAnsi="Times New Roman"/>
                <w:sz w:val="20"/>
                <w:szCs w:val="20"/>
                <w:lang w:val="es-ES_tradnl"/>
              </w:rPr>
              <w:t>p</w:t>
            </w:r>
            <w:r w:rsidR="00C915B4" w:rsidRPr="00976BFF">
              <w:rPr>
                <w:rFonts w:ascii="Times New Roman" w:hAnsi="Times New Roman"/>
                <w:sz w:val="20"/>
                <w:szCs w:val="20"/>
                <w:lang w:val="es-ES_tradnl"/>
              </w:rPr>
              <w:t xml:space="preserve">rotocolo </w:t>
            </w:r>
            <w:r w:rsidRPr="00976BFF">
              <w:rPr>
                <w:rFonts w:ascii="Times New Roman" w:hAnsi="Times New Roman"/>
                <w:sz w:val="20"/>
                <w:szCs w:val="20"/>
                <w:lang w:val="es-ES_tradnl"/>
              </w:rPr>
              <w:t>de verificación de los IVD)</w:t>
            </w:r>
          </w:p>
        </w:tc>
        <w:tc>
          <w:tcPr>
            <w:tcW w:w="1440" w:type="dxa"/>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DNV</w:t>
            </w:r>
          </w:p>
        </w:tc>
      </w:tr>
      <w:tr w:rsidR="00BD130B" w:rsidRPr="00377DAB">
        <w:trPr>
          <w:trHeight w:val="734"/>
        </w:trPr>
        <w:tc>
          <w:tcPr>
            <w:tcW w:w="2628" w:type="dxa"/>
            <w:tcBorders>
              <w:bottom w:val="nil"/>
            </w:tcBorders>
          </w:tcPr>
          <w:p w:rsidR="00BD130B" w:rsidRPr="00976BFF" w:rsidRDefault="00BD130B" w:rsidP="00835AB6">
            <w:pPr>
              <w:pStyle w:val="NoSpacing"/>
              <w:rPr>
                <w:rFonts w:ascii="Times New Roman" w:hAnsi="Times New Roman"/>
                <w:b/>
                <w:sz w:val="20"/>
                <w:szCs w:val="20"/>
                <w:lang w:val="es-ES_tradnl"/>
              </w:rPr>
            </w:pPr>
            <w:r w:rsidRPr="00976BFF">
              <w:rPr>
                <w:rFonts w:ascii="Times New Roman" w:hAnsi="Times New Roman"/>
                <w:b/>
                <w:sz w:val="20"/>
                <w:szCs w:val="20"/>
                <w:u w:val="single"/>
                <w:lang w:val="es-ES_tradnl"/>
              </w:rPr>
              <w:t>Indicador 3 (IVD-3):</w:t>
            </w:r>
            <w:r w:rsidRPr="00976BFF">
              <w:rPr>
                <w:rFonts w:ascii="Times New Roman" w:hAnsi="Times New Roman"/>
                <w:b/>
                <w:sz w:val="20"/>
                <w:szCs w:val="20"/>
                <w:lang w:val="es-ES_tradnl"/>
              </w:rPr>
              <w:t xml:space="preserve"> </w:t>
            </w:r>
          </w:p>
          <w:p w:rsidR="00BD130B" w:rsidRPr="00C915B4" w:rsidRDefault="00BD130B" w:rsidP="00835AB6">
            <w:pPr>
              <w:pStyle w:val="NoSpacing"/>
              <w:rPr>
                <w:rFonts w:ascii="Times New Roman" w:hAnsi="Times New Roman"/>
                <w:sz w:val="20"/>
                <w:szCs w:val="20"/>
                <w:lang w:val="es-ES_tradnl"/>
              </w:rPr>
            </w:pPr>
            <w:r w:rsidRPr="000B5989">
              <w:rPr>
                <w:rFonts w:ascii="Times New Roman" w:hAnsi="Times New Roman"/>
                <w:sz w:val="20"/>
                <w:szCs w:val="20"/>
                <w:lang w:val="es-ES_tradnl"/>
              </w:rPr>
              <w:t>Actividades de fortalecimiento institucional:</w:t>
            </w:r>
            <w:r w:rsidRPr="00C915B4" w:rsidDel="002D4784">
              <w:rPr>
                <w:rFonts w:ascii="Times New Roman" w:hAnsi="Times New Roman"/>
                <w:sz w:val="20"/>
                <w:szCs w:val="20"/>
                <w:lang w:val="es-ES_tradnl"/>
              </w:rPr>
              <w:t xml:space="preserve"> </w:t>
            </w:r>
          </w:p>
          <w:p w:rsidR="00BD130B" w:rsidRPr="00976BFF" w:rsidRDefault="00BD130B" w:rsidP="00835AB6">
            <w:pPr>
              <w:pStyle w:val="NoSpacing"/>
              <w:rPr>
                <w:rFonts w:ascii="Times New Roman" w:hAnsi="Times New Roman"/>
                <w:sz w:val="20"/>
                <w:szCs w:val="20"/>
                <w:lang w:val="es-ES_tradnl"/>
              </w:rPr>
            </w:pPr>
          </w:p>
        </w:tc>
        <w:tc>
          <w:tcPr>
            <w:tcW w:w="450" w:type="dxa"/>
            <w:tcBorders>
              <w:bottom w:val="nil"/>
            </w:tcBorders>
          </w:tcPr>
          <w:p w:rsidR="00BD130B" w:rsidRPr="00976BFF" w:rsidRDefault="0080432C" w:rsidP="00835AB6">
            <w:pPr>
              <w:pStyle w:val="NoSpacing"/>
              <w:rPr>
                <w:rFonts w:ascii="Times New Roman" w:hAnsi="Times New Roman"/>
                <w:sz w:val="20"/>
                <w:szCs w:val="20"/>
                <w:lang w:val="es-ES_tradnl"/>
              </w:rPr>
            </w:pPr>
            <w:r>
              <w:rPr>
                <w:noProof/>
              </w:rPr>
              <mc:AlternateContent>
                <mc:Choice Requires="wps">
                  <w:drawing>
                    <wp:anchor distT="0" distB="0" distL="114300" distR="114300" simplePos="0" relativeHeight="251662336" behindDoc="0" locked="0" layoutInCell="1" allowOverlap="1" wp14:anchorId="08174015" wp14:editId="7F02173B">
                      <wp:simplePos x="0" y="0"/>
                      <wp:positionH relativeFrom="column">
                        <wp:posOffset>15240</wp:posOffset>
                      </wp:positionH>
                      <wp:positionV relativeFrom="paragraph">
                        <wp:posOffset>61595</wp:posOffset>
                      </wp:positionV>
                      <wp:extent cx="94615" cy="94615"/>
                      <wp:effectExtent l="0" t="0" r="19685" b="1968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2" o:spid="_x0000_s1026" style="position:absolute;margin-left:1.2pt;margin-top:4.85pt;width:7.45pt;height: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"/>
                  </w:pict>
                </mc:Fallback>
              </mc:AlternateContent>
            </w:r>
          </w:p>
        </w:tc>
        <w:tc>
          <w:tcPr>
            <w:tcW w:w="360" w:type="dxa"/>
            <w:tcBorders>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sym w:font="Wingdings" w:char="F078"/>
            </w:r>
          </w:p>
        </w:tc>
        <w:tc>
          <w:tcPr>
            <w:tcW w:w="1080" w:type="dxa"/>
            <w:gridSpan w:val="2"/>
            <w:tcBorders>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Sí/No</w:t>
            </w:r>
          </w:p>
        </w:tc>
        <w:tc>
          <w:tcPr>
            <w:tcW w:w="810" w:type="dxa"/>
            <w:tcBorders>
              <w:bottom w:val="nil"/>
            </w:tcBorders>
          </w:tcPr>
          <w:p w:rsidR="00BD130B" w:rsidRPr="00976BFF" w:rsidRDefault="00BD130B" w:rsidP="00835AB6">
            <w:pPr>
              <w:pStyle w:val="NoSpacing"/>
              <w:rPr>
                <w:rFonts w:ascii="Times New Roman" w:hAnsi="Times New Roman"/>
                <w:sz w:val="20"/>
                <w:szCs w:val="20"/>
                <w:lang w:val="es-ES_tradnl"/>
              </w:rPr>
            </w:pPr>
          </w:p>
        </w:tc>
        <w:tc>
          <w:tcPr>
            <w:tcW w:w="900" w:type="dxa"/>
            <w:tcBorders>
              <w:bottom w:val="nil"/>
            </w:tcBorders>
          </w:tcPr>
          <w:p w:rsidR="00BD130B" w:rsidRPr="00976BFF" w:rsidRDefault="00BD130B" w:rsidP="00835AB6">
            <w:pPr>
              <w:pStyle w:val="NoSpacing"/>
              <w:rPr>
                <w:rFonts w:ascii="Times New Roman" w:hAnsi="Times New Roman"/>
                <w:sz w:val="20"/>
                <w:szCs w:val="20"/>
                <w:lang w:val="es-ES_tradnl"/>
              </w:rPr>
            </w:pPr>
          </w:p>
        </w:tc>
        <w:tc>
          <w:tcPr>
            <w:tcW w:w="810" w:type="dxa"/>
            <w:tcBorders>
              <w:bottom w:val="nil"/>
            </w:tcBorders>
          </w:tcPr>
          <w:p w:rsidR="00BD130B" w:rsidRPr="00976BFF" w:rsidRDefault="00BD130B" w:rsidP="00835AB6">
            <w:pPr>
              <w:pStyle w:val="NoSpacing"/>
              <w:rPr>
                <w:rFonts w:ascii="Times New Roman" w:hAnsi="Times New Roman"/>
                <w:sz w:val="20"/>
                <w:szCs w:val="20"/>
                <w:lang w:val="es-ES_tradnl"/>
              </w:rPr>
            </w:pPr>
          </w:p>
        </w:tc>
        <w:tc>
          <w:tcPr>
            <w:tcW w:w="990" w:type="dxa"/>
            <w:tcBorders>
              <w:bottom w:val="nil"/>
            </w:tcBorders>
          </w:tcPr>
          <w:p w:rsidR="00BD130B" w:rsidRPr="00976BFF" w:rsidRDefault="00BD130B" w:rsidP="00835AB6">
            <w:pPr>
              <w:pStyle w:val="NoSpacing"/>
              <w:rPr>
                <w:rFonts w:ascii="Times New Roman" w:hAnsi="Times New Roman"/>
                <w:sz w:val="20"/>
                <w:szCs w:val="20"/>
                <w:lang w:val="es-ES_tradnl"/>
              </w:rPr>
            </w:pPr>
          </w:p>
        </w:tc>
        <w:tc>
          <w:tcPr>
            <w:tcW w:w="900" w:type="dxa"/>
            <w:tcBorders>
              <w:bottom w:val="nil"/>
            </w:tcBorders>
          </w:tcPr>
          <w:p w:rsidR="00BD130B" w:rsidRPr="00976BFF" w:rsidRDefault="00BD130B" w:rsidP="00835AB6">
            <w:pPr>
              <w:pStyle w:val="NoSpacing"/>
              <w:rPr>
                <w:rFonts w:ascii="Times New Roman" w:hAnsi="Times New Roman"/>
                <w:sz w:val="20"/>
                <w:szCs w:val="20"/>
                <w:lang w:val="es-ES_tradnl"/>
              </w:rPr>
            </w:pPr>
          </w:p>
        </w:tc>
        <w:tc>
          <w:tcPr>
            <w:tcW w:w="2790" w:type="dxa"/>
            <w:tcBorders>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Véase el anexo 3</w:t>
            </w:r>
          </w:p>
          <w:p w:rsidR="00BD130B" w:rsidRPr="00976BFF" w:rsidRDefault="00BD130B" w:rsidP="00C915B4">
            <w:pPr>
              <w:pStyle w:val="NoSpacing"/>
              <w:rPr>
                <w:rFonts w:ascii="Times New Roman" w:hAnsi="Times New Roman"/>
                <w:sz w:val="20"/>
                <w:szCs w:val="20"/>
                <w:lang w:val="es-ES_tradnl"/>
              </w:rPr>
            </w:pPr>
            <w:r w:rsidRPr="00976BFF">
              <w:rPr>
                <w:rFonts w:ascii="Times New Roman" w:hAnsi="Times New Roman"/>
                <w:sz w:val="20"/>
                <w:szCs w:val="20"/>
                <w:lang w:val="es-ES_tradnl"/>
              </w:rPr>
              <w:t>(</w:t>
            </w:r>
            <w:r w:rsidR="00C915B4">
              <w:rPr>
                <w:rFonts w:ascii="Times New Roman" w:hAnsi="Times New Roman"/>
                <w:sz w:val="20"/>
                <w:szCs w:val="20"/>
                <w:lang w:val="es-ES_tradnl"/>
              </w:rPr>
              <w:t>p</w:t>
            </w:r>
            <w:r w:rsidR="00C915B4" w:rsidRPr="00976BFF">
              <w:rPr>
                <w:rFonts w:ascii="Times New Roman" w:hAnsi="Times New Roman"/>
                <w:sz w:val="20"/>
                <w:szCs w:val="20"/>
                <w:lang w:val="es-ES_tradnl"/>
              </w:rPr>
              <w:t xml:space="preserve">rotocolo </w:t>
            </w:r>
            <w:r w:rsidRPr="00976BFF">
              <w:rPr>
                <w:rFonts w:ascii="Times New Roman" w:hAnsi="Times New Roman"/>
                <w:sz w:val="20"/>
                <w:szCs w:val="20"/>
                <w:lang w:val="es-ES_tradnl"/>
              </w:rPr>
              <w:t>de verificación de los IVD)</w:t>
            </w:r>
          </w:p>
        </w:tc>
        <w:tc>
          <w:tcPr>
            <w:tcW w:w="1440" w:type="dxa"/>
            <w:tcBorders>
              <w:bottom w:val="nil"/>
            </w:tcBorders>
          </w:tcPr>
          <w:p w:rsidR="00BD130B" w:rsidRPr="00976BFF" w:rsidRDefault="00BD130B" w:rsidP="00835AB6">
            <w:pPr>
              <w:pStyle w:val="NoSpacing"/>
              <w:rPr>
                <w:rFonts w:ascii="Times New Roman" w:hAnsi="Times New Roman"/>
                <w:sz w:val="20"/>
                <w:szCs w:val="20"/>
                <w:lang w:val="es-ES_tradnl"/>
              </w:rPr>
            </w:pPr>
          </w:p>
        </w:tc>
      </w:tr>
      <w:tr w:rsidR="00BD130B" w:rsidRPr="00976BFF">
        <w:trPr>
          <w:trHeight w:val="720"/>
        </w:trPr>
        <w:tc>
          <w:tcPr>
            <w:tcW w:w="2628"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RVD 3-1. Se ha aprobado el plan multimodal para accesos terrestres al puerto de Montevideo.</w:t>
            </w:r>
          </w:p>
          <w:p w:rsidR="00BD130B" w:rsidRPr="00976BFF" w:rsidRDefault="00BD130B" w:rsidP="00835AB6">
            <w:pPr>
              <w:pStyle w:val="NoSpacing"/>
              <w:rPr>
                <w:rFonts w:ascii="Times New Roman" w:hAnsi="Times New Roman"/>
                <w:sz w:val="20"/>
                <w:szCs w:val="20"/>
                <w:lang w:val="es-ES_tradnl"/>
              </w:rPr>
            </w:pPr>
          </w:p>
        </w:tc>
        <w:tc>
          <w:tcPr>
            <w:tcW w:w="45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36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1080" w:type="dxa"/>
            <w:gridSpan w:val="2"/>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81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p>
        </w:tc>
        <w:tc>
          <w:tcPr>
            <w:tcW w:w="90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p>
        </w:tc>
        <w:tc>
          <w:tcPr>
            <w:tcW w:w="81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99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90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279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144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DINAPLO</w:t>
            </w:r>
          </w:p>
        </w:tc>
      </w:tr>
      <w:tr w:rsidR="00BD130B" w:rsidRPr="00976BFF">
        <w:trPr>
          <w:trHeight w:val="720"/>
        </w:trPr>
        <w:tc>
          <w:tcPr>
            <w:tcW w:w="2628"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RVD 3-2. Se ha aprobado el catálogo de soluciones optimizadas de rehabilitación de pavimentos.</w:t>
            </w:r>
          </w:p>
          <w:p w:rsidR="00BD130B" w:rsidRPr="00976BFF" w:rsidRDefault="00BD130B" w:rsidP="00835AB6">
            <w:pPr>
              <w:pStyle w:val="NoSpacing"/>
              <w:rPr>
                <w:rFonts w:ascii="Times New Roman" w:hAnsi="Times New Roman"/>
                <w:sz w:val="20"/>
                <w:szCs w:val="20"/>
                <w:lang w:val="es-ES_tradnl"/>
              </w:rPr>
            </w:pPr>
          </w:p>
        </w:tc>
        <w:tc>
          <w:tcPr>
            <w:tcW w:w="45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36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1080" w:type="dxa"/>
            <w:gridSpan w:val="2"/>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81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p>
        </w:tc>
        <w:tc>
          <w:tcPr>
            <w:tcW w:w="90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81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p>
        </w:tc>
        <w:tc>
          <w:tcPr>
            <w:tcW w:w="99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90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279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144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DNV</w:t>
            </w:r>
          </w:p>
        </w:tc>
      </w:tr>
      <w:tr w:rsidR="00BD130B" w:rsidRPr="00976BFF">
        <w:trPr>
          <w:trHeight w:val="495"/>
        </w:trPr>
        <w:tc>
          <w:tcPr>
            <w:tcW w:w="2628"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RVD 3-3. Se ha actualizado el manual ambiental de la DNV y se ha capacitado como mínimo al 75% de su personal técnico con responsabilidades relativas a la supervisión de obras, de conformidad con términos de referencia aceptables para el Banco. La capacitación incluyó, además, la descripción de las características del manual ambiental actualizado.</w:t>
            </w:r>
          </w:p>
          <w:p w:rsidR="00BD130B" w:rsidRPr="00976BFF" w:rsidRDefault="00BD130B" w:rsidP="00835AB6">
            <w:pPr>
              <w:pStyle w:val="NoSpacing"/>
              <w:rPr>
                <w:rFonts w:ascii="Times New Roman" w:hAnsi="Times New Roman"/>
                <w:sz w:val="20"/>
                <w:szCs w:val="20"/>
                <w:lang w:val="es-ES_tradnl"/>
              </w:rPr>
            </w:pPr>
          </w:p>
        </w:tc>
        <w:tc>
          <w:tcPr>
            <w:tcW w:w="45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36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1080" w:type="dxa"/>
            <w:gridSpan w:val="2"/>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81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p>
        </w:tc>
        <w:tc>
          <w:tcPr>
            <w:tcW w:w="90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p>
        </w:tc>
        <w:tc>
          <w:tcPr>
            <w:tcW w:w="810" w:type="dxa"/>
            <w:tcBorders>
              <w:top w:val="nil"/>
              <w:bottom w:val="nil"/>
            </w:tcBorders>
          </w:tcPr>
          <w:p w:rsidR="00BD130B" w:rsidRPr="00976BFF" w:rsidDel="002D4784"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99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90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279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p>
        </w:tc>
        <w:tc>
          <w:tcPr>
            <w:tcW w:w="1440" w:type="dxa"/>
            <w:tcBorders>
              <w:top w:val="nil"/>
              <w:bottom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DNV</w:t>
            </w:r>
          </w:p>
        </w:tc>
      </w:tr>
      <w:tr w:rsidR="00BD130B" w:rsidRPr="00976BFF">
        <w:trPr>
          <w:trHeight w:val="625"/>
        </w:trPr>
        <w:tc>
          <w:tcPr>
            <w:tcW w:w="2628" w:type="dxa"/>
            <w:tcBorders>
              <w:top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RVD 3-4. Se han aprobado las directrices sobre expropiación y gestión social, y se ha organizado un taller internacional sobre prácticas óptimas de gestión social de obras viales.</w:t>
            </w:r>
          </w:p>
        </w:tc>
        <w:tc>
          <w:tcPr>
            <w:tcW w:w="450" w:type="dxa"/>
            <w:tcBorders>
              <w:top w:val="nil"/>
            </w:tcBorders>
          </w:tcPr>
          <w:p w:rsidR="00BD130B" w:rsidRPr="00976BFF" w:rsidRDefault="00BD130B" w:rsidP="00835AB6">
            <w:pPr>
              <w:pStyle w:val="NoSpacing"/>
              <w:rPr>
                <w:rFonts w:ascii="Times New Roman" w:hAnsi="Times New Roman"/>
                <w:sz w:val="20"/>
                <w:szCs w:val="20"/>
                <w:lang w:val="es-ES_tradnl"/>
              </w:rPr>
            </w:pPr>
          </w:p>
        </w:tc>
        <w:tc>
          <w:tcPr>
            <w:tcW w:w="360" w:type="dxa"/>
            <w:tcBorders>
              <w:top w:val="nil"/>
            </w:tcBorders>
          </w:tcPr>
          <w:p w:rsidR="00BD130B" w:rsidRPr="00976BFF" w:rsidRDefault="00BD130B" w:rsidP="00835AB6">
            <w:pPr>
              <w:pStyle w:val="NoSpacing"/>
              <w:rPr>
                <w:rFonts w:ascii="Times New Roman" w:hAnsi="Times New Roman"/>
                <w:sz w:val="20"/>
                <w:szCs w:val="20"/>
                <w:lang w:val="es-ES_tradnl"/>
              </w:rPr>
            </w:pPr>
          </w:p>
        </w:tc>
        <w:tc>
          <w:tcPr>
            <w:tcW w:w="1080" w:type="dxa"/>
            <w:gridSpan w:val="2"/>
            <w:tcBorders>
              <w:top w:val="nil"/>
            </w:tcBorders>
          </w:tcPr>
          <w:p w:rsidR="00BD130B" w:rsidRPr="00976BFF" w:rsidRDefault="00BD130B" w:rsidP="00835AB6">
            <w:pPr>
              <w:pStyle w:val="NoSpacing"/>
              <w:rPr>
                <w:rFonts w:ascii="Times New Roman" w:hAnsi="Times New Roman"/>
                <w:sz w:val="20"/>
                <w:szCs w:val="20"/>
                <w:lang w:val="es-ES_tradnl"/>
              </w:rPr>
            </w:pPr>
          </w:p>
        </w:tc>
        <w:tc>
          <w:tcPr>
            <w:tcW w:w="810" w:type="dxa"/>
            <w:tcBorders>
              <w:top w:val="nil"/>
            </w:tcBorders>
          </w:tcPr>
          <w:p w:rsidR="00BD130B" w:rsidRPr="00976BFF" w:rsidDel="002D4784" w:rsidRDefault="00BD130B" w:rsidP="00835AB6">
            <w:pPr>
              <w:pStyle w:val="NoSpacing"/>
              <w:rPr>
                <w:rFonts w:ascii="Times New Roman" w:hAnsi="Times New Roman"/>
                <w:sz w:val="20"/>
                <w:szCs w:val="20"/>
                <w:lang w:val="es-ES_tradnl"/>
              </w:rPr>
            </w:pPr>
          </w:p>
        </w:tc>
        <w:tc>
          <w:tcPr>
            <w:tcW w:w="900" w:type="dxa"/>
            <w:tcBorders>
              <w:top w:val="nil"/>
            </w:tcBorders>
          </w:tcPr>
          <w:p w:rsidR="00BD130B" w:rsidRPr="00976BFF" w:rsidDel="002D4784" w:rsidRDefault="00BD130B" w:rsidP="00835AB6">
            <w:pPr>
              <w:pStyle w:val="NoSpacing"/>
              <w:rPr>
                <w:rFonts w:ascii="Times New Roman" w:hAnsi="Times New Roman"/>
                <w:sz w:val="20"/>
                <w:szCs w:val="20"/>
                <w:lang w:val="es-ES_tradnl"/>
              </w:rPr>
            </w:pPr>
          </w:p>
        </w:tc>
        <w:tc>
          <w:tcPr>
            <w:tcW w:w="810" w:type="dxa"/>
            <w:tcBorders>
              <w:top w:val="nil"/>
            </w:tcBorders>
          </w:tcPr>
          <w:p w:rsidR="00BD130B" w:rsidRPr="00976BFF" w:rsidDel="002D4784"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Sí</w:t>
            </w:r>
          </w:p>
        </w:tc>
        <w:tc>
          <w:tcPr>
            <w:tcW w:w="990" w:type="dxa"/>
            <w:tcBorders>
              <w:top w:val="nil"/>
            </w:tcBorders>
          </w:tcPr>
          <w:p w:rsidR="00BD130B" w:rsidRPr="00976BFF" w:rsidRDefault="00BD130B" w:rsidP="00835AB6">
            <w:pPr>
              <w:pStyle w:val="NoSpacing"/>
              <w:rPr>
                <w:rFonts w:ascii="Times New Roman" w:hAnsi="Times New Roman"/>
                <w:sz w:val="20"/>
                <w:szCs w:val="20"/>
                <w:lang w:val="es-ES_tradnl"/>
              </w:rPr>
            </w:pPr>
          </w:p>
        </w:tc>
        <w:tc>
          <w:tcPr>
            <w:tcW w:w="900" w:type="dxa"/>
            <w:tcBorders>
              <w:top w:val="nil"/>
            </w:tcBorders>
          </w:tcPr>
          <w:p w:rsidR="00BD130B" w:rsidRPr="00976BFF" w:rsidRDefault="00BD130B" w:rsidP="00835AB6">
            <w:pPr>
              <w:pStyle w:val="NoSpacing"/>
              <w:rPr>
                <w:rFonts w:ascii="Times New Roman" w:hAnsi="Times New Roman"/>
                <w:sz w:val="20"/>
                <w:szCs w:val="20"/>
                <w:lang w:val="es-ES_tradnl"/>
              </w:rPr>
            </w:pPr>
          </w:p>
        </w:tc>
        <w:tc>
          <w:tcPr>
            <w:tcW w:w="2790" w:type="dxa"/>
            <w:tcBorders>
              <w:top w:val="nil"/>
            </w:tcBorders>
          </w:tcPr>
          <w:p w:rsidR="00BD130B" w:rsidRPr="00976BFF" w:rsidRDefault="00BD130B" w:rsidP="00835AB6">
            <w:pPr>
              <w:pStyle w:val="NoSpacing"/>
              <w:rPr>
                <w:rFonts w:ascii="Times New Roman" w:hAnsi="Times New Roman"/>
                <w:sz w:val="20"/>
                <w:szCs w:val="20"/>
                <w:lang w:val="es-ES_tradnl"/>
              </w:rPr>
            </w:pPr>
          </w:p>
        </w:tc>
        <w:tc>
          <w:tcPr>
            <w:tcW w:w="1440" w:type="dxa"/>
            <w:tcBorders>
              <w:top w:val="nil"/>
            </w:tcBorders>
          </w:tcPr>
          <w:p w:rsidR="00BD130B" w:rsidRPr="00976BFF" w:rsidRDefault="00BD130B" w:rsidP="00835AB6">
            <w:pPr>
              <w:pStyle w:val="NoSpacing"/>
              <w:rPr>
                <w:rFonts w:ascii="Times New Roman" w:hAnsi="Times New Roman"/>
                <w:sz w:val="20"/>
                <w:szCs w:val="20"/>
                <w:lang w:val="es-ES_tradnl"/>
              </w:rPr>
            </w:pPr>
            <w:r w:rsidRPr="00976BFF">
              <w:rPr>
                <w:rFonts w:ascii="Times New Roman" w:hAnsi="Times New Roman"/>
                <w:sz w:val="20"/>
                <w:szCs w:val="20"/>
                <w:lang w:val="es-ES_tradnl"/>
              </w:rPr>
              <w:t>DNTop</w:t>
            </w:r>
          </w:p>
        </w:tc>
      </w:tr>
    </w:tbl>
    <w:p w:rsidR="00BD130B" w:rsidRPr="00976BFF" w:rsidRDefault="001627EA" w:rsidP="001627EA">
      <w:pPr>
        <w:pStyle w:val="NoSpacing"/>
        <w:rPr>
          <w:b/>
          <w:lang w:val="es-ES_tradnl"/>
        </w:rPr>
      </w:pPr>
      <w:r w:rsidRPr="000B5989">
        <w:rPr>
          <w:rFonts w:ascii="Times New Roman" w:hAnsi="Times New Roman"/>
          <w:i/>
          <w:sz w:val="20"/>
          <w:szCs w:val="20"/>
          <w:lang w:val="es-ES_tradnl"/>
        </w:rPr>
        <w:t>Nota:</w:t>
      </w:r>
      <w:r w:rsidRPr="00976BFF">
        <w:rPr>
          <w:rFonts w:ascii="Times New Roman" w:hAnsi="Times New Roman"/>
          <w:sz w:val="20"/>
          <w:szCs w:val="20"/>
          <w:lang w:val="es-ES_tradnl"/>
        </w:rPr>
        <w:t xml:space="preserve"> </w:t>
      </w:r>
      <w:r w:rsidR="009914EF">
        <w:rPr>
          <w:rFonts w:ascii="Times New Roman" w:hAnsi="Times New Roman"/>
          <w:sz w:val="20"/>
          <w:szCs w:val="20"/>
          <w:lang w:val="es-ES_tradnl"/>
        </w:rPr>
        <w:t xml:space="preserve">ODP = </w:t>
      </w:r>
      <w:r w:rsidR="00C915B4">
        <w:rPr>
          <w:rFonts w:ascii="Times New Roman" w:hAnsi="Times New Roman"/>
          <w:sz w:val="20"/>
          <w:szCs w:val="20"/>
          <w:lang w:val="es-ES_tradnl"/>
        </w:rPr>
        <w:t xml:space="preserve">objetivo </w:t>
      </w:r>
      <w:r w:rsidR="009914EF">
        <w:rPr>
          <w:rFonts w:ascii="Times New Roman" w:hAnsi="Times New Roman"/>
          <w:sz w:val="20"/>
          <w:szCs w:val="20"/>
          <w:lang w:val="es-ES_tradnl"/>
        </w:rPr>
        <w:t xml:space="preserve">de desarrollo del programa; </w:t>
      </w:r>
      <w:r w:rsidRPr="00976BFF">
        <w:rPr>
          <w:rFonts w:ascii="Times New Roman" w:hAnsi="Times New Roman"/>
          <w:sz w:val="20"/>
          <w:szCs w:val="20"/>
          <w:lang w:val="es-ES_tradnl"/>
        </w:rPr>
        <w:t xml:space="preserve">RVD = </w:t>
      </w:r>
      <w:r w:rsidR="00C915B4">
        <w:rPr>
          <w:rFonts w:ascii="Times New Roman" w:hAnsi="Times New Roman"/>
          <w:sz w:val="20"/>
          <w:szCs w:val="20"/>
          <w:lang w:val="es-ES_tradnl"/>
        </w:rPr>
        <w:t>r</w:t>
      </w:r>
      <w:r w:rsidR="00C915B4" w:rsidRPr="00976BFF">
        <w:rPr>
          <w:rFonts w:ascii="Times New Roman" w:hAnsi="Times New Roman"/>
          <w:sz w:val="20"/>
          <w:szCs w:val="20"/>
          <w:lang w:val="es-ES_tradnl"/>
        </w:rPr>
        <w:t xml:space="preserve">esultado </w:t>
      </w:r>
      <w:r w:rsidRPr="00976BFF">
        <w:rPr>
          <w:rFonts w:ascii="Times New Roman" w:hAnsi="Times New Roman"/>
          <w:sz w:val="20"/>
          <w:szCs w:val="20"/>
          <w:lang w:val="es-ES_tradnl"/>
        </w:rPr>
        <w:t xml:space="preserve">vinculado </w:t>
      </w:r>
      <w:r w:rsidR="00E57E6E">
        <w:rPr>
          <w:rFonts w:ascii="Times New Roman" w:hAnsi="Times New Roman"/>
          <w:sz w:val="20"/>
          <w:szCs w:val="20"/>
          <w:lang w:val="es-ES_tradnl"/>
        </w:rPr>
        <w:t xml:space="preserve">con </w:t>
      </w:r>
      <w:r w:rsidR="00C915B4">
        <w:rPr>
          <w:rFonts w:ascii="Times New Roman" w:hAnsi="Times New Roman"/>
          <w:sz w:val="20"/>
          <w:szCs w:val="20"/>
          <w:lang w:val="es-ES_tradnl"/>
        </w:rPr>
        <w:t>los</w:t>
      </w:r>
      <w:r w:rsidR="00E57E6E" w:rsidRPr="00976BFF">
        <w:rPr>
          <w:rFonts w:ascii="Times New Roman" w:hAnsi="Times New Roman"/>
          <w:sz w:val="20"/>
          <w:szCs w:val="20"/>
          <w:lang w:val="es-ES_tradnl"/>
        </w:rPr>
        <w:t xml:space="preserve"> </w:t>
      </w:r>
      <w:r w:rsidRPr="00976BFF">
        <w:rPr>
          <w:rFonts w:ascii="Times New Roman" w:hAnsi="Times New Roman"/>
          <w:sz w:val="20"/>
          <w:szCs w:val="20"/>
          <w:lang w:val="es-ES_tradnl"/>
        </w:rPr>
        <w:t>desembolso</w:t>
      </w:r>
      <w:r w:rsidR="00C915B4">
        <w:rPr>
          <w:rFonts w:ascii="Times New Roman" w:hAnsi="Times New Roman"/>
          <w:sz w:val="20"/>
          <w:szCs w:val="20"/>
          <w:lang w:val="es-ES_tradnl"/>
        </w:rPr>
        <w:t>s</w:t>
      </w:r>
      <w:r w:rsidRPr="00976BFF">
        <w:rPr>
          <w:rFonts w:ascii="Times New Roman" w:hAnsi="Times New Roman"/>
          <w:sz w:val="20"/>
          <w:szCs w:val="20"/>
          <w:lang w:val="es-ES_tradnl"/>
        </w:rPr>
        <w:t>.</w:t>
      </w:r>
    </w:p>
    <w:p w:rsidR="00BD130B" w:rsidRPr="00976BFF" w:rsidRDefault="00BD130B" w:rsidP="00BD130B">
      <w:pPr>
        <w:pStyle w:val="ListParagraph"/>
        <w:ind w:left="390"/>
        <w:rPr>
          <w:b/>
          <w:lang w:val="es-ES_tradnl"/>
        </w:rPr>
        <w:sectPr w:rsidR="00BD130B" w:rsidRPr="00976BFF">
          <w:pgSz w:w="15840" w:h="12240" w:orient="landscape"/>
          <w:pgMar w:top="1440" w:right="1440" w:bottom="1440" w:left="1440" w:header="720" w:footer="720" w:gutter="0"/>
          <w:cols w:space="720"/>
          <w:titlePg/>
          <w:docGrid w:linePitch="360"/>
        </w:sectPr>
      </w:pPr>
    </w:p>
    <w:p w:rsidR="00BD130B" w:rsidRPr="00976BFF" w:rsidRDefault="0030235A" w:rsidP="00746A45">
      <w:pPr>
        <w:pStyle w:val="Heading1"/>
        <w:numPr>
          <w:ilvl w:val="0"/>
          <w:numId w:val="0"/>
        </w:numPr>
        <w:spacing w:before="0" w:beforeAutospacing="0" w:after="0"/>
        <w:rPr>
          <w:lang w:val="es-ES_tradnl"/>
        </w:rPr>
      </w:pPr>
      <w:bookmarkStart w:id="44" w:name="_Toc344927177"/>
      <w:r>
        <w:rPr>
          <w:lang w:val="es-ES_tradnl"/>
        </w:rPr>
        <w:t xml:space="preserve">Anexo 3. Indicadores </w:t>
      </w:r>
      <w:r w:rsidR="00E57E6E">
        <w:rPr>
          <w:lang w:val="es-ES_tradnl"/>
        </w:rPr>
        <w:t>v</w:t>
      </w:r>
      <w:r w:rsidR="00E57E6E" w:rsidRPr="00976BFF">
        <w:rPr>
          <w:lang w:val="es-ES_tradnl"/>
        </w:rPr>
        <w:t xml:space="preserve">inculados </w:t>
      </w:r>
      <w:r w:rsidR="00E57E6E">
        <w:rPr>
          <w:lang w:val="es-ES_tradnl"/>
        </w:rPr>
        <w:t>con</w:t>
      </w:r>
      <w:r w:rsidR="00E57E6E" w:rsidRPr="00976BFF">
        <w:rPr>
          <w:lang w:val="es-ES_tradnl"/>
        </w:rPr>
        <w:t xml:space="preserve"> </w:t>
      </w:r>
      <w:r w:rsidR="00BD130B" w:rsidRPr="00976BFF">
        <w:rPr>
          <w:lang w:val="es-ES_tradnl"/>
        </w:rPr>
        <w:t xml:space="preserve">los </w:t>
      </w:r>
      <w:r w:rsidR="00E57E6E">
        <w:rPr>
          <w:lang w:val="es-ES_tradnl"/>
        </w:rPr>
        <w:t>d</w:t>
      </w:r>
      <w:r w:rsidR="00E57E6E" w:rsidRPr="00976BFF">
        <w:rPr>
          <w:lang w:val="es-ES_tradnl"/>
        </w:rPr>
        <w:t>esembolsos</w:t>
      </w:r>
      <w:r w:rsidR="00BD130B" w:rsidRPr="00976BFF">
        <w:rPr>
          <w:lang w:val="es-ES_tradnl"/>
        </w:rPr>
        <w:t xml:space="preserve">, </w:t>
      </w:r>
      <w:r w:rsidR="00E57E6E">
        <w:rPr>
          <w:lang w:val="es-ES_tradnl"/>
        </w:rPr>
        <w:t>m</w:t>
      </w:r>
      <w:r w:rsidR="00E57E6E" w:rsidRPr="00976BFF">
        <w:rPr>
          <w:lang w:val="es-ES_tradnl"/>
        </w:rPr>
        <w:t xml:space="preserve">ecanismos </w:t>
      </w:r>
      <w:r w:rsidR="00BD130B" w:rsidRPr="00976BFF">
        <w:rPr>
          <w:lang w:val="es-ES_tradnl"/>
        </w:rPr>
        <w:t xml:space="preserve">de </w:t>
      </w:r>
      <w:r w:rsidR="00E57E6E">
        <w:rPr>
          <w:lang w:val="es-ES_tradnl"/>
        </w:rPr>
        <w:t xml:space="preserve">desembolso </w:t>
      </w:r>
      <w:r>
        <w:rPr>
          <w:lang w:val="es-ES_tradnl"/>
        </w:rPr>
        <w:t xml:space="preserve">y </w:t>
      </w:r>
      <w:r w:rsidR="00E57E6E">
        <w:rPr>
          <w:lang w:val="es-ES_tradnl"/>
        </w:rPr>
        <w:t>p</w:t>
      </w:r>
      <w:r w:rsidR="00E57E6E" w:rsidRPr="00976BFF">
        <w:rPr>
          <w:lang w:val="es-ES_tradnl"/>
        </w:rPr>
        <w:t xml:space="preserve">rotocolos </w:t>
      </w:r>
      <w:r w:rsidR="00BD130B" w:rsidRPr="00976BFF">
        <w:rPr>
          <w:lang w:val="es-ES_tradnl"/>
        </w:rPr>
        <w:t xml:space="preserve">de </w:t>
      </w:r>
      <w:bookmarkEnd w:id="44"/>
      <w:r w:rsidR="00E57E6E">
        <w:rPr>
          <w:lang w:val="es-ES_tradnl"/>
        </w:rPr>
        <w:t>v</w:t>
      </w:r>
      <w:r w:rsidR="00E57E6E" w:rsidRPr="00976BFF">
        <w:rPr>
          <w:lang w:val="es-ES_tradnl"/>
        </w:rPr>
        <w:t>erificación</w:t>
      </w:r>
    </w:p>
    <w:p w:rsidR="00BD130B" w:rsidRPr="00976BFF" w:rsidRDefault="00BD130B" w:rsidP="00746A45">
      <w:pPr>
        <w:pStyle w:val="Attachmenttitle"/>
        <w:spacing w:after="0"/>
        <w:jc w:val="center"/>
        <w:rPr>
          <w:lang w:val="es-ES_tradnl"/>
        </w:rPr>
      </w:pPr>
      <w:r w:rsidRPr="00976BFF">
        <w:rPr>
          <w:lang w:val="es-ES_tradnl"/>
        </w:rPr>
        <w:t xml:space="preserve">Matriz de </w:t>
      </w:r>
      <w:r w:rsidR="00E57E6E">
        <w:rPr>
          <w:lang w:val="es-ES_tradnl"/>
        </w:rPr>
        <w:t>i</w:t>
      </w:r>
      <w:r w:rsidR="00E57E6E" w:rsidRPr="00976BFF">
        <w:rPr>
          <w:lang w:val="es-ES_tradnl"/>
        </w:rPr>
        <w:t xml:space="preserve">ndicadores </w:t>
      </w:r>
      <w:r w:rsidR="00E57E6E">
        <w:rPr>
          <w:lang w:val="es-ES_tradnl"/>
        </w:rPr>
        <w:t>v</w:t>
      </w:r>
      <w:r w:rsidR="00E57E6E" w:rsidRPr="00976BFF">
        <w:rPr>
          <w:lang w:val="es-ES_tradnl"/>
        </w:rPr>
        <w:t xml:space="preserve">inculados </w:t>
      </w:r>
      <w:r w:rsidR="00E57E6E">
        <w:rPr>
          <w:lang w:val="es-ES_tradnl"/>
        </w:rPr>
        <w:t>con</w:t>
      </w:r>
      <w:r w:rsidR="00E57E6E" w:rsidRPr="00976BFF">
        <w:rPr>
          <w:lang w:val="es-ES_tradnl"/>
        </w:rPr>
        <w:t xml:space="preserve"> </w:t>
      </w:r>
      <w:r w:rsidRPr="00976BFF">
        <w:rPr>
          <w:lang w:val="es-ES_tradnl"/>
        </w:rPr>
        <w:t xml:space="preserve">los </w:t>
      </w:r>
      <w:r w:rsidR="00E57E6E">
        <w:rPr>
          <w:lang w:val="es-ES_tradnl"/>
        </w:rPr>
        <w:t>d</w:t>
      </w:r>
      <w:r w:rsidR="00E57E6E" w:rsidRPr="00976BFF">
        <w:rPr>
          <w:lang w:val="es-ES_tradnl"/>
        </w:rPr>
        <w:t>esembolsos</w:t>
      </w:r>
    </w:p>
    <w:tbl>
      <w:tblPr>
        <w:tblW w:w="4907" w:type="pct"/>
        <w:jc w:val="center"/>
        <w:tblInd w:w="-1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58"/>
        <w:gridCol w:w="1040"/>
        <w:gridCol w:w="993"/>
        <w:gridCol w:w="1068"/>
        <w:gridCol w:w="1453"/>
        <w:gridCol w:w="1453"/>
        <w:gridCol w:w="1666"/>
      </w:tblGrid>
      <w:tr w:rsidR="00BD130B" w:rsidRPr="00377DAB">
        <w:trPr>
          <w:jc w:val="center"/>
        </w:trPr>
        <w:tc>
          <w:tcPr>
            <w:tcW w:w="2033" w:type="pct"/>
            <w:tcBorders>
              <w:top w:val="nil"/>
              <w:left w:val="nil"/>
              <w:right w:val="nil"/>
            </w:tcBorders>
          </w:tcPr>
          <w:p w:rsidR="00BD130B" w:rsidRPr="00976BFF" w:rsidRDefault="00BD130B" w:rsidP="00835AB6">
            <w:pPr>
              <w:spacing w:after="0" w:line="240" w:lineRule="auto"/>
              <w:rPr>
                <w:rFonts w:ascii="Times New Roman" w:hAnsi="Times New Roman"/>
                <w:sz w:val="18"/>
                <w:szCs w:val="18"/>
                <w:lang w:val="es-ES_tradnl"/>
              </w:rPr>
            </w:pPr>
          </w:p>
        </w:tc>
        <w:tc>
          <w:tcPr>
            <w:tcW w:w="402" w:type="pct"/>
            <w:tcBorders>
              <w:top w:val="nil"/>
              <w:left w:val="nil"/>
              <w:right w:val="nil"/>
            </w:tcBorders>
          </w:tcPr>
          <w:p w:rsidR="00BD130B" w:rsidRPr="00976BFF" w:rsidRDefault="00BD130B" w:rsidP="00835AB6">
            <w:pPr>
              <w:spacing w:after="0" w:line="240" w:lineRule="auto"/>
              <w:jc w:val="center"/>
              <w:rPr>
                <w:rFonts w:ascii="Times New Roman" w:hAnsi="Times New Roman"/>
                <w:i/>
                <w:sz w:val="18"/>
                <w:szCs w:val="18"/>
                <w:lang w:val="es-ES_tradnl"/>
              </w:rPr>
            </w:pPr>
          </w:p>
        </w:tc>
        <w:tc>
          <w:tcPr>
            <w:tcW w:w="384" w:type="pct"/>
            <w:tcBorders>
              <w:top w:val="nil"/>
              <w:left w:val="nil"/>
              <w:right w:val="nil"/>
            </w:tcBorders>
          </w:tcPr>
          <w:p w:rsidR="00BD130B" w:rsidRPr="00976BFF" w:rsidRDefault="00BD130B" w:rsidP="00835AB6">
            <w:pPr>
              <w:spacing w:after="0" w:line="240" w:lineRule="auto"/>
              <w:jc w:val="center"/>
              <w:rPr>
                <w:rFonts w:ascii="Times New Roman" w:hAnsi="Times New Roman"/>
                <w:i/>
                <w:sz w:val="18"/>
                <w:szCs w:val="18"/>
                <w:lang w:val="es-ES_tradnl"/>
              </w:rPr>
            </w:pPr>
          </w:p>
        </w:tc>
        <w:tc>
          <w:tcPr>
            <w:tcW w:w="413" w:type="pct"/>
            <w:tcBorders>
              <w:top w:val="nil"/>
              <w:left w:val="nil"/>
            </w:tcBorders>
          </w:tcPr>
          <w:p w:rsidR="00BD130B" w:rsidRPr="00976BFF" w:rsidRDefault="00BD130B" w:rsidP="00835AB6">
            <w:pPr>
              <w:spacing w:after="0" w:line="240" w:lineRule="auto"/>
              <w:jc w:val="center"/>
              <w:rPr>
                <w:rFonts w:ascii="Times New Roman" w:hAnsi="Times New Roman"/>
                <w:i/>
                <w:sz w:val="18"/>
                <w:szCs w:val="18"/>
                <w:lang w:val="es-ES_tradnl"/>
              </w:rPr>
            </w:pPr>
          </w:p>
        </w:tc>
        <w:tc>
          <w:tcPr>
            <w:tcW w:w="1768" w:type="pct"/>
            <w:gridSpan w:val="3"/>
          </w:tcPr>
          <w:p w:rsidR="00BD130B" w:rsidRPr="00976BFF" w:rsidRDefault="00BD130B" w:rsidP="00835AB6">
            <w:pPr>
              <w:autoSpaceDE w:val="0"/>
              <w:spacing w:after="0" w:line="240" w:lineRule="auto"/>
              <w:jc w:val="center"/>
              <w:rPr>
                <w:rFonts w:ascii="Times New Roman" w:hAnsi="Times New Roman"/>
                <w:i/>
                <w:sz w:val="18"/>
                <w:szCs w:val="18"/>
                <w:lang w:val="es-ES_tradnl"/>
              </w:rPr>
            </w:pPr>
            <w:r w:rsidRPr="00976BFF">
              <w:rPr>
                <w:rFonts w:ascii="Times New Roman" w:hAnsi="Times New Roman"/>
                <w:i/>
                <w:sz w:val="18"/>
                <w:szCs w:val="18"/>
                <w:lang w:val="es-ES_tradnl"/>
              </w:rPr>
              <w:t>Calendario indicativo para el logro de los IVD</w:t>
            </w:r>
            <w:r w:rsidRPr="00976BFF">
              <w:rPr>
                <w:rStyle w:val="FootnoteReference"/>
                <w:rFonts w:ascii="Times New Roman" w:hAnsi="Times New Roman"/>
                <w:i/>
                <w:sz w:val="18"/>
                <w:szCs w:val="18"/>
                <w:lang w:val="es-ES_tradnl"/>
              </w:rPr>
              <w:footnoteReference w:id="21"/>
            </w:r>
          </w:p>
        </w:tc>
      </w:tr>
      <w:tr w:rsidR="00BD130B" w:rsidRPr="00976BFF">
        <w:trPr>
          <w:trHeight w:val="728"/>
          <w:jc w:val="center"/>
        </w:trPr>
        <w:tc>
          <w:tcPr>
            <w:tcW w:w="2033"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IVD</w:t>
            </w:r>
          </w:p>
        </w:tc>
        <w:tc>
          <w:tcPr>
            <w:tcW w:w="402" w:type="pct"/>
            <w:vAlign w:val="center"/>
          </w:tcPr>
          <w:p w:rsidR="00BD130B" w:rsidRPr="00976BFF" w:rsidRDefault="00BD130B" w:rsidP="00835AB6">
            <w:pPr>
              <w:spacing w:after="0" w:line="240" w:lineRule="auto"/>
              <w:jc w:val="center"/>
              <w:rPr>
                <w:rFonts w:ascii="Times New Roman" w:hAnsi="Times New Roman"/>
                <w:bCs/>
                <w:i/>
                <w:sz w:val="18"/>
                <w:szCs w:val="18"/>
                <w:u w:val="single"/>
                <w:lang w:val="es-ES_tradnl"/>
              </w:rPr>
            </w:pPr>
            <w:r w:rsidRPr="00976BFF">
              <w:rPr>
                <w:rFonts w:ascii="Times New Roman" w:hAnsi="Times New Roman"/>
                <w:i/>
                <w:sz w:val="18"/>
                <w:szCs w:val="18"/>
                <w:lang w:val="es-ES_tradnl"/>
              </w:rPr>
              <w:t>Financiamiento total asignado al IVD (millones de US$)</w:t>
            </w:r>
          </w:p>
        </w:tc>
        <w:tc>
          <w:tcPr>
            <w:tcW w:w="384" w:type="pct"/>
            <w:vAlign w:val="center"/>
          </w:tcPr>
          <w:p w:rsidR="00BD130B" w:rsidRPr="00976BFF" w:rsidRDefault="00BD130B" w:rsidP="0030235A">
            <w:pPr>
              <w:spacing w:after="0" w:line="240" w:lineRule="auto"/>
              <w:jc w:val="center"/>
              <w:rPr>
                <w:rFonts w:ascii="Times New Roman" w:hAnsi="Times New Roman"/>
                <w:i/>
                <w:sz w:val="18"/>
                <w:szCs w:val="18"/>
                <w:lang w:val="es-ES_tradnl"/>
              </w:rPr>
            </w:pPr>
            <w:r w:rsidRPr="00976BFF">
              <w:rPr>
                <w:rFonts w:ascii="Times New Roman" w:hAnsi="Times New Roman"/>
                <w:i/>
                <w:sz w:val="18"/>
                <w:szCs w:val="18"/>
                <w:lang w:val="es-ES_tradnl"/>
              </w:rPr>
              <w:t xml:space="preserve">Como % del monto </w:t>
            </w:r>
            <w:r w:rsidR="0030235A">
              <w:rPr>
                <w:rFonts w:ascii="Times New Roman" w:hAnsi="Times New Roman"/>
                <w:i/>
                <w:sz w:val="18"/>
                <w:szCs w:val="18"/>
                <w:lang w:val="es-ES_tradnl"/>
              </w:rPr>
              <w:t xml:space="preserve">total </w:t>
            </w:r>
            <w:r w:rsidRPr="00976BFF">
              <w:rPr>
                <w:rFonts w:ascii="Times New Roman" w:hAnsi="Times New Roman"/>
                <w:i/>
                <w:sz w:val="18"/>
                <w:szCs w:val="18"/>
                <w:lang w:val="es-ES_tradnl"/>
              </w:rPr>
              <w:t>de financiamiento</w:t>
            </w:r>
          </w:p>
        </w:tc>
        <w:tc>
          <w:tcPr>
            <w:tcW w:w="413" w:type="pct"/>
            <w:vAlign w:val="center"/>
          </w:tcPr>
          <w:p w:rsidR="00BD130B" w:rsidRPr="00976BFF" w:rsidRDefault="00BD130B" w:rsidP="00835AB6">
            <w:pPr>
              <w:spacing w:after="0" w:line="240" w:lineRule="auto"/>
              <w:jc w:val="center"/>
              <w:rPr>
                <w:rFonts w:ascii="Times New Roman" w:hAnsi="Times New Roman"/>
                <w:bCs/>
                <w:i/>
                <w:sz w:val="18"/>
                <w:szCs w:val="18"/>
                <w:u w:val="single"/>
                <w:lang w:val="es-ES_tradnl"/>
              </w:rPr>
            </w:pPr>
            <w:r w:rsidRPr="00976BFF">
              <w:rPr>
                <w:rFonts w:ascii="Times New Roman" w:hAnsi="Times New Roman"/>
                <w:i/>
                <w:sz w:val="18"/>
                <w:szCs w:val="18"/>
                <w:lang w:val="es-ES_tradnl"/>
              </w:rPr>
              <w:t>Parámetro de referencia del IVD</w:t>
            </w:r>
          </w:p>
        </w:tc>
        <w:tc>
          <w:tcPr>
            <w:tcW w:w="562" w:type="pct"/>
            <w:vAlign w:val="center"/>
          </w:tcPr>
          <w:p w:rsidR="00BD130B" w:rsidRPr="00976BFF" w:rsidRDefault="00BD130B" w:rsidP="00835AB6">
            <w:pPr>
              <w:spacing w:after="0" w:line="240" w:lineRule="auto"/>
              <w:jc w:val="center"/>
              <w:rPr>
                <w:rFonts w:ascii="Times New Roman" w:hAnsi="Times New Roman"/>
                <w:i/>
                <w:sz w:val="18"/>
                <w:szCs w:val="18"/>
                <w:lang w:val="es-ES_tradnl"/>
              </w:rPr>
            </w:pPr>
            <w:r w:rsidRPr="00976BFF">
              <w:rPr>
                <w:rFonts w:ascii="Times New Roman" w:hAnsi="Times New Roman"/>
                <w:i/>
                <w:sz w:val="18"/>
                <w:szCs w:val="18"/>
                <w:lang w:val="es-ES_tradnl"/>
              </w:rPr>
              <w:t>2013</w:t>
            </w:r>
          </w:p>
        </w:tc>
        <w:tc>
          <w:tcPr>
            <w:tcW w:w="562" w:type="pct"/>
            <w:vAlign w:val="center"/>
          </w:tcPr>
          <w:p w:rsidR="00BD130B" w:rsidRPr="00976BFF" w:rsidRDefault="00BD130B" w:rsidP="00835AB6">
            <w:pPr>
              <w:spacing w:after="0" w:line="240" w:lineRule="auto"/>
              <w:jc w:val="center"/>
              <w:rPr>
                <w:rFonts w:ascii="Times New Roman" w:hAnsi="Times New Roman"/>
                <w:i/>
                <w:sz w:val="18"/>
                <w:szCs w:val="18"/>
                <w:lang w:val="es-ES_tradnl"/>
              </w:rPr>
            </w:pPr>
            <w:r w:rsidRPr="00976BFF">
              <w:rPr>
                <w:rFonts w:ascii="Times New Roman" w:hAnsi="Times New Roman"/>
                <w:i/>
                <w:sz w:val="18"/>
                <w:szCs w:val="18"/>
                <w:lang w:val="es-ES_tradnl"/>
              </w:rPr>
              <w:t>2014</w:t>
            </w:r>
          </w:p>
        </w:tc>
        <w:tc>
          <w:tcPr>
            <w:tcW w:w="644" w:type="pct"/>
            <w:vAlign w:val="center"/>
          </w:tcPr>
          <w:p w:rsidR="00BD130B" w:rsidRPr="00976BFF" w:rsidRDefault="00BD130B" w:rsidP="00835AB6">
            <w:pPr>
              <w:spacing w:after="0" w:line="240" w:lineRule="auto"/>
              <w:jc w:val="center"/>
              <w:rPr>
                <w:rFonts w:ascii="Times New Roman" w:hAnsi="Times New Roman"/>
                <w:i/>
                <w:sz w:val="18"/>
                <w:szCs w:val="18"/>
                <w:lang w:val="es-ES_tradnl"/>
              </w:rPr>
            </w:pPr>
            <w:r w:rsidRPr="00976BFF">
              <w:rPr>
                <w:rFonts w:ascii="Times New Roman" w:hAnsi="Times New Roman"/>
                <w:i/>
                <w:sz w:val="18"/>
                <w:szCs w:val="18"/>
                <w:lang w:val="es-ES_tradnl"/>
              </w:rPr>
              <w:t>2015</w:t>
            </w:r>
          </w:p>
        </w:tc>
      </w:tr>
      <w:tr w:rsidR="00BD130B" w:rsidRPr="00976BFF">
        <w:trPr>
          <w:jc w:val="center"/>
        </w:trPr>
        <w:tc>
          <w:tcPr>
            <w:tcW w:w="2033" w:type="pct"/>
          </w:tcPr>
          <w:p w:rsidR="00BD130B" w:rsidRPr="00976BFF" w:rsidRDefault="00BD130B" w:rsidP="00BD130B">
            <w:pPr>
              <w:pStyle w:val="ListParagraph"/>
              <w:numPr>
                <w:ilvl w:val="0"/>
                <w:numId w:val="3"/>
              </w:num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IVD-1</w:t>
            </w:r>
          </w:p>
          <w:p w:rsidR="00BD130B" w:rsidRPr="00976BFF" w:rsidRDefault="00BD130B" w:rsidP="00FE06E1">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Número acumula</w:t>
            </w:r>
            <w:r w:rsidR="00FE06E1">
              <w:rPr>
                <w:rFonts w:ascii="Times New Roman" w:hAnsi="Times New Roman"/>
                <w:sz w:val="18"/>
                <w:szCs w:val="18"/>
                <w:lang w:val="es-ES_tradnl"/>
              </w:rPr>
              <w:t>tivo</w:t>
            </w:r>
            <w:r w:rsidRPr="00976BFF">
              <w:rPr>
                <w:rFonts w:ascii="Times New Roman" w:hAnsi="Times New Roman"/>
                <w:sz w:val="18"/>
                <w:szCs w:val="18"/>
                <w:lang w:val="es-ES_tradnl"/>
              </w:rPr>
              <w:t xml:space="preserve"> de kilómetros de la red vial nacional rehabilitados con una clasificación mínima de 85 puntos, medida por el IES.</w:t>
            </w:r>
          </w:p>
        </w:tc>
        <w:tc>
          <w:tcPr>
            <w:tcW w:w="40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38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413"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218</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392</w:t>
            </w:r>
          </w:p>
        </w:tc>
        <w:tc>
          <w:tcPr>
            <w:tcW w:w="64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524</w:t>
            </w:r>
          </w:p>
        </w:tc>
      </w:tr>
      <w:tr w:rsidR="00BD130B" w:rsidRPr="00976BFF">
        <w:trPr>
          <w:jc w:val="center"/>
        </w:trPr>
        <w:tc>
          <w:tcPr>
            <w:tcW w:w="2033" w:type="pct"/>
          </w:tcPr>
          <w:p w:rsidR="00BD130B" w:rsidRPr="00976BFF" w:rsidRDefault="00BD130B" w:rsidP="00835AB6">
            <w:pPr>
              <w:spacing w:after="0" w:line="240" w:lineRule="auto"/>
              <w:jc w:val="right"/>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26,0</w:t>
            </w:r>
          </w:p>
        </w:tc>
        <w:tc>
          <w:tcPr>
            <w:tcW w:w="38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39%</w:t>
            </w:r>
          </w:p>
        </w:tc>
        <w:tc>
          <w:tcPr>
            <w:tcW w:w="413"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10,8</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8,6</w:t>
            </w:r>
          </w:p>
        </w:tc>
        <w:tc>
          <w:tcPr>
            <w:tcW w:w="64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6,6</w:t>
            </w:r>
          </w:p>
        </w:tc>
      </w:tr>
      <w:tr w:rsidR="00BD130B" w:rsidRPr="00976BFF">
        <w:trPr>
          <w:jc w:val="center"/>
        </w:trPr>
        <w:tc>
          <w:tcPr>
            <w:tcW w:w="2033" w:type="pct"/>
          </w:tcPr>
          <w:p w:rsidR="00BD130B" w:rsidRPr="00976BFF" w:rsidRDefault="00BD130B" w:rsidP="00BD130B">
            <w:pPr>
              <w:pStyle w:val="ListParagraph"/>
              <w:numPr>
                <w:ilvl w:val="0"/>
                <w:numId w:val="3"/>
              </w:num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IVD-2</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Número de kilómetros de la red vial nacional mantenidos a través de contratos basados en el desempeño.</w:t>
            </w:r>
          </w:p>
        </w:tc>
        <w:tc>
          <w:tcPr>
            <w:tcW w:w="402" w:type="pct"/>
            <w:vAlign w:val="center"/>
          </w:tcPr>
          <w:p w:rsidR="00BD130B" w:rsidRPr="00976BFF" w:rsidRDefault="00BD130B" w:rsidP="00835AB6">
            <w:pPr>
              <w:spacing w:after="0" w:line="240" w:lineRule="auto"/>
              <w:jc w:val="center"/>
              <w:rPr>
                <w:rFonts w:ascii="Times New Roman" w:hAnsi="Times New Roman"/>
                <w:bCs/>
                <w:sz w:val="18"/>
                <w:szCs w:val="18"/>
                <w:lang w:val="es-ES_tradnl"/>
              </w:rPr>
            </w:pPr>
          </w:p>
        </w:tc>
        <w:tc>
          <w:tcPr>
            <w:tcW w:w="384" w:type="pct"/>
            <w:vAlign w:val="center"/>
          </w:tcPr>
          <w:p w:rsidR="00BD130B" w:rsidRPr="00976BFF" w:rsidRDefault="00BD130B" w:rsidP="00835AB6">
            <w:pPr>
              <w:spacing w:after="0" w:line="240" w:lineRule="auto"/>
              <w:jc w:val="center"/>
              <w:rPr>
                <w:rFonts w:ascii="Times New Roman" w:hAnsi="Times New Roman"/>
                <w:bCs/>
                <w:sz w:val="18"/>
                <w:szCs w:val="18"/>
                <w:lang w:val="es-ES_tradnl"/>
              </w:rPr>
            </w:pPr>
          </w:p>
        </w:tc>
        <w:tc>
          <w:tcPr>
            <w:tcW w:w="413" w:type="pct"/>
            <w:vAlign w:val="center"/>
          </w:tcPr>
          <w:p w:rsidR="00BD130B" w:rsidRPr="00976BFF"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3000</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3200</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3250</w:t>
            </w:r>
          </w:p>
        </w:tc>
        <w:tc>
          <w:tcPr>
            <w:tcW w:w="64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3300</w:t>
            </w:r>
          </w:p>
        </w:tc>
      </w:tr>
      <w:tr w:rsidR="00BD130B" w:rsidRPr="00976BFF">
        <w:trPr>
          <w:jc w:val="center"/>
        </w:trPr>
        <w:tc>
          <w:tcPr>
            <w:tcW w:w="2033" w:type="pct"/>
          </w:tcPr>
          <w:p w:rsidR="00BD130B" w:rsidRPr="00976BFF" w:rsidRDefault="00BD130B" w:rsidP="00835AB6">
            <w:pPr>
              <w:spacing w:after="0" w:line="240" w:lineRule="auto"/>
              <w:jc w:val="right"/>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30,0</w:t>
            </w:r>
          </w:p>
        </w:tc>
        <w:tc>
          <w:tcPr>
            <w:tcW w:w="38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45%</w:t>
            </w:r>
          </w:p>
        </w:tc>
        <w:tc>
          <w:tcPr>
            <w:tcW w:w="413"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10,0</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10,0</w:t>
            </w:r>
          </w:p>
        </w:tc>
        <w:tc>
          <w:tcPr>
            <w:tcW w:w="64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10,0</w:t>
            </w:r>
          </w:p>
        </w:tc>
      </w:tr>
      <w:tr w:rsidR="00BD130B" w:rsidRPr="00976BFF">
        <w:trPr>
          <w:trHeight w:val="638"/>
          <w:jc w:val="center"/>
        </w:trPr>
        <w:tc>
          <w:tcPr>
            <w:tcW w:w="2033" w:type="pct"/>
            <w:tcBorders>
              <w:bottom w:val="dotted" w:sz="4" w:space="0" w:color="auto"/>
            </w:tcBorders>
          </w:tcPr>
          <w:p w:rsidR="00BD130B" w:rsidRPr="00976BFF" w:rsidRDefault="00BD130B" w:rsidP="00BD130B">
            <w:pPr>
              <w:pStyle w:val="ListParagraph"/>
              <w:numPr>
                <w:ilvl w:val="0"/>
                <w:numId w:val="3"/>
              </w:num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IVD-3</w:t>
            </w:r>
          </w:p>
          <w:p w:rsidR="00BD130B" w:rsidRPr="00976BFF" w:rsidRDefault="00BD130B" w:rsidP="00835AB6">
            <w:pPr>
              <w:spacing w:after="0" w:line="240" w:lineRule="auto"/>
              <w:rPr>
                <w:rFonts w:ascii="Times New Roman" w:hAnsi="Times New Roman"/>
                <w:bCs/>
                <w:sz w:val="18"/>
                <w:szCs w:val="18"/>
                <w:lang w:val="es-ES_tradnl"/>
              </w:rPr>
            </w:pPr>
            <w:r w:rsidRPr="00976BFF">
              <w:rPr>
                <w:rFonts w:ascii="Times New Roman" w:hAnsi="Times New Roman"/>
                <w:bCs/>
                <w:sz w:val="18"/>
                <w:szCs w:val="18"/>
                <w:lang w:val="es-ES_tradnl"/>
              </w:rPr>
              <w:t>Actividades de fortalecimiento institucional:</w:t>
            </w:r>
          </w:p>
        </w:tc>
        <w:tc>
          <w:tcPr>
            <w:tcW w:w="402" w:type="pct"/>
            <w:tcBorders>
              <w:bottom w:val="dotted" w:sz="4" w:space="0" w:color="auto"/>
            </w:tcBorders>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384" w:type="pct"/>
            <w:tcBorders>
              <w:bottom w:val="dotted" w:sz="4" w:space="0" w:color="auto"/>
            </w:tcBorders>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413" w:type="pct"/>
            <w:tcBorders>
              <w:bottom w:val="dotted" w:sz="4" w:space="0" w:color="auto"/>
            </w:tcBorders>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562" w:type="pct"/>
            <w:tcBorders>
              <w:bottom w:val="dotted" w:sz="4" w:space="0" w:color="auto"/>
            </w:tcBorders>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562" w:type="pct"/>
            <w:tcBorders>
              <w:bottom w:val="dotted" w:sz="4" w:space="0" w:color="auto"/>
            </w:tcBorders>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644" w:type="pct"/>
            <w:tcBorders>
              <w:bottom w:val="dotted" w:sz="4" w:space="0" w:color="auto"/>
            </w:tcBorders>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r>
      <w:tr w:rsidR="00BD130B" w:rsidRPr="00976BFF">
        <w:trPr>
          <w:trHeight w:val="233"/>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u w:val="single"/>
                <w:lang w:val="es-ES_tradnl"/>
              </w:rPr>
            </w:pPr>
            <w:r w:rsidRPr="00976BFF">
              <w:rPr>
                <w:rFonts w:ascii="Times New Roman" w:hAnsi="Times New Roman"/>
                <w:sz w:val="18"/>
                <w:szCs w:val="18"/>
                <w:lang w:val="es-ES_tradnl"/>
              </w:rPr>
              <w:t>RVD 3-1. Se ha aprobado el plan multimodal para accesos terrestres al puerto de Montevideo.</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No</w:t>
            </w: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Sí</w:t>
            </w: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95"/>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jc w:val="right"/>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136"/>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3-2. Se ha aprobado el catálogo de soluciones optimizadas de rehabilitación de pavimentos.</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No</w:t>
            </w: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Sí</w:t>
            </w: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203"/>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jc w:val="right"/>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176"/>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3-3. Se ha actualizado el manual ambiental de la DNV y se ha capacitado como mínimo al 75% de su personal con responsabilidades relativas a la supervisión de obras, de conformidad con términos de referencia aceptables para el Banco. La capacitación incluyó, además, la descripción de las características del manual ambiental actualizado.</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No</w:t>
            </w: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Sí</w:t>
            </w: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176"/>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jc w:val="right"/>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149"/>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3-4. Se han aprobado las directrices sobre expropiación y gestión social, y se ha organizado un taller internacional sobre prácticas óptimas de gestión social de obras viales.</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No</w:t>
            </w: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Sí</w:t>
            </w: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trHeight w:val="169"/>
          <w:jc w:val="center"/>
        </w:trPr>
        <w:tc>
          <w:tcPr>
            <w:tcW w:w="2033" w:type="pct"/>
            <w:tcBorders>
              <w:top w:val="dotted" w:sz="4" w:space="0" w:color="auto"/>
              <w:bottom w:val="dotted" w:sz="4" w:space="0" w:color="auto"/>
            </w:tcBorders>
          </w:tcPr>
          <w:p w:rsidR="00BD130B" w:rsidRPr="00976BFF" w:rsidRDefault="00BD130B" w:rsidP="00835AB6">
            <w:pPr>
              <w:spacing w:after="0" w:line="240" w:lineRule="auto"/>
              <w:jc w:val="right"/>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38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413"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c>
          <w:tcPr>
            <w:tcW w:w="562"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bCs/>
                <w:sz w:val="18"/>
                <w:szCs w:val="18"/>
                <w:lang w:val="es-ES_tradnl"/>
              </w:rPr>
              <w:t>2,5</w:t>
            </w:r>
          </w:p>
        </w:tc>
        <w:tc>
          <w:tcPr>
            <w:tcW w:w="644" w:type="pct"/>
            <w:tcBorders>
              <w:top w:val="dotted" w:sz="4" w:space="0" w:color="auto"/>
              <w:bottom w:val="dotted" w:sz="4" w:space="0" w:color="auto"/>
            </w:tcBorders>
            <w:vAlign w:val="center"/>
          </w:tcPr>
          <w:p w:rsidR="00BD130B" w:rsidRPr="00976BFF" w:rsidDel="009D7A61" w:rsidRDefault="00BD130B" w:rsidP="00835AB6">
            <w:pPr>
              <w:spacing w:after="0" w:line="240" w:lineRule="auto"/>
              <w:jc w:val="center"/>
              <w:rPr>
                <w:rFonts w:ascii="Times New Roman" w:hAnsi="Times New Roman"/>
                <w:bCs/>
                <w:sz w:val="18"/>
                <w:szCs w:val="18"/>
                <w:lang w:val="es-ES_tradnl"/>
              </w:rPr>
            </w:pPr>
          </w:p>
        </w:tc>
      </w:tr>
      <w:tr w:rsidR="00BD130B" w:rsidRPr="00976BFF">
        <w:trPr>
          <w:jc w:val="center"/>
        </w:trPr>
        <w:tc>
          <w:tcPr>
            <w:tcW w:w="2033"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Monto asignado:</w:t>
            </w:r>
          </w:p>
        </w:tc>
        <w:tc>
          <w:tcPr>
            <w:tcW w:w="40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10,0</w:t>
            </w:r>
          </w:p>
        </w:tc>
        <w:tc>
          <w:tcPr>
            <w:tcW w:w="38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16%</w:t>
            </w:r>
          </w:p>
        </w:tc>
        <w:tc>
          <w:tcPr>
            <w:tcW w:w="413"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2,5</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7,5</w:t>
            </w:r>
          </w:p>
        </w:tc>
        <w:tc>
          <w:tcPr>
            <w:tcW w:w="64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r>
      <w:tr w:rsidR="00BD130B" w:rsidRPr="00976BFF">
        <w:trPr>
          <w:jc w:val="center"/>
        </w:trPr>
        <w:tc>
          <w:tcPr>
            <w:tcW w:w="2033" w:type="pct"/>
          </w:tcPr>
          <w:p w:rsidR="00BD130B" w:rsidRPr="00976BFF" w:rsidRDefault="00BD130B" w:rsidP="00835AB6">
            <w:pPr>
              <w:pStyle w:val="ListParagraph"/>
              <w:spacing w:after="0" w:line="240" w:lineRule="auto"/>
              <w:ind w:left="0"/>
              <w:rPr>
                <w:rFonts w:ascii="Times New Roman" w:hAnsi="Times New Roman"/>
                <w:sz w:val="18"/>
                <w:szCs w:val="18"/>
                <w:lang w:val="es-ES_tradnl"/>
              </w:rPr>
            </w:pPr>
            <w:r w:rsidRPr="00976BFF">
              <w:rPr>
                <w:rFonts w:ascii="Times New Roman" w:hAnsi="Times New Roman"/>
                <w:sz w:val="18"/>
                <w:szCs w:val="18"/>
                <w:lang w:val="es-ES_tradnl"/>
              </w:rPr>
              <w:t xml:space="preserve">Financiamiento total asignado: </w:t>
            </w:r>
          </w:p>
        </w:tc>
        <w:tc>
          <w:tcPr>
            <w:tcW w:w="40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66,0</w:t>
            </w:r>
          </w:p>
        </w:tc>
        <w:tc>
          <w:tcPr>
            <w:tcW w:w="38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100%</w:t>
            </w:r>
          </w:p>
        </w:tc>
        <w:tc>
          <w:tcPr>
            <w:tcW w:w="413"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23,3</w:t>
            </w:r>
          </w:p>
        </w:tc>
        <w:tc>
          <w:tcPr>
            <w:tcW w:w="562"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26,1</w:t>
            </w:r>
          </w:p>
        </w:tc>
        <w:tc>
          <w:tcPr>
            <w:tcW w:w="644" w:type="pct"/>
            <w:vAlign w:val="center"/>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16,6</w:t>
            </w:r>
          </w:p>
        </w:tc>
      </w:tr>
    </w:tbl>
    <w:p w:rsidR="00BD130B" w:rsidRPr="00976BFF" w:rsidRDefault="00BD130B" w:rsidP="00BD130B">
      <w:pPr>
        <w:rPr>
          <w:lang w:val="es-ES_tradnl"/>
        </w:rPr>
      </w:pPr>
      <w:r w:rsidRPr="000B5989">
        <w:rPr>
          <w:rFonts w:ascii="Times New Roman" w:hAnsi="Times New Roman"/>
          <w:i/>
          <w:sz w:val="20"/>
          <w:szCs w:val="20"/>
          <w:lang w:val="es-ES_tradnl"/>
        </w:rPr>
        <w:t>Nota:</w:t>
      </w:r>
      <w:r w:rsidRPr="00976BFF">
        <w:rPr>
          <w:rFonts w:ascii="Times New Roman" w:hAnsi="Times New Roman"/>
          <w:sz w:val="20"/>
          <w:szCs w:val="20"/>
          <w:lang w:val="es-ES_tradnl"/>
        </w:rPr>
        <w:t xml:space="preserve"> RVD = </w:t>
      </w:r>
      <w:r w:rsidR="00C915B4">
        <w:rPr>
          <w:rFonts w:ascii="Times New Roman" w:hAnsi="Times New Roman"/>
          <w:sz w:val="20"/>
          <w:szCs w:val="20"/>
          <w:lang w:val="es-ES_tradnl"/>
        </w:rPr>
        <w:t>r</w:t>
      </w:r>
      <w:r w:rsidR="00C915B4" w:rsidRPr="00976BFF">
        <w:rPr>
          <w:rFonts w:ascii="Times New Roman" w:hAnsi="Times New Roman"/>
          <w:sz w:val="20"/>
          <w:szCs w:val="20"/>
          <w:lang w:val="es-ES_tradnl"/>
        </w:rPr>
        <w:t xml:space="preserve">esultado </w:t>
      </w:r>
      <w:r w:rsidRPr="00976BFF">
        <w:rPr>
          <w:rFonts w:ascii="Times New Roman" w:hAnsi="Times New Roman"/>
          <w:sz w:val="20"/>
          <w:szCs w:val="20"/>
          <w:lang w:val="es-ES_tradnl"/>
        </w:rPr>
        <w:t xml:space="preserve">vinculado </w:t>
      </w:r>
      <w:r w:rsidR="00E57E6E">
        <w:rPr>
          <w:rFonts w:ascii="Times New Roman" w:hAnsi="Times New Roman"/>
          <w:sz w:val="20"/>
          <w:szCs w:val="20"/>
          <w:lang w:val="es-ES_tradnl"/>
        </w:rPr>
        <w:t xml:space="preserve">con </w:t>
      </w:r>
      <w:r w:rsidR="00C915B4">
        <w:rPr>
          <w:rFonts w:ascii="Times New Roman" w:hAnsi="Times New Roman"/>
          <w:sz w:val="20"/>
          <w:szCs w:val="20"/>
          <w:lang w:val="es-ES_tradnl"/>
        </w:rPr>
        <w:t>los</w:t>
      </w:r>
      <w:r w:rsidR="00E57E6E" w:rsidRPr="00976BFF">
        <w:rPr>
          <w:rFonts w:ascii="Times New Roman" w:hAnsi="Times New Roman"/>
          <w:sz w:val="20"/>
          <w:szCs w:val="20"/>
          <w:lang w:val="es-ES_tradnl"/>
        </w:rPr>
        <w:t xml:space="preserve"> </w:t>
      </w:r>
      <w:r w:rsidRPr="00976BFF">
        <w:rPr>
          <w:rFonts w:ascii="Times New Roman" w:hAnsi="Times New Roman"/>
          <w:sz w:val="20"/>
          <w:szCs w:val="20"/>
          <w:lang w:val="es-ES_tradnl"/>
        </w:rPr>
        <w:t>desembolso</w:t>
      </w:r>
      <w:r w:rsidR="00C915B4">
        <w:rPr>
          <w:rFonts w:ascii="Times New Roman" w:hAnsi="Times New Roman"/>
          <w:sz w:val="20"/>
          <w:szCs w:val="20"/>
          <w:lang w:val="es-ES_tradnl"/>
        </w:rPr>
        <w:t>s</w:t>
      </w:r>
      <w:r w:rsidRPr="00976BFF">
        <w:rPr>
          <w:rFonts w:ascii="Times New Roman" w:hAnsi="Times New Roman"/>
          <w:sz w:val="20"/>
          <w:szCs w:val="20"/>
          <w:lang w:val="es-ES_tradnl"/>
        </w:rPr>
        <w:t>.</w:t>
      </w:r>
      <w:r w:rsidRPr="00976BFF">
        <w:rPr>
          <w:lang w:val="es-ES_tradnl"/>
        </w:rPr>
        <w:br w:type="page"/>
      </w:r>
    </w:p>
    <w:p w:rsidR="00BD130B" w:rsidRPr="00976BFF" w:rsidRDefault="00BD130B" w:rsidP="00BD130B">
      <w:pPr>
        <w:pStyle w:val="Attachmenttitle"/>
        <w:jc w:val="center"/>
        <w:rPr>
          <w:lang w:val="es-ES_tradnl"/>
        </w:rPr>
      </w:pPr>
      <w:r w:rsidRPr="00976BFF">
        <w:rPr>
          <w:lang w:val="es-ES_tradnl"/>
        </w:rPr>
        <w:t xml:space="preserve">Protocolo de </w:t>
      </w:r>
      <w:r w:rsidR="00E7511A">
        <w:rPr>
          <w:lang w:val="es-ES_tradnl"/>
        </w:rPr>
        <w:t>v</w:t>
      </w:r>
      <w:r w:rsidR="00E7511A" w:rsidRPr="00976BFF">
        <w:rPr>
          <w:lang w:val="es-ES_tradnl"/>
        </w:rPr>
        <w:t xml:space="preserve">erificación </w:t>
      </w:r>
      <w:r w:rsidRPr="00976BFF">
        <w:rPr>
          <w:lang w:val="es-ES_tradnl"/>
        </w:rPr>
        <w:t>de los IVD</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
        <w:gridCol w:w="1299"/>
        <w:gridCol w:w="4631"/>
        <w:gridCol w:w="962"/>
        <w:gridCol w:w="1202"/>
        <w:gridCol w:w="1299"/>
        <w:gridCol w:w="3434"/>
      </w:tblGrid>
      <w:tr w:rsidR="00BD130B" w:rsidRPr="00377DAB">
        <w:tc>
          <w:tcPr>
            <w:tcW w:w="92" w:type="pct"/>
            <w:vMerge w:val="restart"/>
          </w:tcPr>
          <w:p w:rsidR="00BD130B" w:rsidRPr="00976BFF" w:rsidRDefault="00BD130B" w:rsidP="00835AB6">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w:t>
            </w:r>
          </w:p>
        </w:tc>
        <w:tc>
          <w:tcPr>
            <w:tcW w:w="497" w:type="pct"/>
            <w:vMerge w:val="restart"/>
          </w:tcPr>
          <w:p w:rsidR="00BD130B" w:rsidRPr="00976BFF" w:rsidRDefault="00BD130B" w:rsidP="00835AB6">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IVD</w:t>
            </w:r>
          </w:p>
        </w:tc>
        <w:tc>
          <w:tcPr>
            <w:tcW w:w="1772" w:type="pct"/>
            <w:vMerge w:val="restart"/>
          </w:tcPr>
          <w:p w:rsidR="00BD130B" w:rsidRPr="00976BFF" w:rsidRDefault="00BD130B" w:rsidP="003824A7">
            <w:pPr>
              <w:pStyle w:val="NoSpacing"/>
              <w:jc w:val="center"/>
              <w:rPr>
                <w:rFonts w:ascii="Times New Roman" w:hAnsi="Times New Roman"/>
                <w:lang w:val="es-ES_tradnl"/>
              </w:rPr>
            </w:pPr>
            <w:r w:rsidRPr="00976BFF">
              <w:rPr>
                <w:rFonts w:ascii="Times New Roman" w:hAnsi="Times New Roman"/>
                <w:b/>
                <w:i/>
                <w:lang w:val="es-ES_tradnl"/>
              </w:rPr>
              <w:t>Definición/</w:t>
            </w:r>
            <w:r w:rsidR="003824A7">
              <w:rPr>
                <w:rFonts w:ascii="Times New Roman" w:hAnsi="Times New Roman"/>
                <w:b/>
                <w:i/>
                <w:lang w:val="es-ES_tradnl"/>
              </w:rPr>
              <w:t>d</w:t>
            </w:r>
            <w:r w:rsidRPr="00976BFF">
              <w:rPr>
                <w:rFonts w:ascii="Times New Roman" w:hAnsi="Times New Roman"/>
                <w:b/>
                <w:i/>
                <w:lang w:val="es-ES_tradnl"/>
              </w:rPr>
              <w:t>escripción del logro</w:t>
            </w:r>
          </w:p>
        </w:tc>
        <w:tc>
          <w:tcPr>
            <w:tcW w:w="368" w:type="pct"/>
            <w:vMerge w:val="restart"/>
          </w:tcPr>
          <w:p w:rsidR="00BD130B" w:rsidRPr="00976BFF" w:rsidRDefault="00BD130B" w:rsidP="00835AB6">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Flexibilidad de los desembolsos</w:t>
            </w:r>
          </w:p>
        </w:tc>
        <w:tc>
          <w:tcPr>
            <w:tcW w:w="2271" w:type="pct"/>
            <w:gridSpan w:val="3"/>
          </w:tcPr>
          <w:p w:rsidR="00BD130B" w:rsidRPr="00976BFF" w:rsidRDefault="00BD130B" w:rsidP="00835AB6">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Protocolo para evaluar los logros de los IVD y verificación de los datos y los resultados</w:t>
            </w:r>
          </w:p>
        </w:tc>
      </w:tr>
      <w:tr w:rsidR="00BD130B" w:rsidRPr="00976BFF">
        <w:tc>
          <w:tcPr>
            <w:tcW w:w="92" w:type="pct"/>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497" w:type="pct"/>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1772" w:type="pct"/>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368" w:type="pct"/>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460" w:type="pct"/>
          </w:tcPr>
          <w:p w:rsidR="00BD130B" w:rsidRPr="00976BFF" w:rsidRDefault="00BD130B" w:rsidP="003824A7">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Fuente de datos/</w:t>
            </w:r>
            <w:r w:rsidR="003824A7">
              <w:rPr>
                <w:rFonts w:ascii="Times New Roman" w:hAnsi="Times New Roman"/>
                <w:b/>
                <w:i/>
                <w:sz w:val="20"/>
                <w:szCs w:val="20"/>
                <w:lang w:val="es-ES_tradnl"/>
              </w:rPr>
              <w:t>o</w:t>
            </w:r>
            <w:r w:rsidR="003824A7" w:rsidRPr="00976BFF">
              <w:rPr>
                <w:rFonts w:ascii="Times New Roman" w:hAnsi="Times New Roman"/>
                <w:b/>
                <w:i/>
                <w:sz w:val="20"/>
                <w:szCs w:val="20"/>
                <w:lang w:val="es-ES_tradnl"/>
              </w:rPr>
              <w:t>rganismo</w:t>
            </w:r>
          </w:p>
        </w:tc>
        <w:tc>
          <w:tcPr>
            <w:tcW w:w="497" w:type="pct"/>
          </w:tcPr>
          <w:p w:rsidR="00BD130B" w:rsidRPr="00976BFF" w:rsidRDefault="00BD130B" w:rsidP="00835AB6">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Entidad de verificación</w:t>
            </w:r>
          </w:p>
        </w:tc>
        <w:tc>
          <w:tcPr>
            <w:tcW w:w="1314" w:type="pct"/>
          </w:tcPr>
          <w:p w:rsidR="00BD130B" w:rsidRPr="00976BFF" w:rsidRDefault="00BD130B" w:rsidP="00835AB6">
            <w:pPr>
              <w:spacing w:after="0" w:line="240" w:lineRule="auto"/>
              <w:jc w:val="center"/>
              <w:rPr>
                <w:rFonts w:ascii="Times New Roman" w:hAnsi="Times New Roman"/>
                <w:b/>
                <w:i/>
                <w:sz w:val="20"/>
                <w:szCs w:val="20"/>
                <w:lang w:val="es-ES_tradnl"/>
              </w:rPr>
            </w:pPr>
            <w:r w:rsidRPr="00976BFF">
              <w:rPr>
                <w:rFonts w:ascii="Times New Roman" w:hAnsi="Times New Roman"/>
                <w:b/>
                <w:i/>
                <w:sz w:val="20"/>
                <w:szCs w:val="20"/>
                <w:lang w:val="es-ES_tradnl"/>
              </w:rPr>
              <w:t>Procedimiento</w:t>
            </w:r>
          </w:p>
        </w:tc>
      </w:tr>
      <w:tr w:rsidR="00BD130B" w:rsidRPr="00377DAB">
        <w:tc>
          <w:tcPr>
            <w:tcW w:w="92" w:type="pct"/>
          </w:tcPr>
          <w:p w:rsidR="00BD130B" w:rsidRPr="00976BFF" w:rsidRDefault="00BD130B" w:rsidP="00835AB6">
            <w:pPr>
              <w:spacing w:after="0" w:line="240" w:lineRule="auto"/>
              <w:rPr>
                <w:rFonts w:ascii="Times New Roman" w:hAnsi="Times New Roman"/>
                <w:lang w:val="es-ES_tradnl"/>
              </w:rPr>
            </w:pPr>
            <w:r w:rsidRPr="00976BFF">
              <w:rPr>
                <w:rFonts w:ascii="Times New Roman" w:hAnsi="Times New Roman"/>
                <w:lang w:val="es-ES_tradnl"/>
              </w:rPr>
              <w:t>1</w:t>
            </w:r>
          </w:p>
        </w:tc>
        <w:tc>
          <w:tcPr>
            <w:tcW w:w="497" w:type="pct"/>
          </w:tcPr>
          <w:p w:rsidR="00BD130B" w:rsidRPr="00976BFF" w:rsidRDefault="00BD130B" w:rsidP="00835AB6">
            <w:pPr>
              <w:spacing w:after="0" w:line="240" w:lineRule="auto"/>
              <w:rPr>
                <w:rFonts w:ascii="Times New Roman" w:hAnsi="Times New Roman"/>
                <w:lang w:val="es-ES_tradnl"/>
              </w:rPr>
            </w:pPr>
            <w:r w:rsidRPr="00976BFF">
              <w:rPr>
                <w:rFonts w:ascii="Times New Roman" w:hAnsi="Times New Roman"/>
                <w:lang w:val="es-ES_tradnl"/>
              </w:rPr>
              <w:t>IVD-1</w:t>
            </w:r>
          </w:p>
          <w:p w:rsidR="00BD130B" w:rsidRPr="00976BFF" w:rsidRDefault="00BD130B" w:rsidP="00FE06E1">
            <w:pPr>
              <w:spacing w:after="0" w:line="240" w:lineRule="auto"/>
              <w:rPr>
                <w:rFonts w:ascii="Times New Roman" w:hAnsi="Times New Roman"/>
                <w:sz w:val="20"/>
                <w:szCs w:val="20"/>
                <w:lang w:val="es-ES_tradnl"/>
              </w:rPr>
            </w:pPr>
            <w:r w:rsidRPr="00976BFF">
              <w:rPr>
                <w:rFonts w:ascii="Times New Roman" w:hAnsi="Times New Roman"/>
                <w:sz w:val="18"/>
                <w:szCs w:val="18"/>
                <w:lang w:val="es-ES_tradnl"/>
              </w:rPr>
              <w:t>Número acumula</w:t>
            </w:r>
            <w:r w:rsidR="00FE06E1">
              <w:rPr>
                <w:rFonts w:ascii="Times New Roman" w:hAnsi="Times New Roman"/>
                <w:sz w:val="18"/>
                <w:szCs w:val="18"/>
                <w:lang w:val="es-ES_tradnl"/>
              </w:rPr>
              <w:t>tiv</w:t>
            </w:r>
            <w:r w:rsidRPr="00976BFF">
              <w:rPr>
                <w:rFonts w:ascii="Times New Roman" w:hAnsi="Times New Roman"/>
                <w:sz w:val="18"/>
                <w:szCs w:val="18"/>
                <w:lang w:val="es-ES_tradnl"/>
              </w:rPr>
              <w:t>o de kilómetros de la red vial nacional rehabilitados con una clasificación mínima de 85 puntos, medida por el IES.</w:t>
            </w:r>
          </w:p>
        </w:tc>
        <w:tc>
          <w:tcPr>
            <w:tcW w:w="1772"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Cada kilómetro se considerará rehabilitado si el IES es ≥85 después de las obras.</w:t>
            </w:r>
          </w:p>
          <w:p w:rsidR="00BD130B" w:rsidRPr="00976BFF" w:rsidRDefault="00BD130B" w:rsidP="00835AB6">
            <w:pPr>
              <w:spacing w:after="0" w:line="240" w:lineRule="auto"/>
              <w:rPr>
                <w:rFonts w:ascii="Times New Roman" w:hAnsi="Times New Roman"/>
                <w:sz w:val="18"/>
                <w:szCs w:val="18"/>
                <w:lang w:val="es-ES_tradnl"/>
              </w:rPr>
            </w:pP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El protocolo técnico de medición del IES se atendrá al </w:t>
            </w:r>
            <w:r w:rsidR="00E7511A">
              <w:rPr>
                <w:rFonts w:ascii="Times New Roman" w:hAnsi="Times New Roman"/>
                <w:sz w:val="18"/>
                <w:szCs w:val="18"/>
                <w:lang w:val="es-ES_tradnl"/>
              </w:rPr>
              <w:t>i</w:t>
            </w:r>
            <w:r w:rsidR="00E7511A" w:rsidRPr="00976BFF">
              <w:rPr>
                <w:rFonts w:ascii="Times New Roman" w:hAnsi="Times New Roman"/>
                <w:sz w:val="18"/>
                <w:szCs w:val="18"/>
                <w:lang w:val="es-ES_tradnl"/>
              </w:rPr>
              <w:t xml:space="preserve">nstructivo </w:t>
            </w:r>
            <w:r w:rsidRPr="00976BFF">
              <w:rPr>
                <w:rFonts w:ascii="Times New Roman" w:hAnsi="Times New Roman"/>
                <w:sz w:val="18"/>
                <w:szCs w:val="18"/>
                <w:lang w:val="es-ES_tradnl"/>
              </w:rPr>
              <w:t xml:space="preserve">de </w:t>
            </w:r>
            <w:r w:rsidR="00E7511A">
              <w:rPr>
                <w:rFonts w:ascii="Times New Roman" w:hAnsi="Times New Roman"/>
                <w:sz w:val="18"/>
                <w:szCs w:val="18"/>
                <w:lang w:val="es-ES_tradnl"/>
              </w:rPr>
              <w:t>m</w:t>
            </w:r>
            <w:r w:rsidR="00E7511A" w:rsidRPr="00976BFF">
              <w:rPr>
                <w:rFonts w:ascii="Times New Roman" w:hAnsi="Times New Roman"/>
                <w:sz w:val="18"/>
                <w:szCs w:val="18"/>
                <w:lang w:val="es-ES_tradnl"/>
              </w:rPr>
              <w:t xml:space="preserve">edición </w:t>
            </w:r>
            <w:r w:rsidRPr="00976BFF">
              <w:rPr>
                <w:rFonts w:ascii="Times New Roman" w:hAnsi="Times New Roman"/>
                <w:sz w:val="18"/>
                <w:szCs w:val="18"/>
                <w:lang w:val="es-ES_tradnl"/>
              </w:rPr>
              <w:t xml:space="preserve">del </w:t>
            </w:r>
            <w:r w:rsidR="00E7511A">
              <w:rPr>
                <w:rFonts w:ascii="Times New Roman" w:hAnsi="Times New Roman"/>
                <w:sz w:val="18"/>
                <w:szCs w:val="18"/>
                <w:lang w:val="es-ES_tradnl"/>
              </w:rPr>
              <w:t>í</w:t>
            </w:r>
            <w:r w:rsidR="00E7511A" w:rsidRPr="00976BFF">
              <w:rPr>
                <w:rFonts w:ascii="Times New Roman" w:hAnsi="Times New Roman"/>
                <w:sz w:val="18"/>
                <w:szCs w:val="18"/>
                <w:lang w:val="es-ES_tradnl"/>
              </w:rPr>
              <w:t xml:space="preserve">ndice </w:t>
            </w:r>
            <w:r w:rsidRPr="00976BFF">
              <w:rPr>
                <w:rFonts w:ascii="Times New Roman" w:hAnsi="Times New Roman"/>
                <w:sz w:val="18"/>
                <w:szCs w:val="18"/>
                <w:lang w:val="es-ES_tradnl"/>
              </w:rPr>
              <w:t xml:space="preserve">de </w:t>
            </w:r>
            <w:r w:rsidR="00E7511A">
              <w:rPr>
                <w:rFonts w:ascii="Times New Roman" w:hAnsi="Times New Roman"/>
                <w:sz w:val="18"/>
                <w:szCs w:val="18"/>
                <w:lang w:val="es-ES_tradnl"/>
              </w:rPr>
              <w:t>e</w:t>
            </w:r>
            <w:r w:rsidR="00E7511A" w:rsidRPr="00976BFF">
              <w:rPr>
                <w:rFonts w:ascii="Times New Roman" w:hAnsi="Times New Roman"/>
                <w:sz w:val="18"/>
                <w:szCs w:val="18"/>
                <w:lang w:val="es-ES_tradnl"/>
              </w:rPr>
              <w:t xml:space="preserve">stado </w:t>
            </w:r>
            <w:r w:rsidRPr="00976BFF">
              <w:rPr>
                <w:rFonts w:ascii="Times New Roman" w:hAnsi="Times New Roman"/>
                <w:sz w:val="18"/>
                <w:szCs w:val="18"/>
                <w:lang w:val="es-ES_tradnl"/>
              </w:rPr>
              <w:t xml:space="preserve">de </w:t>
            </w:r>
            <w:r w:rsidR="00E7511A">
              <w:rPr>
                <w:rFonts w:ascii="Times New Roman" w:hAnsi="Times New Roman"/>
                <w:sz w:val="18"/>
                <w:szCs w:val="18"/>
                <w:lang w:val="es-ES_tradnl"/>
              </w:rPr>
              <w:t>s</w:t>
            </w:r>
            <w:r w:rsidR="00E7511A" w:rsidRPr="00976BFF">
              <w:rPr>
                <w:rFonts w:ascii="Times New Roman" w:hAnsi="Times New Roman"/>
                <w:sz w:val="18"/>
                <w:szCs w:val="18"/>
                <w:lang w:val="es-ES_tradnl"/>
              </w:rPr>
              <w:t>uperficie</w:t>
            </w:r>
            <w:r w:rsidR="00E7511A" w:rsidRPr="00976BFF">
              <w:rPr>
                <w:rFonts w:ascii="Times New Roman" w:hAnsi="Times New Roman"/>
                <w:i/>
                <w:sz w:val="18"/>
                <w:szCs w:val="18"/>
                <w:lang w:val="es-ES_tradnl"/>
              </w:rPr>
              <w:t xml:space="preserve"> </w:t>
            </w:r>
            <w:r w:rsidRPr="00976BFF">
              <w:rPr>
                <w:rFonts w:ascii="Times New Roman" w:hAnsi="Times New Roman"/>
                <w:sz w:val="18"/>
                <w:szCs w:val="18"/>
                <w:lang w:val="es-ES_tradnl"/>
              </w:rPr>
              <w:t>del MTOP (agosto de 2000). Se realizarán relevamientos de todos los tramos de caminos antes y después de la rehabilitación.</w:t>
            </w:r>
          </w:p>
          <w:p w:rsidR="00BD130B" w:rsidRPr="00976BFF" w:rsidRDefault="00BD130B" w:rsidP="00835AB6">
            <w:pPr>
              <w:spacing w:after="0" w:line="240" w:lineRule="auto"/>
              <w:rPr>
                <w:rFonts w:ascii="Times New Roman" w:hAnsi="Times New Roman"/>
                <w:sz w:val="18"/>
                <w:szCs w:val="18"/>
                <w:lang w:val="es-ES_tradnl"/>
              </w:rPr>
            </w:pP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En el caso de los resultados previos, el IES anterior a la rehabilitación provendrá de los datos disponibles en la DNV.</w:t>
            </w:r>
          </w:p>
          <w:p w:rsidR="00BD130B" w:rsidRPr="00976BFF" w:rsidRDefault="00BD130B" w:rsidP="00835AB6">
            <w:pPr>
              <w:spacing w:after="0" w:line="240" w:lineRule="auto"/>
              <w:rPr>
                <w:rFonts w:ascii="Times New Roman" w:hAnsi="Times New Roman"/>
                <w:sz w:val="18"/>
                <w:szCs w:val="18"/>
                <w:lang w:val="es-ES_tradnl"/>
              </w:rPr>
            </w:pP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Para reunir los requisitos para este indicador, cada kilómetro debe: i) haber sido rehabilitado el 01/01/2013 o después de esa fecha; ii) tener un valor de IES </w:t>
            </w:r>
            <w:r w:rsidRPr="00976BFF">
              <w:rPr>
                <w:rFonts w:ascii="Times New Roman" w:hAnsi="Times New Roman"/>
                <w:i/>
                <w:sz w:val="18"/>
                <w:szCs w:val="18"/>
                <w:lang w:val="es-ES_tradnl"/>
              </w:rPr>
              <w:t>ex post</w:t>
            </w:r>
            <w:r w:rsidRPr="00976BFF">
              <w:rPr>
                <w:rFonts w:ascii="Times New Roman" w:hAnsi="Times New Roman"/>
                <w:sz w:val="18"/>
                <w:szCs w:val="18"/>
                <w:lang w:val="es-ES_tradnl"/>
              </w:rPr>
              <w:t xml:space="preserve"> de 85, como mínimo; iii) presentar un aumento de 30 puntos, como mínimo, entre el IES </w:t>
            </w:r>
            <w:r w:rsidRPr="00976BFF">
              <w:rPr>
                <w:rFonts w:ascii="Times New Roman" w:hAnsi="Times New Roman"/>
                <w:i/>
                <w:sz w:val="18"/>
                <w:szCs w:val="18"/>
                <w:lang w:val="es-ES_tradnl"/>
              </w:rPr>
              <w:t>ex ante</w:t>
            </w:r>
            <w:r w:rsidRPr="00976BFF">
              <w:rPr>
                <w:rFonts w:ascii="Times New Roman" w:hAnsi="Times New Roman"/>
                <w:sz w:val="18"/>
                <w:szCs w:val="18"/>
                <w:lang w:val="es-ES_tradnl"/>
              </w:rPr>
              <w:t xml:space="preserve"> y el IES </w:t>
            </w:r>
            <w:r w:rsidRPr="00976BFF">
              <w:rPr>
                <w:rFonts w:ascii="Times New Roman" w:hAnsi="Times New Roman"/>
                <w:i/>
                <w:sz w:val="18"/>
                <w:szCs w:val="18"/>
                <w:lang w:val="es-ES_tradnl"/>
              </w:rPr>
              <w:t>ex post</w:t>
            </w:r>
            <w:r w:rsidRPr="00976BFF">
              <w:rPr>
                <w:rFonts w:ascii="Times New Roman" w:hAnsi="Times New Roman"/>
                <w:sz w:val="18"/>
                <w:szCs w:val="18"/>
                <w:lang w:val="es-ES_tradnl"/>
              </w:rPr>
              <w:t xml:space="preserve">. </w:t>
            </w:r>
          </w:p>
        </w:tc>
        <w:tc>
          <w:tcPr>
            <w:tcW w:w="368"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Sí</w:t>
            </w:r>
          </w:p>
          <w:p w:rsidR="00BD130B" w:rsidRPr="00976BFF" w:rsidRDefault="00BD130B" w:rsidP="00835AB6">
            <w:pPr>
              <w:spacing w:after="0" w:line="240" w:lineRule="auto"/>
              <w:rPr>
                <w:rFonts w:ascii="Times New Roman" w:hAnsi="Times New Roman"/>
                <w:sz w:val="18"/>
                <w:szCs w:val="18"/>
                <w:lang w:val="es-ES_tradnl"/>
              </w:rPr>
            </w:pPr>
          </w:p>
        </w:tc>
        <w:tc>
          <w:tcPr>
            <w:tcW w:w="460"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DNV </w:t>
            </w:r>
          </w:p>
        </w:tc>
        <w:tc>
          <w:tcPr>
            <w:tcW w:w="497"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Auditor independiente subcontratado por el MTOP a través de una licitación internacional.</w:t>
            </w:r>
          </w:p>
        </w:tc>
        <w:tc>
          <w:tcPr>
            <w:tcW w:w="1314"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La DNV preparará un informe que será auditado por el auditor independiente y contendrá los fundamentos para realizar el desembolso conexo. El informe incluirá, en particular: i) para cada tramo de la red vial nacional en el marco del </w:t>
            </w:r>
            <w:r w:rsidR="008A1019">
              <w:rPr>
                <w:rFonts w:ascii="Times New Roman" w:hAnsi="Times New Roman"/>
                <w:sz w:val="18"/>
                <w:szCs w:val="18"/>
                <w:lang w:val="es-ES_tradnl"/>
              </w:rPr>
              <w:t>programa</w:t>
            </w:r>
            <w:r w:rsidRPr="00976BFF">
              <w:rPr>
                <w:rFonts w:ascii="Times New Roman" w:hAnsi="Times New Roman"/>
                <w:sz w:val="18"/>
                <w:szCs w:val="18"/>
                <w:lang w:val="es-ES_tradnl"/>
              </w:rPr>
              <w:t>, la medición del IES anterior (el IES antes de ser verificado a través de un control específico del auditor o mediante los datos sobre el estado de la red vial publicados en el sitio web del MTOP) y posterior a las obras; ii) todas las actas del relevamiento y cálculo del IES.</w:t>
            </w:r>
          </w:p>
        </w:tc>
      </w:tr>
      <w:tr w:rsidR="00BD130B" w:rsidRPr="00377DAB">
        <w:tc>
          <w:tcPr>
            <w:tcW w:w="92" w:type="pct"/>
          </w:tcPr>
          <w:p w:rsidR="00BD130B" w:rsidRPr="00976BFF" w:rsidRDefault="00BD130B" w:rsidP="00835AB6">
            <w:pPr>
              <w:spacing w:after="0" w:line="240" w:lineRule="auto"/>
              <w:rPr>
                <w:rFonts w:ascii="Times New Roman" w:hAnsi="Times New Roman"/>
                <w:lang w:val="es-ES_tradnl"/>
              </w:rPr>
            </w:pPr>
            <w:r w:rsidRPr="00976BFF">
              <w:rPr>
                <w:rFonts w:ascii="Times New Roman" w:hAnsi="Times New Roman"/>
                <w:lang w:val="es-ES_tradnl"/>
              </w:rPr>
              <w:t>2</w:t>
            </w:r>
          </w:p>
        </w:tc>
        <w:tc>
          <w:tcPr>
            <w:tcW w:w="497" w:type="pct"/>
          </w:tcPr>
          <w:p w:rsidR="00BD130B" w:rsidRPr="00976BFF" w:rsidRDefault="00BD130B" w:rsidP="00835AB6">
            <w:pPr>
              <w:spacing w:after="0" w:line="240" w:lineRule="auto"/>
              <w:rPr>
                <w:rFonts w:ascii="Times New Roman" w:hAnsi="Times New Roman"/>
                <w:lang w:val="es-ES_tradnl"/>
              </w:rPr>
            </w:pPr>
            <w:r w:rsidRPr="00976BFF">
              <w:rPr>
                <w:rFonts w:ascii="Times New Roman" w:hAnsi="Times New Roman"/>
                <w:lang w:val="es-ES_tradnl"/>
              </w:rPr>
              <w:t>IVD-2</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Número de kilómetros de la red vial nacional mantenidos a través de contratos basados en el desempeño.</w:t>
            </w:r>
          </w:p>
        </w:tc>
        <w:tc>
          <w:tcPr>
            <w:tcW w:w="1772" w:type="pct"/>
          </w:tcPr>
          <w:p w:rsidR="00BD130B" w:rsidRPr="00976BFF" w:rsidRDefault="00BD130B" w:rsidP="00835AB6">
            <w:pPr>
              <w:spacing w:after="0" w:line="240" w:lineRule="auto"/>
              <w:jc w:val="both"/>
              <w:rPr>
                <w:rFonts w:ascii="Times New Roman" w:hAnsi="Times New Roman"/>
                <w:sz w:val="18"/>
                <w:szCs w:val="18"/>
                <w:lang w:val="es-ES_tradnl"/>
              </w:rPr>
            </w:pPr>
            <w:r w:rsidRPr="00976BFF">
              <w:rPr>
                <w:rFonts w:ascii="Times New Roman" w:hAnsi="Times New Roman"/>
                <w:sz w:val="18"/>
                <w:szCs w:val="18"/>
                <w:lang w:val="es-ES_tradnl"/>
              </w:rPr>
              <w:t xml:space="preserve">Los kilómetros que reúnen las condiciones se incluyen en los contratos de rehabilitación y mantenimiento vial basados en el desempeño. Se trata de contratos en el marco del </w:t>
            </w:r>
            <w:r w:rsidR="008A1019">
              <w:rPr>
                <w:rFonts w:ascii="Times New Roman" w:hAnsi="Times New Roman"/>
                <w:sz w:val="18"/>
                <w:szCs w:val="18"/>
                <w:lang w:val="es-ES_tradnl"/>
              </w:rPr>
              <w:t>programa</w:t>
            </w:r>
            <w:r w:rsidRPr="00976BFF">
              <w:rPr>
                <w:rFonts w:ascii="Times New Roman" w:hAnsi="Times New Roman"/>
                <w:sz w:val="18"/>
                <w:szCs w:val="18"/>
                <w:lang w:val="es-ES_tradnl"/>
              </w:rPr>
              <w:t xml:space="preserve"> por medio de los cuales el pago, o parte del pago, al contratista privado depende del nivel de servicio de infraestructura vial determinado en el contrato. El mantenimiento incluirá, como mínimo, la pavimentación y el drenaje.</w:t>
            </w:r>
          </w:p>
          <w:p w:rsidR="00BD130B" w:rsidRPr="00976BFF" w:rsidRDefault="00BD130B" w:rsidP="00835AB6">
            <w:pPr>
              <w:spacing w:after="0" w:line="240" w:lineRule="auto"/>
              <w:jc w:val="both"/>
              <w:rPr>
                <w:rFonts w:ascii="Times New Roman" w:hAnsi="Times New Roman"/>
                <w:sz w:val="18"/>
                <w:szCs w:val="18"/>
                <w:lang w:val="es-ES_tradnl"/>
              </w:rPr>
            </w:pPr>
          </w:p>
          <w:p w:rsidR="00BD130B" w:rsidRPr="00976BFF" w:rsidRDefault="00BD130B" w:rsidP="00835AB6">
            <w:pPr>
              <w:spacing w:after="0" w:line="240" w:lineRule="auto"/>
              <w:jc w:val="both"/>
              <w:rPr>
                <w:rFonts w:ascii="Times New Roman" w:hAnsi="Times New Roman"/>
                <w:sz w:val="18"/>
                <w:szCs w:val="18"/>
                <w:lang w:val="es-ES_tradnl"/>
              </w:rPr>
            </w:pPr>
            <w:r w:rsidRPr="00976BFF">
              <w:rPr>
                <w:rFonts w:ascii="Times New Roman" w:hAnsi="Times New Roman"/>
                <w:sz w:val="18"/>
                <w:szCs w:val="18"/>
                <w:lang w:val="es-ES_tradnl"/>
              </w:rPr>
              <w:t xml:space="preserve">Para cada período de evaluación, el valor del IVD es la suma de los kilómetros incluidos en los contratos basados en el desempeño </w:t>
            </w:r>
            <w:r w:rsidR="0030235A">
              <w:rPr>
                <w:rFonts w:ascii="Times New Roman" w:hAnsi="Times New Roman"/>
                <w:sz w:val="18"/>
                <w:szCs w:val="18"/>
                <w:lang w:val="es-ES_tradnl"/>
              </w:rPr>
              <w:t>para</w:t>
            </w:r>
            <w:r w:rsidRPr="00976BFF">
              <w:rPr>
                <w:rFonts w:ascii="Times New Roman" w:hAnsi="Times New Roman"/>
                <w:sz w:val="18"/>
                <w:szCs w:val="18"/>
                <w:lang w:val="es-ES_tradnl"/>
              </w:rPr>
              <w:t xml:space="preserve"> la red vial nacional</w:t>
            </w:r>
            <w:r w:rsidR="0030235A">
              <w:rPr>
                <w:rFonts w:ascii="Times New Roman" w:hAnsi="Times New Roman"/>
                <w:sz w:val="18"/>
                <w:szCs w:val="18"/>
                <w:lang w:val="es-ES_tradnl"/>
              </w:rPr>
              <w:t>.</w:t>
            </w:r>
            <w:r w:rsidRPr="00976BFF">
              <w:rPr>
                <w:rFonts w:ascii="Times New Roman" w:hAnsi="Times New Roman"/>
                <w:sz w:val="18"/>
                <w:szCs w:val="18"/>
                <w:lang w:val="es-ES_tradnl"/>
              </w:rPr>
              <w:t xml:space="preserve"> </w:t>
            </w:r>
            <w:r w:rsidR="0030235A">
              <w:rPr>
                <w:rFonts w:ascii="Times New Roman" w:hAnsi="Times New Roman"/>
                <w:sz w:val="18"/>
                <w:szCs w:val="18"/>
                <w:lang w:val="es-ES_tradnl"/>
              </w:rPr>
              <w:t>L</w:t>
            </w:r>
            <w:r w:rsidRPr="00976BFF">
              <w:rPr>
                <w:rFonts w:ascii="Times New Roman" w:hAnsi="Times New Roman"/>
                <w:sz w:val="18"/>
                <w:szCs w:val="18"/>
                <w:lang w:val="es-ES_tradnl"/>
              </w:rPr>
              <w:t xml:space="preserve">os kilómetros en el marco de un contrato específico </w:t>
            </w:r>
            <w:r w:rsidR="0030235A">
              <w:rPr>
                <w:rFonts w:ascii="Times New Roman" w:hAnsi="Times New Roman"/>
                <w:sz w:val="18"/>
                <w:szCs w:val="18"/>
                <w:lang w:val="es-ES_tradnl"/>
              </w:rPr>
              <w:t xml:space="preserve">se </w:t>
            </w:r>
            <w:r w:rsidRPr="00976BFF">
              <w:rPr>
                <w:rFonts w:ascii="Times New Roman" w:hAnsi="Times New Roman"/>
                <w:sz w:val="18"/>
                <w:szCs w:val="18"/>
                <w:lang w:val="es-ES_tradnl"/>
              </w:rPr>
              <w:t>pondera</w:t>
            </w:r>
            <w:r w:rsidR="0030235A">
              <w:rPr>
                <w:rFonts w:ascii="Times New Roman" w:hAnsi="Times New Roman"/>
                <w:sz w:val="18"/>
                <w:szCs w:val="18"/>
                <w:lang w:val="es-ES_tradnl"/>
              </w:rPr>
              <w:t>n</w:t>
            </w:r>
            <w:r w:rsidRPr="00976BFF">
              <w:rPr>
                <w:rFonts w:ascii="Times New Roman" w:hAnsi="Times New Roman"/>
                <w:sz w:val="18"/>
                <w:szCs w:val="18"/>
                <w:lang w:val="es-ES_tradnl"/>
              </w:rPr>
              <w:t xml:space="preserve"> por el número de días que ese contrato ha estado en vigor durante el período de evaluación (365 días):</w:t>
            </w:r>
          </w:p>
          <w:p w:rsidR="00BD130B" w:rsidRPr="00976BFF" w:rsidRDefault="00BD130B" w:rsidP="00835AB6">
            <w:pPr>
              <w:spacing w:after="0" w:line="240" w:lineRule="auto"/>
              <w:jc w:val="both"/>
              <w:rPr>
                <w:rFonts w:ascii="Times New Roman" w:hAnsi="Times New Roman"/>
                <w:sz w:val="18"/>
                <w:szCs w:val="18"/>
                <w:lang w:val="es-ES_tradnl"/>
              </w:rPr>
            </w:pPr>
          </w:p>
          <w:p w:rsidR="00BD130B" w:rsidRPr="00976BFF" w:rsidRDefault="00BD130B" w:rsidP="00835AB6">
            <w:pPr>
              <w:spacing w:after="0" w:line="240" w:lineRule="auto"/>
              <w:jc w:val="both"/>
              <w:rPr>
                <w:rFonts w:ascii="Times New Roman" w:hAnsi="Times New Roman"/>
                <w:sz w:val="18"/>
                <w:szCs w:val="18"/>
                <w:lang w:val="es-ES_tradnl"/>
              </w:rPr>
            </w:pPr>
            <m:oMathPara>
              <m:oMath>
                <m:r>
                  <w:rPr>
                    <w:rFonts w:ascii="Cambria Math" w:eastAsia="Times New Roman" w:hAnsi="Cambria Math"/>
                    <w:sz w:val="18"/>
                    <w:szCs w:val="18"/>
                    <w:lang w:val="es-ES_tradnl"/>
                  </w:rPr>
                  <m:t>DLI</m:t>
                </m:r>
                <m:r>
                  <w:rPr>
                    <w:rFonts w:ascii="Cambria Math" w:hAnsi="Cambria Math"/>
                    <w:sz w:val="18"/>
                    <w:szCs w:val="18"/>
                    <w:lang w:val="es-ES_tradnl"/>
                  </w:rPr>
                  <m:t>2=</m:t>
                </m:r>
                <m:nary>
                  <m:naryPr>
                    <m:chr m:val="∑"/>
                    <m:limLoc m:val="undOvr"/>
                    <m:supHide m:val="1"/>
                    <m:ctrlPr>
                      <w:rPr>
                        <w:rFonts w:ascii="Cambria Math" w:hAnsi="Cambria Math"/>
                        <w:i/>
                        <w:sz w:val="18"/>
                        <w:szCs w:val="18"/>
                        <w:lang w:val="es-ES_tradnl"/>
                      </w:rPr>
                    </m:ctrlPr>
                  </m:naryPr>
                  <m:sub>
                    <m:r>
                      <w:rPr>
                        <w:rFonts w:ascii="Cambria Math" w:hAnsi="Cambria Math"/>
                        <w:sz w:val="18"/>
                        <w:szCs w:val="18"/>
                        <w:lang w:val="es-ES_tradnl"/>
                      </w:rPr>
                      <m:t>i:PBCs</m:t>
                    </m:r>
                  </m:sub>
                  <m:sup/>
                  <m:e>
                    <m:sSub>
                      <m:sSubPr>
                        <m:ctrlPr>
                          <w:rPr>
                            <w:rFonts w:ascii="Cambria Math" w:hAnsi="Cambria Math"/>
                            <w:i/>
                            <w:sz w:val="18"/>
                            <w:szCs w:val="18"/>
                            <w:lang w:val="es-ES_tradnl"/>
                          </w:rPr>
                        </m:ctrlPr>
                      </m:sSubPr>
                      <m:e>
                        <m:r>
                          <w:rPr>
                            <w:rFonts w:ascii="Cambria Math" w:hAnsi="Cambria Math"/>
                            <w:sz w:val="18"/>
                            <w:szCs w:val="18"/>
                            <w:lang w:val="es-ES_tradnl"/>
                          </w:rPr>
                          <m:t>km</m:t>
                        </m:r>
                      </m:e>
                      <m:sub>
                        <m:r>
                          <w:rPr>
                            <w:rFonts w:ascii="Cambria Math" w:hAnsi="Cambria Math"/>
                            <w:sz w:val="18"/>
                            <w:szCs w:val="18"/>
                            <w:lang w:val="es-ES_tradnl"/>
                          </w:rPr>
                          <m:t>i</m:t>
                        </m:r>
                      </m:sub>
                    </m:sSub>
                    <m:r>
                      <w:rPr>
                        <w:rFonts w:ascii="Cambria Math" w:hAnsi="Cambria Math"/>
                        <w:sz w:val="18"/>
                        <w:szCs w:val="18"/>
                        <w:lang w:val="es-ES_tradnl"/>
                      </w:rPr>
                      <m:t>×</m:t>
                    </m:r>
                    <m:f>
                      <m:fPr>
                        <m:ctrlPr>
                          <w:rPr>
                            <w:rFonts w:ascii="Cambria Math" w:hAnsi="Cambria Math"/>
                            <w:i/>
                            <w:sz w:val="18"/>
                            <w:szCs w:val="18"/>
                            <w:lang w:val="es-ES_tradnl"/>
                          </w:rPr>
                        </m:ctrlPr>
                      </m:fPr>
                      <m:num>
                        <m:sSub>
                          <m:sSubPr>
                            <m:ctrlPr>
                              <w:rPr>
                                <w:rFonts w:ascii="Cambria Math" w:hAnsi="Cambria Math"/>
                                <w:i/>
                                <w:sz w:val="18"/>
                                <w:szCs w:val="18"/>
                                <w:lang w:val="es-ES_tradnl"/>
                              </w:rPr>
                            </m:ctrlPr>
                          </m:sSubPr>
                          <m:e>
                            <m:r>
                              <w:rPr>
                                <w:rFonts w:ascii="Cambria Math" w:hAnsi="Cambria Math"/>
                                <w:sz w:val="18"/>
                                <w:szCs w:val="18"/>
                                <w:lang w:val="es-ES_tradnl"/>
                              </w:rPr>
                              <m:t>d</m:t>
                            </m:r>
                          </m:e>
                          <m:sub>
                            <m:r>
                              <w:rPr>
                                <w:rFonts w:ascii="Cambria Math" w:hAnsi="Cambria Math"/>
                                <w:sz w:val="18"/>
                                <w:szCs w:val="18"/>
                                <w:lang w:val="es-ES_tradnl"/>
                              </w:rPr>
                              <m:t>i</m:t>
                            </m:r>
                          </m:sub>
                        </m:sSub>
                      </m:num>
                      <m:den>
                        <m:r>
                          <w:rPr>
                            <w:rFonts w:ascii="Cambria Math" w:hAnsi="Cambria Math"/>
                            <w:sz w:val="18"/>
                            <w:szCs w:val="18"/>
                            <w:lang w:val="es-ES_tradnl"/>
                          </w:rPr>
                          <m:t>365</m:t>
                        </m:r>
                      </m:den>
                    </m:f>
                  </m:e>
                </m:nary>
              </m:oMath>
            </m:oMathPara>
          </w:p>
          <w:p w:rsidR="00BD130B" w:rsidRPr="00976BFF" w:rsidRDefault="00E7511A" w:rsidP="00835AB6">
            <w:pPr>
              <w:spacing w:after="0" w:line="240" w:lineRule="auto"/>
              <w:jc w:val="both"/>
              <w:rPr>
                <w:rFonts w:ascii="Times New Roman" w:hAnsi="Times New Roman"/>
                <w:sz w:val="18"/>
                <w:szCs w:val="18"/>
                <w:lang w:val="es-ES_tradnl"/>
              </w:rPr>
            </w:pPr>
            <w:r w:rsidRPr="00976BFF">
              <w:rPr>
                <w:rFonts w:ascii="Times New Roman" w:hAnsi="Times New Roman"/>
                <w:sz w:val="18"/>
                <w:szCs w:val="18"/>
                <w:lang w:val="es-ES_tradnl"/>
              </w:rPr>
              <w:t>D</w:t>
            </w:r>
            <w:r>
              <w:rPr>
                <w:rFonts w:ascii="Times New Roman" w:hAnsi="Times New Roman"/>
                <w:sz w:val="18"/>
                <w:szCs w:val="18"/>
                <w:lang w:val="es-ES_tradnl"/>
              </w:rPr>
              <w:t>o</w:t>
            </w:r>
            <w:r w:rsidRPr="00976BFF">
              <w:rPr>
                <w:rFonts w:ascii="Times New Roman" w:hAnsi="Times New Roman"/>
                <w:sz w:val="18"/>
                <w:szCs w:val="18"/>
                <w:lang w:val="es-ES_tradnl"/>
              </w:rPr>
              <w:t>nde</w:t>
            </w:r>
            <w:r w:rsidR="00BD130B" w:rsidRPr="00976BFF">
              <w:rPr>
                <w:rFonts w:ascii="Times New Roman" w:hAnsi="Times New Roman"/>
                <w:sz w:val="18"/>
                <w:szCs w:val="18"/>
                <w:lang w:val="es-ES_tradnl"/>
              </w:rPr>
              <w:t>:</w:t>
            </w:r>
          </w:p>
          <w:p w:rsidR="00BD130B" w:rsidRPr="00976BFF" w:rsidRDefault="00BD130B" w:rsidP="00BD130B">
            <w:pPr>
              <w:numPr>
                <w:ilvl w:val="0"/>
                <w:numId w:val="18"/>
              </w:numPr>
              <w:spacing w:after="0" w:line="240" w:lineRule="auto"/>
              <w:jc w:val="both"/>
              <w:rPr>
                <w:rFonts w:ascii="Times New Roman" w:hAnsi="Times New Roman"/>
                <w:sz w:val="18"/>
                <w:szCs w:val="18"/>
                <w:lang w:val="es-ES_tradnl"/>
              </w:rPr>
            </w:pPr>
            <w:r w:rsidRPr="00976BFF">
              <w:rPr>
                <w:rFonts w:ascii="Times New Roman" w:hAnsi="Times New Roman"/>
                <w:sz w:val="18"/>
                <w:szCs w:val="18"/>
                <w:lang w:val="es-ES_tradnl"/>
              </w:rPr>
              <w:t>km</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xml:space="preserve">: número de kilómetros incluidos en PBC </w:t>
            </w:r>
            <w:r w:rsidRPr="00976BFF">
              <w:rPr>
                <w:rFonts w:ascii="Times New Roman" w:hAnsi="Times New Roman"/>
                <w:i/>
                <w:sz w:val="18"/>
                <w:szCs w:val="18"/>
                <w:lang w:val="es-ES_tradnl"/>
              </w:rPr>
              <w:t>i</w:t>
            </w:r>
          </w:p>
          <w:p w:rsidR="00BD130B" w:rsidRPr="00976BFF" w:rsidRDefault="00BD130B" w:rsidP="00BD130B">
            <w:pPr>
              <w:numPr>
                <w:ilvl w:val="0"/>
                <w:numId w:val="18"/>
              </w:numPr>
              <w:spacing w:after="0" w:line="240" w:lineRule="auto"/>
              <w:jc w:val="both"/>
              <w:rPr>
                <w:rFonts w:ascii="Times New Roman" w:hAnsi="Times New Roman"/>
                <w:sz w:val="18"/>
                <w:szCs w:val="18"/>
                <w:lang w:val="es-ES_tradnl"/>
              </w:rPr>
            </w:pPr>
            <w:r w:rsidRPr="00976BFF">
              <w:rPr>
                <w:rFonts w:ascii="Times New Roman" w:hAnsi="Times New Roman"/>
                <w:sz w:val="18"/>
                <w:szCs w:val="18"/>
                <w:lang w:val="es-ES_tradnl"/>
              </w:rPr>
              <w:t>d</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xml:space="preserve">: número de días que PBC </w:t>
            </w:r>
            <w:r w:rsidRPr="00976BFF">
              <w:rPr>
                <w:rFonts w:ascii="Times New Roman" w:hAnsi="Times New Roman"/>
                <w:i/>
                <w:sz w:val="18"/>
                <w:szCs w:val="18"/>
                <w:lang w:val="es-ES_tradnl"/>
              </w:rPr>
              <w:t xml:space="preserve">i </w:t>
            </w:r>
            <w:r w:rsidRPr="00976BFF">
              <w:rPr>
                <w:rFonts w:ascii="Times New Roman" w:hAnsi="Times New Roman"/>
                <w:sz w:val="18"/>
                <w:szCs w:val="18"/>
                <w:lang w:val="es-ES_tradnl"/>
              </w:rPr>
              <w:t>ha estado en vigor durante el período de evaluación</w:t>
            </w:r>
          </w:p>
          <w:p w:rsidR="00BD130B" w:rsidRPr="00976BFF" w:rsidRDefault="00BD130B" w:rsidP="00835AB6">
            <w:pPr>
              <w:spacing w:after="0" w:line="240" w:lineRule="auto"/>
              <w:jc w:val="both"/>
              <w:rPr>
                <w:rFonts w:ascii="Times New Roman" w:hAnsi="Times New Roman"/>
                <w:sz w:val="18"/>
                <w:szCs w:val="18"/>
                <w:lang w:val="es-ES_tradnl"/>
              </w:rPr>
            </w:pPr>
            <w:r w:rsidRPr="000B5989">
              <w:rPr>
                <w:rFonts w:ascii="Times New Roman" w:hAnsi="Times New Roman"/>
                <w:i/>
                <w:sz w:val="18"/>
                <w:szCs w:val="18"/>
                <w:lang w:val="es-ES_tradnl"/>
              </w:rPr>
              <w:t>Nota:</w:t>
            </w:r>
            <w:r w:rsidRPr="00976BFF">
              <w:rPr>
                <w:rFonts w:ascii="Times New Roman" w:hAnsi="Times New Roman"/>
                <w:sz w:val="18"/>
                <w:szCs w:val="18"/>
                <w:lang w:val="es-ES_tradnl"/>
              </w:rPr>
              <w:t xml:space="preserve"> PBC = contrato basado en el desempeño.</w:t>
            </w:r>
          </w:p>
          <w:p w:rsidR="00BD130B" w:rsidRPr="00976BFF" w:rsidRDefault="00BD130B" w:rsidP="00835AB6">
            <w:pPr>
              <w:spacing w:after="0" w:line="240" w:lineRule="auto"/>
              <w:jc w:val="both"/>
              <w:rPr>
                <w:rFonts w:ascii="Times New Roman" w:hAnsi="Times New Roman"/>
                <w:sz w:val="18"/>
                <w:szCs w:val="18"/>
                <w:lang w:val="es-ES_tradnl"/>
              </w:rPr>
            </w:pPr>
          </w:p>
        </w:tc>
        <w:tc>
          <w:tcPr>
            <w:tcW w:w="368"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Sí</w:t>
            </w:r>
          </w:p>
          <w:p w:rsidR="00BD130B" w:rsidRPr="00976BFF" w:rsidRDefault="00BD130B" w:rsidP="00835AB6">
            <w:pPr>
              <w:spacing w:after="0" w:line="240" w:lineRule="auto"/>
              <w:rPr>
                <w:rFonts w:ascii="Times New Roman" w:hAnsi="Times New Roman"/>
                <w:sz w:val="18"/>
                <w:szCs w:val="18"/>
                <w:lang w:val="es-ES_tradnl"/>
              </w:rPr>
            </w:pPr>
          </w:p>
        </w:tc>
        <w:tc>
          <w:tcPr>
            <w:tcW w:w="460"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DNV </w:t>
            </w:r>
          </w:p>
        </w:tc>
        <w:tc>
          <w:tcPr>
            <w:tcW w:w="497" w:type="pct"/>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Auditor independiente subcontratado por el MTOP a través de una licitación internacional.</w:t>
            </w:r>
          </w:p>
        </w:tc>
        <w:tc>
          <w:tcPr>
            <w:tcW w:w="1314" w:type="pct"/>
          </w:tcPr>
          <w:p w:rsidR="00BD130B" w:rsidRPr="00976BFF" w:rsidRDefault="00BD130B" w:rsidP="00835AB6">
            <w:pPr>
              <w:spacing w:after="0" w:line="240" w:lineRule="auto"/>
              <w:jc w:val="both"/>
              <w:rPr>
                <w:rFonts w:ascii="Times New Roman" w:hAnsi="Times New Roman"/>
                <w:sz w:val="18"/>
                <w:szCs w:val="18"/>
                <w:lang w:val="es-ES_tradnl"/>
              </w:rPr>
            </w:pPr>
            <w:r w:rsidRPr="00976BFF">
              <w:rPr>
                <w:rFonts w:ascii="Times New Roman" w:hAnsi="Times New Roman"/>
                <w:sz w:val="18"/>
                <w:szCs w:val="18"/>
                <w:lang w:val="es-ES_tradnl"/>
              </w:rPr>
              <w:t>Las pruebas del cumplimiento de este IVD provendrán del sistema de administración de contratos de la DNV. Para respaldar el desembolso relacionado con este IVD, la DNV deberá emitir un informe que incluya: i) la lista de contratos que reúnan las condiciones con sus características principales, incluida la cantidad de kilómetros; ii) los pedidos o actas de inicio; iii) las certificaciones o los pedidos de servicios para el período evaluado; iv) el acta de recepción, si corresponde.</w:t>
            </w:r>
          </w:p>
          <w:p w:rsidR="00BD130B" w:rsidRPr="00976BFF" w:rsidRDefault="00BD130B" w:rsidP="00835AB6">
            <w:pPr>
              <w:spacing w:after="0" w:line="240" w:lineRule="auto"/>
              <w:jc w:val="both"/>
              <w:rPr>
                <w:rFonts w:ascii="Times New Roman" w:hAnsi="Times New Roman"/>
                <w:sz w:val="18"/>
                <w:szCs w:val="18"/>
                <w:lang w:val="es-ES_tradnl"/>
              </w:rPr>
            </w:pP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El auditor independiente se encargará de auditar el informe.</w:t>
            </w:r>
          </w:p>
          <w:p w:rsidR="00BD130B" w:rsidRPr="00976BFF" w:rsidRDefault="00BD130B" w:rsidP="00835AB6">
            <w:pPr>
              <w:spacing w:after="0" w:line="240" w:lineRule="auto"/>
              <w:rPr>
                <w:rFonts w:ascii="Times New Roman" w:hAnsi="Times New Roman"/>
                <w:sz w:val="18"/>
                <w:szCs w:val="18"/>
                <w:lang w:val="es-ES_tradnl"/>
              </w:rPr>
            </w:pPr>
          </w:p>
        </w:tc>
      </w:tr>
      <w:tr w:rsidR="00BD130B" w:rsidRPr="00377DAB">
        <w:tc>
          <w:tcPr>
            <w:tcW w:w="92" w:type="pct"/>
          </w:tcPr>
          <w:p w:rsidR="00BD130B" w:rsidRPr="00976BFF" w:rsidRDefault="00BD130B" w:rsidP="00835AB6">
            <w:pPr>
              <w:spacing w:after="0" w:line="240" w:lineRule="auto"/>
              <w:rPr>
                <w:rFonts w:ascii="Times New Roman" w:hAnsi="Times New Roman"/>
                <w:lang w:val="es-ES_tradnl"/>
              </w:rPr>
            </w:pPr>
            <w:r w:rsidRPr="00976BFF">
              <w:rPr>
                <w:rFonts w:ascii="Times New Roman" w:hAnsi="Times New Roman"/>
                <w:lang w:val="es-ES_tradnl"/>
              </w:rPr>
              <w:t>3</w:t>
            </w:r>
          </w:p>
        </w:tc>
        <w:tc>
          <w:tcPr>
            <w:tcW w:w="4908" w:type="pct"/>
            <w:gridSpan w:val="6"/>
          </w:tcPr>
          <w:p w:rsidR="00BD130B" w:rsidRPr="00976BFF" w:rsidRDefault="00BD130B" w:rsidP="00835AB6">
            <w:pPr>
              <w:spacing w:after="0" w:line="240" w:lineRule="auto"/>
              <w:rPr>
                <w:rFonts w:ascii="Times New Roman" w:hAnsi="Times New Roman"/>
                <w:lang w:val="es-ES_tradnl"/>
              </w:rPr>
            </w:pPr>
            <w:r w:rsidRPr="00976BFF">
              <w:rPr>
                <w:rFonts w:ascii="Times New Roman" w:hAnsi="Times New Roman"/>
                <w:lang w:val="es-ES_tradnl"/>
              </w:rPr>
              <w:t>IVD-3</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bCs/>
                <w:sz w:val="18"/>
                <w:szCs w:val="18"/>
                <w:lang w:val="es-ES_tradnl"/>
              </w:rPr>
              <w:t>Actividades de fortalecimiento institucional:</w:t>
            </w:r>
          </w:p>
        </w:tc>
      </w:tr>
      <w:tr w:rsidR="00BD130B" w:rsidRPr="00377DAB">
        <w:tc>
          <w:tcPr>
            <w:tcW w:w="92"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p>
        </w:tc>
        <w:tc>
          <w:tcPr>
            <w:tcW w:w="497"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3-1. Se ha aprobado el plan multimodal para accesos terrestres al puerto de Montevideo.</w:t>
            </w:r>
          </w:p>
        </w:tc>
        <w:tc>
          <w:tcPr>
            <w:tcW w:w="1772"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Se alcanzará este resultado cuando el MTOP y el comité directivo del estudio aprueben el informe del plan multimodal para accesos terrestres al puerto de Montevideo, y esto quede asentado en una resolución de la DINAPLO y del comité directivo.</w:t>
            </w:r>
          </w:p>
          <w:p w:rsidR="00BD130B" w:rsidRPr="00976BFF" w:rsidRDefault="00BD130B" w:rsidP="00835AB6">
            <w:pPr>
              <w:spacing w:after="0" w:line="240" w:lineRule="auto"/>
              <w:rPr>
                <w:rFonts w:ascii="Times New Roman" w:hAnsi="Times New Roman"/>
                <w:sz w:val="18"/>
                <w:szCs w:val="18"/>
                <w:lang w:val="es-ES_tradnl"/>
              </w:rPr>
            </w:pPr>
          </w:p>
        </w:tc>
        <w:tc>
          <w:tcPr>
            <w:tcW w:w="368"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No</w:t>
            </w:r>
          </w:p>
        </w:tc>
        <w:tc>
          <w:tcPr>
            <w:tcW w:w="460"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DINAPLO</w:t>
            </w:r>
          </w:p>
        </w:tc>
        <w:tc>
          <w:tcPr>
            <w:tcW w:w="497"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MTOP</w:t>
            </w:r>
          </w:p>
        </w:tc>
        <w:tc>
          <w:tcPr>
            <w:tcW w:w="1314"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El MTOP examinará el plan y preparará un memorando para certificar que se alcanzó el resultado. Este memorando incluirá la documentación pertinente para que el Banco lleve a cabo la verificación.</w:t>
            </w:r>
          </w:p>
        </w:tc>
      </w:tr>
      <w:tr w:rsidR="00BD130B" w:rsidRPr="00377DAB">
        <w:trPr>
          <w:trHeight w:val="163"/>
        </w:trPr>
        <w:tc>
          <w:tcPr>
            <w:tcW w:w="92"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p>
        </w:tc>
        <w:tc>
          <w:tcPr>
            <w:tcW w:w="497"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3-2. Se ha aprobado el catálogo de soluciones optimizadas de rehabilitación de pavimentos.</w:t>
            </w:r>
          </w:p>
        </w:tc>
        <w:tc>
          <w:tcPr>
            <w:tcW w:w="1772"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Se alcanzará este resultado: i) cuando se apruebe el catálogo de soluciones técnicas de rehabilitación de pavimentos mediante una resolución del </w:t>
            </w:r>
            <w:r w:rsidR="00E7511A">
              <w:rPr>
                <w:rFonts w:ascii="Times New Roman" w:hAnsi="Times New Roman"/>
                <w:sz w:val="18"/>
                <w:szCs w:val="18"/>
                <w:lang w:val="es-ES_tradnl"/>
              </w:rPr>
              <w:t>d</w:t>
            </w:r>
            <w:r w:rsidR="00E7511A" w:rsidRPr="00976BFF">
              <w:rPr>
                <w:rFonts w:ascii="Times New Roman" w:hAnsi="Times New Roman"/>
                <w:sz w:val="18"/>
                <w:szCs w:val="18"/>
                <w:lang w:val="es-ES_tradnl"/>
              </w:rPr>
              <w:t xml:space="preserve">irector </w:t>
            </w:r>
            <w:r w:rsidRPr="00976BFF">
              <w:rPr>
                <w:rFonts w:ascii="Times New Roman" w:hAnsi="Times New Roman"/>
                <w:sz w:val="18"/>
                <w:szCs w:val="18"/>
                <w:lang w:val="es-ES_tradnl"/>
              </w:rPr>
              <w:t>de la DNV; ii) cuando dicho catálogo se incorpore a los sistemas de gestión de pavimentos de la DNV y la DINAPLO, como lo demostrarán los resultados del modelo de desarrollo y gestión vial (HDM).</w:t>
            </w:r>
          </w:p>
          <w:p w:rsidR="00BD130B" w:rsidRPr="00976BFF" w:rsidRDefault="00BD130B" w:rsidP="00835AB6">
            <w:pPr>
              <w:spacing w:after="0" w:line="240" w:lineRule="auto"/>
              <w:rPr>
                <w:rFonts w:ascii="Times New Roman" w:hAnsi="Times New Roman"/>
                <w:sz w:val="18"/>
                <w:szCs w:val="18"/>
                <w:lang w:val="es-ES_tradnl"/>
              </w:rPr>
            </w:pPr>
          </w:p>
        </w:tc>
        <w:tc>
          <w:tcPr>
            <w:tcW w:w="368"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No</w:t>
            </w:r>
          </w:p>
        </w:tc>
        <w:tc>
          <w:tcPr>
            <w:tcW w:w="460"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DNV</w:t>
            </w:r>
          </w:p>
        </w:tc>
        <w:tc>
          <w:tcPr>
            <w:tcW w:w="497"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MTOP</w:t>
            </w:r>
          </w:p>
        </w:tc>
        <w:tc>
          <w:tcPr>
            <w:tcW w:w="1314"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El MTOP examinará el manual y preparará un memorando para certificar que se alcanzó el resultado. Este memorando incluirá la documentación pertinente para que el Banco lleve a cabo la verificación.</w:t>
            </w:r>
          </w:p>
        </w:tc>
      </w:tr>
      <w:tr w:rsidR="00BD130B" w:rsidRPr="00377DAB">
        <w:tc>
          <w:tcPr>
            <w:tcW w:w="92"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p>
        </w:tc>
        <w:tc>
          <w:tcPr>
            <w:tcW w:w="497"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3-3. Se ha actualizado el manual ambiental de la DNV y se ha capacitado por lo menos al 75% de su personal técnico con responsabilidades relativas a la supervisión de obras, de conformidad con términos de referencia aceptables para el Banco. La capacitación incluye, además, la descripción de las características del manual ambiental actualizado.</w:t>
            </w:r>
          </w:p>
        </w:tc>
        <w:tc>
          <w:tcPr>
            <w:tcW w:w="1772" w:type="pct"/>
            <w:tcBorders>
              <w:top w:val="dotted" w:sz="4" w:space="0" w:color="auto"/>
              <w:bottom w:val="dotted" w:sz="4" w:space="0" w:color="auto"/>
            </w:tcBorders>
          </w:tcPr>
          <w:p w:rsidR="00BD130B" w:rsidRPr="00976BFF" w:rsidRDefault="00BD130B" w:rsidP="00E7511A">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Se alcanzará este resultado: i) cuando el MTOP haya actualizado y aprobado el manual ambiental, y ello quede plasmado en una resolución del </w:t>
            </w:r>
            <w:r w:rsidR="00E7511A">
              <w:rPr>
                <w:rFonts w:ascii="Times New Roman" w:hAnsi="Times New Roman"/>
                <w:sz w:val="18"/>
                <w:szCs w:val="18"/>
                <w:lang w:val="es-ES_tradnl"/>
              </w:rPr>
              <w:t>d</w:t>
            </w:r>
            <w:r w:rsidR="00E7511A" w:rsidRPr="00976BFF">
              <w:rPr>
                <w:rFonts w:ascii="Times New Roman" w:hAnsi="Times New Roman"/>
                <w:sz w:val="18"/>
                <w:szCs w:val="18"/>
                <w:lang w:val="es-ES_tradnl"/>
              </w:rPr>
              <w:t xml:space="preserve">irector </w:t>
            </w:r>
            <w:r w:rsidRPr="00976BFF">
              <w:rPr>
                <w:rFonts w:ascii="Times New Roman" w:hAnsi="Times New Roman"/>
                <w:sz w:val="18"/>
                <w:szCs w:val="18"/>
                <w:lang w:val="es-ES_tradnl"/>
              </w:rPr>
              <w:t>de la DNV; ii) cuando el manual actualizado y aprobado se publique en el sitio web del MTOP, y iii) cuando se haya capacitado por lo menos al 75% del personal técnico de la DNV en materia de gestión ambiental, como lo demostrarán los materiales de capacitación y los registros de asistencia.</w:t>
            </w:r>
          </w:p>
        </w:tc>
        <w:tc>
          <w:tcPr>
            <w:tcW w:w="368"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No</w:t>
            </w:r>
          </w:p>
        </w:tc>
        <w:tc>
          <w:tcPr>
            <w:tcW w:w="460"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DNV</w:t>
            </w:r>
          </w:p>
        </w:tc>
        <w:tc>
          <w:tcPr>
            <w:tcW w:w="497" w:type="pct"/>
            <w:tcBorders>
              <w:top w:val="dotted" w:sz="4" w:space="0" w:color="auto"/>
              <w:bottom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MTOP</w:t>
            </w:r>
          </w:p>
        </w:tc>
        <w:tc>
          <w:tcPr>
            <w:tcW w:w="1314" w:type="pct"/>
            <w:tcBorders>
              <w:top w:val="dotted" w:sz="4" w:space="0" w:color="auto"/>
              <w:bottom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El MTOP examinará el manual y preparará un memorando para certificar que se alcanzó el resultado. Este memorando incluirá la documentación pertinente para que el Banco lleve a cabo la verificación, así como datos concluyentes sobre las sesiones de capacitación.</w:t>
            </w:r>
          </w:p>
        </w:tc>
      </w:tr>
      <w:tr w:rsidR="00BD130B" w:rsidRPr="00377DAB">
        <w:tc>
          <w:tcPr>
            <w:tcW w:w="92" w:type="pct"/>
            <w:tcBorders>
              <w:top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p>
        </w:tc>
        <w:tc>
          <w:tcPr>
            <w:tcW w:w="497" w:type="pct"/>
            <w:tcBorders>
              <w:top w:val="dotted" w:sz="4" w:space="0" w:color="auto"/>
            </w:tcBorders>
          </w:tcPr>
          <w:p w:rsidR="00BD130B" w:rsidRPr="00976BFF" w:rsidRDefault="00BD130B" w:rsidP="0030235A">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RVD 3-4. Se han aprobado las directrices sobre expropiación y gestión social, y se ha organizado un </w:t>
            </w:r>
            <w:r w:rsidR="0030235A">
              <w:rPr>
                <w:rFonts w:ascii="Times New Roman" w:hAnsi="Times New Roman"/>
                <w:sz w:val="18"/>
                <w:szCs w:val="18"/>
                <w:lang w:val="es-ES_tradnl"/>
              </w:rPr>
              <w:t>taller</w:t>
            </w:r>
            <w:r w:rsidRPr="00976BFF">
              <w:rPr>
                <w:rFonts w:ascii="Times New Roman" w:hAnsi="Times New Roman"/>
                <w:sz w:val="18"/>
                <w:szCs w:val="18"/>
                <w:lang w:val="es-ES_tradnl"/>
              </w:rPr>
              <w:t xml:space="preserve"> internacional sobre prácticas óptimas de gestión social de obras viales.</w:t>
            </w:r>
          </w:p>
        </w:tc>
        <w:tc>
          <w:tcPr>
            <w:tcW w:w="1772" w:type="pct"/>
            <w:tcBorders>
              <w:top w:val="dotted" w:sz="4" w:space="0" w:color="auto"/>
            </w:tcBorders>
          </w:tcPr>
          <w:p w:rsidR="00BD130B" w:rsidRPr="00976BFF" w:rsidRDefault="00BD130B" w:rsidP="00D577EC">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Este resultado se alcanzará: i) cuando se aprueben las directrices del </w:t>
            </w:r>
            <w:r w:rsidR="00D577EC">
              <w:rPr>
                <w:rFonts w:ascii="Times New Roman" w:hAnsi="Times New Roman"/>
                <w:sz w:val="18"/>
                <w:szCs w:val="18"/>
                <w:lang w:val="es-ES_tradnl"/>
              </w:rPr>
              <w:t>p</w:t>
            </w:r>
            <w:r w:rsidR="00D577EC" w:rsidRPr="000B5989">
              <w:rPr>
                <w:rFonts w:ascii="Times New Roman" w:hAnsi="Times New Roman"/>
                <w:sz w:val="18"/>
                <w:szCs w:val="18"/>
                <w:lang w:val="es-ES_tradnl"/>
              </w:rPr>
              <w:t xml:space="preserve">roceso </w:t>
            </w:r>
            <w:r w:rsidRPr="000B5989">
              <w:rPr>
                <w:rFonts w:ascii="Times New Roman" w:hAnsi="Times New Roman"/>
                <w:sz w:val="18"/>
                <w:szCs w:val="18"/>
                <w:lang w:val="es-ES_tradnl"/>
              </w:rPr>
              <w:t>de expropiación</w:t>
            </w:r>
            <w:r w:rsidRPr="00976BFF">
              <w:rPr>
                <w:rFonts w:ascii="Times New Roman" w:hAnsi="Times New Roman"/>
                <w:sz w:val="18"/>
                <w:szCs w:val="18"/>
                <w:lang w:val="es-ES_tradnl"/>
              </w:rPr>
              <w:t xml:space="preserve">, incluida la metodología para calcular la compensación en el caso de la expropiación parcial de tierras, mediante una resolución del </w:t>
            </w:r>
            <w:r w:rsidR="00D577EC">
              <w:rPr>
                <w:rFonts w:ascii="Times New Roman" w:hAnsi="Times New Roman"/>
                <w:sz w:val="18"/>
                <w:szCs w:val="18"/>
                <w:lang w:val="es-ES_tradnl"/>
              </w:rPr>
              <w:t>d</w:t>
            </w:r>
            <w:r w:rsidR="00D577EC" w:rsidRPr="00976BFF">
              <w:rPr>
                <w:rFonts w:ascii="Times New Roman" w:hAnsi="Times New Roman"/>
                <w:sz w:val="18"/>
                <w:szCs w:val="18"/>
                <w:lang w:val="es-ES_tradnl"/>
              </w:rPr>
              <w:t xml:space="preserve">irector </w:t>
            </w:r>
            <w:r w:rsidRPr="00976BFF">
              <w:rPr>
                <w:rFonts w:ascii="Times New Roman" w:hAnsi="Times New Roman"/>
                <w:sz w:val="18"/>
                <w:szCs w:val="18"/>
                <w:lang w:val="es-ES_tradnl"/>
              </w:rPr>
              <w:t>de la DNTop, y ii) cuando estén disponibles las actas de un taller internacional sobre prácticas óptimas de gestión social de obras viales.</w:t>
            </w:r>
          </w:p>
        </w:tc>
        <w:tc>
          <w:tcPr>
            <w:tcW w:w="368" w:type="pct"/>
            <w:tcBorders>
              <w:top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No</w:t>
            </w:r>
          </w:p>
        </w:tc>
        <w:tc>
          <w:tcPr>
            <w:tcW w:w="460" w:type="pct"/>
            <w:tcBorders>
              <w:top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DNTop</w:t>
            </w:r>
          </w:p>
        </w:tc>
        <w:tc>
          <w:tcPr>
            <w:tcW w:w="497" w:type="pct"/>
            <w:tcBorders>
              <w:top w:val="dotted" w:sz="4" w:space="0" w:color="auto"/>
            </w:tcBorders>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MTOP</w:t>
            </w:r>
          </w:p>
        </w:tc>
        <w:tc>
          <w:tcPr>
            <w:tcW w:w="1314" w:type="pct"/>
            <w:tcBorders>
              <w:top w:val="dotted" w:sz="4" w:space="0" w:color="auto"/>
            </w:tcBorders>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El MTOP examinará las directrices y preparará un memorando para certificar que se alcanzó el resultado. Este memorando incluirá la documentación pertinente para que el Banco lleve a cabo la verificación, así como datos concluyentes sobre el taller internacional. </w:t>
            </w:r>
          </w:p>
        </w:tc>
      </w:tr>
    </w:tbl>
    <w:p w:rsidR="00BD130B" w:rsidRPr="00976BFF" w:rsidRDefault="00BD130B" w:rsidP="00BD130B">
      <w:pPr>
        <w:rPr>
          <w:rFonts w:ascii="Times New Roman" w:hAnsi="Times New Roman"/>
          <w:b/>
          <w:i/>
          <w:sz w:val="20"/>
          <w:szCs w:val="20"/>
          <w:lang w:val="es-ES_tradnl"/>
        </w:rPr>
      </w:pPr>
      <w:r w:rsidRPr="000B5989">
        <w:rPr>
          <w:rFonts w:ascii="Times New Roman" w:hAnsi="Times New Roman"/>
          <w:i/>
          <w:sz w:val="20"/>
          <w:szCs w:val="20"/>
          <w:lang w:val="es-ES_tradnl"/>
        </w:rPr>
        <w:t>Nota:</w:t>
      </w:r>
      <w:r w:rsidRPr="00976BFF">
        <w:rPr>
          <w:rFonts w:ascii="Times New Roman" w:hAnsi="Times New Roman"/>
          <w:sz w:val="20"/>
          <w:szCs w:val="20"/>
          <w:lang w:val="es-ES_tradnl"/>
        </w:rPr>
        <w:t xml:space="preserve"> RVD = Resultado vinculado </w:t>
      </w:r>
      <w:r w:rsidR="00E57E6E">
        <w:rPr>
          <w:rFonts w:ascii="Times New Roman" w:hAnsi="Times New Roman"/>
          <w:sz w:val="20"/>
          <w:szCs w:val="20"/>
          <w:lang w:val="es-ES_tradnl"/>
        </w:rPr>
        <w:t xml:space="preserve">con </w:t>
      </w:r>
      <w:r w:rsidR="00C915B4">
        <w:rPr>
          <w:rFonts w:ascii="Times New Roman" w:hAnsi="Times New Roman"/>
          <w:sz w:val="20"/>
          <w:szCs w:val="20"/>
          <w:lang w:val="es-ES_tradnl"/>
        </w:rPr>
        <w:t>los</w:t>
      </w:r>
      <w:r w:rsidR="00E57E6E" w:rsidRPr="00976BFF">
        <w:rPr>
          <w:rFonts w:ascii="Times New Roman" w:hAnsi="Times New Roman"/>
          <w:sz w:val="20"/>
          <w:szCs w:val="20"/>
          <w:lang w:val="es-ES_tradnl"/>
        </w:rPr>
        <w:t xml:space="preserve"> </w:t>
      </w:r>
      <w:r w:rsidRPr="00976BFF">
        <w:rPr>
          <w:rFonts w:ascii="Times New Roman" w:hAnsi="Times New Roman"/>
          <w:sz w:val="20"/>
          <w:szCs w:val="20"/>
          <w:lang w:val="es-ES_tradnl"/>
        </w:rPr>
        <w:t>desembolso</w:t>
      </w:r>
      <w:r w:rsidR="00C915B4">
        <w:rPr>
          <w:rFonts w:ascii="Times New Roman" w:hAnsi="Times New Roman"/>
          <w:sz w:val="20"/>
          <w:szCs w:val="20"/>
          <w:lang w:val="es-ES_tradnl"/>
        </w:rPr>
        <w:t>s</w:t>
      </w:r>
      <w:r w:rsidRPr="00976BFF">
        <w:rPr>
          <w:rFonts w:ascii="Times New Roman" w:hAnsi="Times New Roman"/>
          <w:sz w:val="20"/>
          <w:szCs w:val="20"/>
          <w:lang w:val="es-ES_tradnl"/>
        </w:rPr>
        <w:t>.</w:t>
      </w:r>
    </w:p>
    <w:p w:rsidR="00BD130B" w:rsidRPr="00976BFF" w:rsidRDefault="00BD130B" w:rsidP="00BD130B">
      <w:pPr>
        <w:rPr>
          <w:rFonts w:ascii="Times New Roman" w:hAnsi="Times New Roman"/>
          <w:b/>
          <w:i/>
          <w:sz w:val="20"/>
          <w:szCs w:val="20"/>
          <w:lang w:val="es-ES_tradnl"/>
        </w:rPr>
      </w:pPr>
      <w:r w:rsidRPr="00976BFF">
        <w:rPr>
          <w:rFonts w:ascii="Times New Roman" w:hAnsi="Times New Roman"/>
          <w:b/>
          <w:i/>
          <w:sz w:val="20"/>
          <w:szCs w:val="20"/>
          <w:lang w:val="es-ES_tradnl"/>
        </w:rPr>
        <w:br w:type="page"/>
      </w:r>
    </w:p>
    <w:p w:rsidR="00BD130B" w:rsidRPr="00976BFF" w:rsidRDefault="00BD130B" w:rsidP="00BD130B">
      <w:pPr>
        <w:rPr>
          <w:rFonts w:ascii="Times New Roman" w:hAnsi="Times New Roman"/>
          <w:b/>
          <w:lang w:val="es-ES_tradnl"/>
        </w:rPr>
      </w:pPr>
    </w:p>
    <w:p w:rsidR="00BD130B" w:rsidRPr="00976BFF" w:rsidRDefault="00BD130B" w:rsidP="00BD130B">
      <w:pPr>
        <w:spacing w:after="0" w:line="240" w:lineRule="auto"/>
        <w:jc w:val="center"/>
        <w:rPr>
          <w:rFonts w:ascii="Times New Roman" w:hAnsi="Times New Roman"/>
          <w:b/>
          <w:lang w:val="es-ES_tradnl"/>
        </w:rPr>
      </w:pPr>
    </w:p>
    <w:p w:rsidR="00BD130B" w:rsidRPr="00976BFF" w:rsidRDefault="0030235A" w:rsidP="00BD130B">
      <w:pPr>
        <w:spacing w:after="0" w:line="240" w:lineRule="auto"/>
        <w:jc w:val="center"/>
        <w:rPr>
          <w:rFonts w:ascii="Times New Roman" w:hAnsi="Times New Roman"/>
          <w:b/>
          <w:lang w:val="es-ES_tradnl"/>
        </w:rPr>
      </w:pPr>
      <w:r>
        <w:rPr>
          <w:rFonts w:ascii="Times New Roman" w:hAnsi="Times New Roman"/>
          <w:b/>
          <w:lang w:val="es-ES_tradnl"/>
        </w:rPr>
        <w:t xml:space="preserve">Cuadro de </w:t>
      </w:r>
      <w:r w:rsidR="003824A7">
        <w:rPr>
          <w:rFonts w:ascii="Times New Roman" w:hAnsi="Times New Roman"/>
          <w:b/>
          <w:lang w:val="es-ES_tradnl"/>
        </w:rPr>
        <w:t>d</w:t>
      </w:r>
      <w:r w:rsidR="003824A7" w:rsidRPr="00976BFF">
        <w:rPr>
          <w:rFonts w:ascii="Times New Roman" w:hAnsi="Times New Roman"/>
          <w:b/>
          <w:lang w:val="es-ES_tradnl"/>
        </w:rPr>
        <w:t xml:space="preserve">esembolsos </w:t>
      </w:r>
      <w:r w:rsidR="00BD130B" w:rsidRPr="00976BFF">
        <w:rPr>
          <w:rFonts w:ascii="Times New Roman" w:hAnsi="Times New Roman"/>
          <w:b/>
          <w:lang w:val="es-ES_tradnl"/>
        </w:rPr>
        <w:t>del Banco</w:t>
      </w:r>
    </w:p>
    <w:p w:rsidR="00BD130B" w:rsidRPr="00976BFF" w:rsidRDefault="00BD130B" w:rsidP="00BD130B">
      <w:pPr>
        <w:spacing w:after="0" w:line="240" w:lineRule="auto"/>
        <w:jc w:val="center"/>
        <w:rPr>
          <w:rFonts w:ascii="Times New Roman" w:hAnsi="Times New Roman"/>
          <w:sz w:val="16"/>
          <w:szCs w:val="16"/>
          <w:vertAlign w:val="superscript"/>
          <w:lang w:val="es-ES_tradnl"/>
        </w:rPr>
      </w:pPr>
    </w:p>
    <w:p w:rsidR="00BD130B" w:rsidRPr="00976BFF" w:rsidRDefault="00BD130B" w:rsidP="00BD130B">
      <w:pPr>
        <w:spacing w:after="0" w:line="240" w:lineRule="auto"/>
        <w:jc w:val="center"/>
        <w:rPr>
          <w:rFonts w:ascii="Times New Roman" w:hAnsi="Times New Roman"/>
          <w:b/>
          <w:lang w:val="es-ES_tradnl"/>
        </w:rPr>
      </w:pPr>
    </w:p>
    <w:tbl>
      <w:tblPr>
        <w:tblW w:w="13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1588"/>
        <w:gridCol w:w="1671"/>
        <w:gridCol w:w="1207"/>
        <w:gridCol w:w="1081"/>
        <w:gridCol w:w="1358"/>
        <w:gridCol w:w="1767"/>
        <w:gridCol w:w="1590"/>
        <w:gridCol w:w="2692"/>
      </w:tblGrid>
      <w:tr w:rsidR="00BD130B" w:rsidRPr="00377DAB">
        <w:trPr>
          <w:trHeight w:val="460"/>
        </w:trPr>
        <w:tc>
          <w:tcPr>
            <w:tcW w:w="639"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w:t>
            </w:r>
          </w:p>
        </w:tc>
        <w:tc>
          <w:tcPr>
            <w:tcW w:w="1618"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IVD</w:t>
            </w:r>
          </w:p>
        </w:tc>
        <w:tc>
          <w:tcPr>
            <w:tcW w:w="1097"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 xml:space="preserve">Financiamiento del Banco asignado al IVD </w:t>
            </w:r>
          </w:p>
        </w:tc>
        <w:tc>
          <w:tcPr>
            <w:tcW w:w="2172" w:type="dxa"/>
            <w:gridSpan w:val="2"/>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Del cual, financiamiento disponible para</w:t>
            </w:r>
          </w:p>
        </w:tc>
        <w:tc>
          <w:tcPr>
            <w:tcW w:w="1460"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Plazo para el logro del IVD</w:t>
            </w:r>
          </w:p>
        </w:tc>
        <w:tc>
          <w:tcPr>
            <w:tcW w:w="1821"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 xml:space="preserve">Valor mínimo del IVD que debe lograrse para activar desembolsos del financiamiento del Banco </w:t>
            </w:r>
          </w:p>
        </w:tc>
        <w:tc>
          <w:tcPr>
            <w:tcW w:w="1670"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 xml:space="preserve">Valor máximo del IVD que se prevé lograr a los efectos de los desembolsos del Banco </w:t>
            </w:r>
          </w:p>
        </w:tc>
        <w:tc>
          <w:tcPr>
            <w:tcW w:w="3041" w:type="dxa"/>
            <w:vMerge w:val="restart"/>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Determinación del monto de financiamiento que debe desembolsarse en relación con el valor del IVD logrado y verificado</w:t>
            </w:r>
          </w:p>
        </w:tc>
      </w:tr>
      <w:tr w:rsidR="00BD130B" w:rsidRPr="00976BFF">
        <w:trPr>
          <w:trHeight w:val="700"/>
        </w:trPr>
        <w:tc>
          <w:tcPr>
            <w:tcW w:w="639" w:type="dxa"/>
            <w:vMerge/>
          </w:tcPr>
          <w:p w:rsidR="00BD130B" w:rsidRPr="00976BFF" w:rsidRDefault="00BD130B" w:rsidP="00835AB6">
            <w:pPr>
              <w:spacing w:after="0" w:line="240" w:lineRule="auto"/>
              <w:jc w:val="center"/>
              <w:rPr>
                <w:rFonts w:ascii="Times New Roman" w:hAnsi="Times New Roman"/>
                <w:b/>
                <w:lang w:val="es-ES_tradnl"/>
              </w:rPr>
            </w:pPr>
          </w:p>
        </w:tc>
        <w:tc>
          <w:tcPr>
            <w:tcW w:w="1618" w:type="dxa"/>
            <w:vMerge/>
          </w:tcPr>
          <w:p w:rsidR="00BD130B" w:rsidRPr="00976BFF" w:rsidRDefault="00BD130B" w:rsidP="00835AB6">
            <w:pPr>
              <w:spacing w:after="0" w:line="240" w:lineRule="auto"/>
              <w:jc w:val="center"/>
              <w:rPr>
                <w:rFonts w:ascii="Times New Roman" w:hAnsi="Times New Roman"/>
                <w:b/>
                <w:lang w:val="es-ES_tradnl"/>
              </w:rPr>
            </w:pPr>
          </w:p>
        </w:tc>
        <w:tc>
          <w:tcPr>
            <w:tcW w:w="1097" w:type="dxa"/>
            <w:vMerge/>
          </w:tcPr>
          <w:p w:rsidR="00BD130B" w:rsidRPr="00976BFF" w:rsidRDefault="00BD130B" w:rsidP="00835AB6">
            <w:pPr>
              <w:spacing w:after="0" w:line="240" w:lineRule="auto"/>
              <w:jc w:val="center"/>
              <w:rPr>
                <w:rFonts w:ascii="Times New Roman" w:hAnsi="Times New Roman"/>
                <w:b/>
                <w:lang w:val="es-ES_tradnl"/>
              </w:rPr>
            </w:pPr>
          </w:p>
        </w:tc>
        <w:tc>
          <w:tcPr>
            <w:tcW w:w="1088" w:type="dxa"/>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Resultados previos</w:t>
            </w:r>
          </w:p>
        </w:tc>
        <w:tc>
          <w:tcPr>
            <w:tcW w:w="1084" w:type="dxa"/>
          </w:tcPr>
          <w:p w:rsidR="00BD130B" w:rsidRPr="00976BFF" w:rsidRDefault="00BD130B" w:rsidP="00835AB6">
            <w:pPr>
              <w:spacing w:after="0" w:line="240" w:lineRule="auto"/>
              <w:jc w:val="center"/>
              <w:rPr>
                <w:rFonts w:ascii="Times New Roman" w:hAnsi="Times New Roman"/>
                <w:b/>
                <w:i/>
                <w:lang w:val="es-ES_tradnl"/>
              </w:rPr>
            </w:pPr>
            <w:r w:rsidRPr="00976BFF">
              <w:rPr>
                <w:rFonts w:ascii="Times New Roman" w:hAnsi="Times New Roman"/>
                <w:b/>
                <w:i/>
                <w:lang w:val="es-ES_tradnl"/>
              </w:rPr>
              <w:t>Anticipos</w:t>
            </w:r>
          </w:p>
        </w:tc>
        <w:tc>
          <w:tcPr>
            <w:tcW w:w="1460" w:type="dxa"/>
            <w:vMerge/>
          </w:tcPr>
          <w:p w:rsidR="00BD130B" w:rsidRPr="00976BFF" w:rsidRDefault="00BD130B" w:rsidP="00835AB6">
            <w:pPr>
              <w:spacing w:after="0" w:line="240" w:lineRule="auto"/>
              <w:jc w:val="center"/>
              <w:rPr>
                <w:rFonts w:ascii="Times New Roman" w:hAnsi="Times New Roman"/>
                <w:b/>
                <w:lang w:val="es-ES_tradnl"/>
              </w:rPr>
            </w:pPr>
          </w:p>
        </w:tc>
        <w:tc>
          <w:tcPr>
            <w:tcW w:w="1821" w:type="dxa"/>
            <w:vMerge/>
          </w:tcPr>
          <w:p w:rsidR="00BD130B" w:rsidRPr="00976BFF" w:rsidRDefault="00BD130B" w:rsidP="00835AB6">
            <w:pPr>
              <w:spacing w:after="0" w:line="240" w:lineRule="auto"/>
              <w:jc w:val="center"/>
              <w:rPr>
                <w:rFonts w:ascii="Times New Roman" w:hAnsi="Times New Roman"/>
                <w:b/>
                <w:lang w:val="es-ES_tradnl"/>
              </w:rPr>
            </w:pPr>
          </w:p>
        </w:tc>
        <w:tc>
          <w:tcPr>
            <w:tcW w:w="1670" w:type="dxa"/>
            <w:vMerge/>
          </w:tcPr>
          <w:p w:rsidR="00BD130B" w:rsidRPr="00976BFF" w:rsidRDefault="00BD130B" w:rsidP="00835AB6">
            <w:pPr>
              <w:spacing w:after="0" w:line="240" w:lineRule="auto"/>
              <w:jc w:val="center"/>
              <w:rPr>
                <w:rFonts w:ascii="Times New Roman" w:hAnsi="Times New Roman"/>
                <w:b/>
                <w:lang w:val="es-ES_tradnl"/>
              </w:rPr>
            </w:pPr>
          </w:p>
        </w:tc>
        <w:tc>
          <w:tcPr>
            <w:tcW w:w="3041" w:type="dxa"/>
            <w:vMerge/>
          </w:tcPr>
          <w:p w:rsidR="00BD130B" w:rsidRPr="00976BFF" w:rsidRDefault="00BD130B" w:rsidP="00835AB6">
            <w:pPr>
              <w:spacing w:after="0" w:line="240" w:lineRule="auto"/>
              <w:jc w:val="center"/>
              <w:rPr>
                <w:rFonts w:ascii="Times New Roman" w:hAnsi="Times New Roman"/>
                <w:b/>
                <w:lang w:val="es-ES_tradnl"/>
              </w:rPr>
            </w:pPr>
          </w:p>
        </w:tc>
      </w:tr>
      <w:tr w:rsidR="00BD130B" w:rsidRPr="00377DAB">
        <w:trPr>
          <w:trHeight w:val="665"/>
        </w:trPr>
        <w:tc>
          <w:tcPr>
            <w:tcW w:w="639"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w:t>
            </w:r>
          </w:p>
        </w:tc>
        <w:tc>
          <w:tcPr>
            <w:tcW w:w="1618" w:type="dxa"/>
          </w:tcPr>
          <w:p w:rsidR="00BD130B" w:rsidRPr="00976BFF" w:rsidRDefault="00BD130B" w:rsidP="00FE06E1">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Número acumula</w:t>
            </w:r>
            <w:r w:rsidR="00FE06E1">
              <w:rPr>
                <w:rFonts w:ascii="Times New Roman" w:hAnsi="Times New Roman"/>
                <w:sz w:val="18"/>
                <w:szCs w:val="18"/>
                <w:lang w:val="es-ES_tradnl"/>
              </w:rPr>
              <w:t>tiv</w:t>
            </w:r>
            <w:r w:rsidRPr="00976BFF">
              <w:rPr>
                <w:rFonts w:ascii="Times New Roman" w:hAnsi="Times New Roman"/>
                <w:sz w:val="18"/>
                <w:szCs w:val="18"/>
                <w:lang w:val="es-ES_tradnl"/>
              </w:rPr>
              <w:t>o de kilómetros de la red vial nacional rehabilitados con una clasificación mínima de 85 puntos, medida por el IES.</w:t>
            </w:r>
          </w:p>
        </w:tc>
        <w:tc>
          <w:tcPr>
            <w:tcW w:w="1097"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US$26 millones</w:t>
            </w: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25%</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12/2015</w:t>
            </w: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 xml:space="preserve">Entre dos solicitudes de desembolso sucesivas, debe haber un mínimo de 50 kilómetros adicionales rehabilitados. </w:t>
            </w: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 xml:space="preserve">524 kilómetros para el final del </w:t>
            </w:r>
            <w:r w:rsidR="008A1019">
              <w:rPr>
                <w:rFonts w:ascii="Times New Roman" w:hAnsi="Times New Roman"/>
                <w:sz w:val="18"/>
                <w:szCs w:val="18"/>
                <w:lang w:val="es-ES_tradnl"/>
              </w:rPr>
              <w:t>programa</w:t>
            </w:r>
            <w:r w:rsidRPr="00976BFF">
              <w:rPr>
                <w:rFonts w:ascii="Times New Roman" w:hAnsi="Times New Roman"/>
                <w:sz w:val="18"/>
                <w:szCs w:val="18"/>
                <w:lang w:val="es-ES_tradnl"/>
              </w:rPr>
              <w:t>.</w:t>
            </w: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Para el primer período de evaluación:</w:t>
            </w:r>
          </w:p>
          <w:p w:rsidR="00BD130B" w:rsidRPr="00976BFF" w:rsidRDefault="000817AF" w:rsidP="00835AB6">
            <w:pPr>
              <w:spacing w:after="0" w:line="240" w:lineRule="auto"/>
              <w:jc w:val="center"/>
              <w:rPr>
                <w:rFonts w:ascii="Times New Roman" w:hAnsi="Times New Roman"/>
                <w:sz w:val="18"/>
                <w:szCs w:val="18"/>
                <w:lang w:val="es-ES_tradnl"/>
              </w:rPr>
            </w:pPr>
            <m:oMathPara>
              <m:oMath>
                <m:sSub>
                  <m:sSubPr>
                    <m:ctrlPr>
                      <w:rPr>
                        <w:rFonts w:ascii="Cambria Math" w:eastAsia="Times New Roman" w:hAnsi="Cambria Math"/>
                        <w:i/>
                        <w:sz w:val="18"/>
                        <w:szCs w:val="18"/>
                        <w:lang w:val="es-ES_tradnl"/>
                      </w:rPr>
                    </m:ctrlPr>
                  </m:sSubPr>
                  <m:e>
                    <m:r>
                      <w:rPr>
                        <w:rFonts w:ascii="Cambria Math" w:hAnsi="Cambria Math"/>
                        <w:sz w:val="18"/>
                        <w:szCs w:val="18"/>
                        <w:lang w:val="es-ES_tradnl"/>
                      </w:rPr>
                      <m:t>d</m:t>
                    </m:r>
                    <m:ctrlPr>
                      <w:rPr>
                        <w:rFonts w:ascii="Cambria Math" w:hAnsi="Cambria Math"/>
                        <w:i/>
                        <w:sz w:val="18"/>
                        <w:szCs w:val="18"/>
                        <w:lang w:val="es-ES_tradnl"/>
                      </w:rPr>
                    </m:ctrlPr>
                  </m:e>
                  <m:sub>
                    <m:r>
                      <w:rPr>
                        <w:rFonts w:ascii="Cambria Math" w:hAnsi="Cambria Math"/>
                        <w:sz w:val="18"/>
                        <w:szCs w:val="18"/>
                        <w:lang w:val="es-ES_tradnl"/>
                      </w:rPr>
                      <m:t>1</m:t>
                    </m:r>
                    <m:ctrlPr>
                      <w:rPr>
                        <w:rFonts w:ascii="Cambria Math" w:hAnsi="Cambria Math"/>
                        <w:i/>
                        <w:sz w:val="18"/>
                        <w:szCs w:val="18"/>
                        <w:lang w:val="es-ES_tradnl"/>
                      </w:rPr>
                    </m:ctrlP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km</m:t>
                    </m:r>
                  </m:e>
                  <m:sub>
                    <m:r>
                      <w:rPr>
                        <w:rFonts w:ascii="Cambria Math" w:hAnsi="Cambria Math"/>
                        <w:sz w:val="18"/>
                        <w:szCs w:val="18"/>
                        <w:lang w:val="es-ES_tradnl"/>
                      </w:rPr>
                      <m:t>1</m:t>
                    </m:r>
                  </m:sub>
                </m:sSub>
                <m:r>
                  <w:rPr>
                    <w:rFonts w:ascii="Cambria Math" w:hAnsi="Cambria Math"/>
                    <w:sz w:val="18"/>
                    <w:szCs w:val="18"/>
                    <w:lang w:val="es-ES_tradnl"/>
                  </w:rPr>
                  <m:t>×u</m:t>
                </m:r>
              </m:oMath>
            </m:oMathPara>
          </w:p>
          <w:p w:rsidR="00BD130B" w:rsidRPr="00976BFF" w:rsidRDefault="00BD130B" w:rsidP="00835AB6">
            <w:pPr>
              <w:spacing w:after="0" w:line="240" w:lineRule="auto"/>
              <w:jc w:val="center"/>
              <w:rPr>
                <w:rFonts w:ascii="Times New Roman" w:hAnsi="Times New Roman"/>
                <w:sz w:val="18"/>
                <w:szCs w:val="18"/>
                <w:lang w:val="es-ES_tradnl"/>
              </w:rPr>
            </w:pP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Para cada período de evaluación i subsiguiente:</w:t>
            </w:r>
          </w:p>
          <w:p w:rsidR="00BD130B" w:rsidRPr="00976BFF" w:rsidRDefault="00BD130B" w:rsidP="00BD130B">
            <w:pPr>
              <w:numPr>
                <w:ilvl w:val="0"/>
                <w:numId w:val="11"/>
              </w:num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Si km</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xml:space="preserve"> – km</w:t>
            </w:r>
            <w:r w:rsidRPr="00976BFF">
              <w:rPr>
                <w:rFonts w:ascii="Times New Roman" w:hAnsi="Times New Roman"/>
                <w:sz w:val="18"/>
                <w:szCs w:val="18"/>
                <w:vertAlign w:val="subscript"/>
                <w:lang w:val="es-ES_tradnl"/>
              </w:rPr>
              <w:t>i-1</w:t>
            </w:r>
            <w:r w:rsidRPr="00976BFF">
              <w:rPr>
                <w:rFonts w:ascii="Times New Roman" w:hAnsi="Times New Roman"/>
                <w:sz w:val="18"/>
                <w:szCs w:val="18"/>
                <w:lang w:val="es-ES_tradnl"/>
              </w:rPr>
              <w:t xml:space="preserve"> ≥ 50:</w:t>
            </w:r>
          </w:p>
          <w:p w:rsidR="00BD130B" w:rsidRPr="00976BFF" w:rsidRDefault="000817AF" w:rsidP="00835AB6">
            <w:pPr>
              <w:spacing w:after="0" w:line="240" w:lineRule="auto"/>
              <w:jc w:val="center"/>
              <w:rPr>
                <w:rFonts w:ascii="Times New Roman" w:hAnsi="Times New Roman"/>
                <w:sz w:val="18"/>
                <w:szCs w:val="18"/>
                <w:lang w:val="es-ES_tradnl"/>
              </w:rPr>
            </w:pPr>
            <m:oMathPara>
              <m:oMath>
                <m:sSub>
                  <m:sSubPr>
                    <m:ctrlPr>
                      <w:rPr>
                        <w:rFonts w:ascii="Cambria Math" w:eastAsia="Times New Roman" w:hAnsi="Cambria Math"/>
                        <w:i/>
                        <w:sz w:val="18"/>
                        <w:szCs w:val="18"/>
                        <w:lang w:val="es-ES_tradnl"/>
                      </w:rPr>
                    </m:ctrlPr>
                  </m:sSubPr>
                  <m:e>
                    <m:r>
                      <w:rPr>
                        <w:rFonts w:ascii="Cambria Math" w:hAnsi="Cambria Math"/>
                        <w:sz w:val="18"/>
                        <w:szCs w:val="18"/>
                        <w:lang w:val="es-ES_tradnl"/>
                      </w:rPr>
                      <m:t>d</m:t>
                    </m:r>
                    <m:ctrlPr>
                      <w:rPr>
                        <w:rFonts w:ascii="Cambria Math" w:hAnsi="Cambria Math"/>
                        <w:i/>
                        <w:sz w:val="18"/>
                        <w:szCs w:val="18"/>
                        <w:lang w:val="es-ES_tradnl"/>
                      </w:rPr>
                    </m:ctrlPr>
                  </m:e>
                  <m:sub>
                    <m:r>
                      <w:rPr>
                        <w:rFonts w:ascii="Cambria Math" w:hAnsi="Cambria Math"/>
                        <w:sz w:val="18"/>
                        <w:szCs w:val="18"/>
                        <w:lang w:val="es-ES_tradnl"/>
                      </w:rPr>
                      <m:t>i</m:t>
                    </m:r>
                    <m:ctrlPr>
                      <w:rPr>
                        <w:rFonts w:ascii="Cambria Math" w:hAnsi="Cambria Math"/>
                        <w:i/>
                        <w:sz w:val="18"/>
                        <w:szCs w:val="18"/>
                        <w:lang w:val="es-ES_tradnl"/>
                      </w:rPr>
                    </m:ctrlP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km</m:t>
                    </m:r>
                  </m:e>
                  <m:sub>
                    <m:r>
                      <w:rPr>
                        <w:rFonts w:ascii="Cambria Math" w:hAnsi="Cambria Math"/>
                        <w:sz w:val="18"/>
                        <w:szCs w:val="18"/>
                        <w:lang w:val="es-ES_tradnl"/>
                      </w:rPr>
                      <m:t>i</m:t>
                    </m:r>
                  </m:sub>
                </m:sSub>
                <m:r>
                  <w:rPr>
                    <w:rFonts w:ascii="Cambria Math" w:hAnsi="Cambria Math"/>
                    <w:sz w:val="18"/>
                    <w:szCs w:val="18"/>
                    <w:lang w:val="es-ES_tradnl"/>
                  </w:rPr>
                  <m:t>-</m:t>
                </m:r>
                <m:sSub>
                  <m:sSubPr>
                    <m:ctrlPr>
                      <w:rPr>
                        <w:rFonts w:ascii="Cambria Math" w:hAnsi="Cambria Math"/>
                        <w:i/>
                        <w:sz w:val="18"/>
                        <w:szCs w:val="18"/>
                        <w:lang w:val="es-ES_tradnl"/>
                      </w:rPr>
                    </m:ctrlPr>
                  </m:sSubPr>
                  <m:e>
                    <m:r>
                      <w:rPr>
                        <w:rFonts w:ascii="Cambria Math" w:hAnsi="Cambria Math"/>
                        <w:sz w:val="18"/>
                        <w:szCs w:val="18"/>
                        <w:lang w:val="es-ES_tradnl"/>
                      </w:rPr>
                      <m:t>km</m:t>
                    </m:r>
                  </m:e>
                  <m:sub>
                    <m:r>
                      <w:rPr>
                        <w:rFonts w:ascii="Cambria Math" w:hAnsi="Cambria Math"/>
                        <w:sz w:val="18"/>
                        <w:szCs w:val="18"/>
                        <w:lang w:val="es-ES_tradnl"/>
                      </w:rPr>
                      <m:t>i-1</m:t>
                    </m:r>
                  </m:sub>
                </m:sSub>
                <m:r>
                  <w:rPr>
                    <w:rFonts w:ascii="Cambria Math" w:hAnsi="Cambria Math"/>
                    <w:sz w:val="18"/>
                    <w:szCs w:val="18"/>
                    <w:lang w:val="es-ES_tradnl"/>
                  </w:rPr>
                  <m:t>)×u</m:t>
                </m:r>
              </m:oMath>
            </m:oMathPara>
          </w:p>
          <w:p w:rsidR="00BD130B" w:rsidRPr="00976BFF" w:rsidRDefault="00BD130B" w:rsidP="00BD130B">
            <w:pPr>
              <w:numPr>
                <w:ilvl w:val="0"/>
                <w:numId w:val="11"/>
              </w:num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Si km</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xml:space="preserve"> – km</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-1 &lt; 50:</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di = 0</w:t>
            </w:r>
          </w:p>
          <w:p w:rsidR="00BD130B" w:rsidRPr="00976BFF" w:rsidRDefault="00BD130B" w:rsidP="00BD130B">
            <w:pPr>
              <w:numPr>
                <w:ilvl w:val="0"/>
                <w:numId w:val="11"/>
              </w:num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Si km</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xml:space="preserve"> &gt; 524:</w:t>
            </w:r>
          </w:p>
          <w:p w:rsidR="00BD130B" w:rsidRPr="00976BFF" w:rsidRDefault="000817AF" w:rsidP="00835AB6">
            <w:pPr>
              <w:spacing w:after="0" w:line="240" w:lineRule="auto"/>
              <w:jc w:val="center"/>
              <w:rPr>
                <w:rFonts w:ascii="Times New Roman" w:hAnsi="Times New Roman"/>
                <w:sz w:val="18"/>
                <w:szCs w:val="18"/>
                <w:lang w:val="es-ES_tradnl"/>
              </w:rPr>
            </w:pPr>
            <m:oMathPara>
              <m:oMath>
                <m:sSub>
                  <m:sSubPr>
                    <m:ctrlPr>
                      <w:rPr>
                        <w:rFonts w:ascii="Cambria Math" w:eastAsia="Times New Roman" w:hAnsi="Cambria Math"/>
                        <w:i/>
                        <w:sz w:val="18"/>
                        <w:szCs w:val="18"/>
                        <w:lang w:val="es-ES_tradnl"/>
                      </w:rPr>
                    </m:ctrlPr>
                  </m:sSubPr>
                  <m:e>
                    <m:r>
                      <w:rPr>
                        <w:rFonts w:ascii="Cambria Math" w:hAnsi="Cambria Math"/>
                        <w:sz w:val="18"/>
                        <w:szCs w:val="18"/>
                        <w:lang w:val="es-ES_tradnl"/>
                      </w:rPr>
                      <m:t>d</m:t>
                    </m:r>
                    <m:ctrlPr>
                      <w:rPr>
                        <w:rFonts w:ascii="Cambria Math" w:hAnsi="Cambria Math"/>
                        <w:i/>
                        <w:sz w:val="18"/>
                        <w:szCs w:val="18"/>
                        <w:lang w:val="es-ES_tradnl"/>
                      </w:rPr>
                    </m:ctrlPr>
                  </m:e>
                  <m:sub>
                    <m:r>
                      <w:rPr>
                        <w:rFonts w:ascii="Cambria Math" w:hAnsi="Cambria Math"/>
                        <w:sz w:val="18"/>
                        <w:szCs w:val="18"/>
                        <w:lang w:val="es-ES_tradnl"/>
                      </w:rPr>
                      <m:t>i</m:t>
                    </m:r>
                    <m:ctrlPr>
                      <w:rPr>
                        <w:rFonts w:ascii="Cambria Math" w:hAnsi="Cambria Math"/>
                        <w:i/>
                        <w:sz w:val="18"/>
                        <w:szCs w:val="18"/>
                        <w:lang w:val="es-ES_tradnl"/>
                      </w:rPr>
                    </m:ctrlPr>
                  </m:sub>
                </m:sSub>
                <m:r>
                  <w:rPr>
                    <w:rFonts w:ascii="Cambria Math" w:hAnsi="Cambria Math"/>
                    <w:sz w:val="18"/>
                    <w:szCs w:val="18"/>
                    <w:lang w:val="es-ES_tradnl"/>
                  </w:rPr>
                  <m:t>=(524-</m:t>
                </m:r>
                <m:sSub>
                  <m:sSubPr>
                    <m:ctrlPr>
                      <w:rPr>
                        <w:rFonts w:ascii="Cambria Math" w:hAnsi="Cambria Math"/>
                        <w:i/>
                        <w:sz w:val="18"/>
                        <w:szCs w:val="18"/>
                        <w:lang w:val="es-ES_tradnl"/>
                      </w:rPr>
                    </m:ctrlPr>
                  </m:sSubPr>
                  <m:e>
                    <m:r>
                      <w:rPr>
                        <w:rFonts w:ascii="Cambria Math" w:hAnsi="Cambria Math"/>
                        <w:sz w:val="18"/>
                        <w:szCs w:val="18"/>
                        <w:lang w:val="es-ES_tradnl"/>
                      </w:rPr>
                      <m:t>km</m:t>
                    </m:r>
                  </m:e>
                  <m:sub>
                    <m:r>
                      <w:rPr>
                        <w:rFonts w:ascii="Cambria Math" w:hAnsi="Cambria Math"/>
                        <w:sz w:val="18"/>
                        <w:szCs w:val="18"/>
                        <w:lang w:val="es-ES_tradnl"/>
                      </w:rPr>
                      <m:t>i-1</m:t>
                    </m:r>
                  </m:sub>
                </m:sSub>
                <m:r>
                  <w:rPr>
                    <w:rFonts w:ascii="Cambria Math" w:hAnsi="Cambria Math"/>
                    <w:sz w:val="18"/>
                    <w:szCs w:val="18"/>
                    <w:lang w:val="es-ES_tradnl"/>
                  </w:rPr>
                  <m:t>)×u</m:t>
                </m:r>
              </m:oMath>
            </m:oMathPara>
          </w:p>
          <w:p w:rsidR="00BD130B" w:rsidRPr="00976BFF" w:rsidRDefault="00BD130B" w:rsidP="00835AB6">
            <w:pPr>
              <w:spacing w:after="0" w:line="240" w:lineRule="auto"/>
              <w:jc w:val="center"/>
              <w:rPr>
                <w:rFonts w:ascii="Times New Roman" w:hAnsi="Times New Roman"/>
                <w:sz w:val="18"/>
                <w:szCs w:val="18"/>
                <w:lang w:val="es-ES_tradnl"/>
              </w:rPr>
            </w:pPr>
          </w:p>
          <w:p w:rsidR="00BD130B" w:rsidRPr="00976BFF" w:rsidRDefault="00D577EC"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w:t>
            </w:r>
            <w:r>
              <w:rPr>
                <w:rFonts w:ascii="Times New Roman" w:hAnsi="Times New Roman"/>
                <w:sz w:val="18"/>
                <w:szCs w:val="18"/>
                <w:lang w:val="es-ES_tradnl"/>
              </w:rPr>
              <w:t>o</w:t>
            </w:r>
            <w:r w:rsidRPr="00976BFF">
              <w:rPr>
                <w:rFonts w:ascii="Times New Roman" w:hAnsi="Times New Roman"/>
                <w:sz w:val="18"/>
                <w:szCs w:val="18"/>
                <w:lang w:val="es-ES_tradnl"/>
              </w:rPr>
              <w:t>nde</w:t>
            </w:r>
            <w:r w:rsidR="00BD130B" w:rsidRPr="00976BFF">
              <w:rPr>
                <w:rFonts w:ascii="Times New Roman" w:hAnsi="Times New Roman"/>
                <w:sz w:val="18"/>
                <w:szCs w:val="18"/>
                <w:lang w:val="es-ES_tradnl"/>
              </w:rPr>
              <w:t>:</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d</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desembolso real para el período i</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u = US$49 620</w:t>
            </w:r>
          </w:p>
          <w:p w:rsidR="00BD130B" w:rsidRPr="00976BFF" w:rsidRDefault="00BD130B" w:rsidP="00835AB6">
            <w:pPr>
              <w:spacing w:after="0" w:line="240" w:lineRule="auto"/>
              <w:rPr>
                <w:rFonts w:ascii="Times New Roman" w:hAnsi="Times New Roman"/>
                <w:sz w:val="18"/>
                <w:szCs w:val="18"/>
                <w:lang w:val="es-ES_tradnl"/>
              </w:rPr>
            </w:pP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km</w:t>
            </w:r>
            <w:r w:rsidRPr="00976BFF">
              <w:rPr>
                <w:rFonts w:ascii="Times New Roman" w:hAnsi="Times New Roman"/>
                <w:sz w:val="18"/>
                <w:szCs w:val="18"/>
                <w:vertAlign w:val="subscript"/>
                <w:lang w:val="es-ES_tradnl"/>
              </w:rPr>
              <w:t>i</w:t>
            </w:r>
            <w:r w:rsidRPr="00976BFF">
              <w:rPr>
                <w:rFonts w:ascii="Times New Roman" w:hAnsi="Times New Roman"/>
                <w:sz w:val="18"/>
                <w:szCs w:val="18"/>
                <w:lang w:val="es-ES_tradnl"/>
              </w:rPr>
              <w:t>: valor real alcanzado por el indicador para el período i</w:t>
            </w:r>
          </w:p>
        </w:tc>
      </w:tr>
      <w:tr w:rsidR="00BD130B" w:rsidRPr="00377DAB">
        <w:trPr>
          <w:trHeight w:val="611"/>
        </w:trPr>
        <w:tc>
          <w:tcPr>
            <w:tcW w:w="639"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w:t>
            </w:r>
          </w:p>
        </w:tc>
        <w:tc>
          <w:tcPr>
            <w:tcW w:w="1618" w:type="dxa"/>
          </w:tcPr>
          <w:p w:rsidR="00BD130B" w:rsidRPr="00976BFF" w:rsidRDefault="00BD130B" w:rsidP="00835AB6">
            <w:pPr>
              <w:spacing w:after="0" w:line="240" w:lineRule="auto"/>
              <w:jc w:val="center"/>
              <w:rPr>
                <w:rFonts w:ascii="Times New Roman" w:hAnsi="Times New Roman"/>
                <w:bCs/>
                <w:sz w:val="18"/>
                <w:szCs w:val="18"/>
                <w:lang w:val="es-ES_tradnl"/>
              </w:rPr>
            </w:pPr>
            <w:r w:rsidRPr="00976BFF">
              <w:rPr>
                <w:rFonts w:ascii="Times New Roman" w:hAnsi="Times New Roman"/>
                <w:sz w:val="18"/>
                <w:szCs w:val="18"/>
                <w:lang w:val="es-ES_tradnl"/>
              </w:rPr>
              <w:t>Número de kilómetros de la red vial nacional mantenidos a través de contratos basados en el desempeño.</w:t>
            </w:r>
          </w:p>
        </w:tc>
        <w:tc>
          <w:tcPr>
            <w:tcW w:w="1097"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US$30 millones</w:t>
            </w: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25%</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Para cada año:</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31/12/2013</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31/12/2014</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31/12/2015</w:t>
            </w: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Cada año, debe haberse logrado el 50%, como mínimo, de los indicadores anuales de los objetivos.</w:t>
            </w: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 xml:space="preserve">Indicadores anuales de los objetivos: </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T</w:t>
            </w:r>
            <w:r w:rsidRPr="00976BFF">
              <w:rPr>
                <w:rFonts w:ascii="Times New Roman" w:hAnsi="Times New Roman"/>
                <w:sz w:val="18"/>
                <w:szCs w:val="18"/>
                <w:vertAlign w:val="subscript"/>
                <w:lang w:val="es-ES_tradnl"/>
              </w:rPr>
              <w:t>1</w:t>
            </w:r>
            <w:r w:rsidRPr="00976BFF">
              <w:rPr>
                <w:rFonts w:ascii="Times New Roman" w:hAnsi="Times New Roman"/>
                <w:sz w:val="18"/>
                <w:szCs w:val="18"/>
                <w:lang w:val="es-ES_tradnl"/>
              </w:rPr>
              <w:t>=3200</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T</w:t>
            </w:r>
            <w:r w:rsidRPr="00976BFF">
              <w:rPr>
                <w:rFonts w:ascii="Times New Roman" w:hAnsi="Times New Roman"/>
                <w:sz w:val="18"/>
                <w:szCs w:val="18"/>
                <w:vertAlign w:val="subscript"/>
                <w:lang w:val="es-ES_tradnl"/>
              </w:rPr>
              <w:t>2</w:t>
            </w:r>
            <w:r w:rsidRPr="00976BFF">
              <w:rPr>
                <w:rFonts w:ascii="Times New Roman" w:hAnsi="Times New Roman"/>
                <w:sz w:val="18"/>
                <w:szCs w:val="18"/>
                <w:lang w:val="es-ES_tradnl"/>
              </w:rPr>
              <w:t>=3250</w:t>
            </w:r>
          </w:p>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T</w:t>
            </w:r>
            <w:r w:rsidRPr="00976BFF">
              <w:rPr>
                <w:rFonts w:ascii="Times New Roman" w:hAnsi="Times New Roman"/>
                <w:sz w:val="18"/>
                <w:szCs w:val="18"/>
                <w:vertAlign w:val="subscript"/>
                <w:lang w:val="es-ES_tradnl"/>
              </w:rPr>
              <w:t>3</w:t>
            </w:r>
            <w:r w:rsidRPr="00976BFF">
              <w:rPr>
                <w:rFonts w:ascii="Times New Roman" w:hAnsi="Times New Roman"/>
                <w:sz w:val="18"/>
                <w:szCs w:val="18"/>
                <w:lang w:val="es-ES_tradnl"/>
              </w:rPr>
              <w:t>=3300</w:t>
            </w:r>
          </w:p>
          <w:p w:rsidR="00BD130B" w:rsidRPr="00976BFF" w:rsidRDefault="00BD130B" w:rsidP="00835AB6">
            <w:pPr>
              <w:spacing w:after="0" w:line="240" w:lineRule="auto"/>
              <w:jc w:val="center"/>
              <w:rPr>
                <w:rFonts w:ascii="Times New Roman" w:hAnsi="Times New Roman"/>
                <w:sz w:val="18"/>
                <w:szCs w:val="18"/>
                <w:lang w:val="es-ES_tradnl"/>
              </w:rPr>
            </w:pP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Para cada período de evaluación i:</w:t>
            </w:r>
          </w:p>
          <w:p w:rsidR="00BD130B" w:rsidRPr="00976BFF" w:rsidRDefault="00BD130B" w:rsidP="00835AB6">
            <w:pPr>
              <w:spacing w:after="0" w:line="240" w:lineRule="auto"/>
              <w:jc w:val="center"/>
              <w:rPr>
                <w:rFonts w:ascii="Times New Roman" w:hAnsi="Times New Roman"/>
                <w:sz w:val="18"/>
                <w:szCs w:val="18"/>
                <w:lang w:val="es-ES_tradnl"/>
              </w:rPr>
            </w:pPr>
          </w:p>
          <w:p w:rsidR="00BD130B" w:rsidRPr="00976BFF" w:rsidRDefault="00BD130B" w:rsidP="00835AB6">
            <w:pPr>
              <w:spacing w:after="0" w:line="240" w:lineRule="auto"/>
              <w:jc w:val="center"/>
              <w:rPr>
                <w:rFonts w:ascii="Times New Roman" w:hAnsi="Times New Roman"/>
                <w:sz w:val="18"/>
                <w:szCs w:val="18"/>
                <w:lang w:val="es-ES_tradnl"/>
              </w:rPr>
            </w:pPr>
          </w:p>
          <w:p w:rsidR="00BD130B" w:rsidRPr="00976BFF" w:rsidRDefault="00BD130B" w:rsidP="00835AB6">
            <w:pPr>
              <w:spacing w:after="0" w:line="240" w:lineRule="auto"/>
              <w:jc w:val="center"/>
              <w:rPr>
                <w:rFonts w:ascii="Times New Roman" w:hAnsi="Times New Roman"/>
                <w:sz w:val="18"/>
                <w:szCs w:val="18"/>
                <w:lang w:val="es-ES_tradnl"/>
              </w:rPr>
            </w:pPr>
            <m:oMathPara>
              <m:oMath>
                <m:r>
                  <w:rPr>
                    <w:rFonts w:ascii="Cambria Math" w:eastAsia="Times New Roman" w:hAnsi="Cambria Math"/>
                    <w:sz w:val="18"/>
                    <w:szCs w:val="18"/>
                    <w:lang w:val="es-ES_tradnl"/>
                  </w:rPr>
                  <m:t>di</m:t>
                </m:r>
                <m:r>
                  <w:rPr>
                    <w:rFonts w:ascii="Cambria Math" w:hAnsi="Cambria Math"/>
                    <w:sz w:val="18"/>
                    <w:szCs w:val="18"/>
                    <w:lang w:val="es-ES_tradnl"/>
                  </w:rPr>
                  <m:t>=</m:t>
                </m:r>
                <m:r>
                  <m:rPr>
                    <m:sty m:val="p"/>
                  </m:rPr>
                  <w:rPr>
                    <w:rFonts w:ascii="Cambria Math" w:hAnsi="Cambria Math"/>
                    <w:sz w:val="18"/>
                    <w:szCs w:val="18"/>
                    <w:lang w:val="es-ES_tradnl"/>
                  </w:rPr>
                  <m:t>min</m:t>
                </m:r>
                <m:r>
                  <m:rPr>
                    <m:sty m:val="p"/>
                  </m:rPr>
                  <w:rPr>
                    <w:rFonts w:ascii="Monaco" w:hAnsi="Monaco" w:cs="Monaco"/>
                    <w:sz w:val="18"/>
                    <w:szCs w:val="18"/>
                    <w:lang w:val="es-ES_tradnl"/>
                  </w:rPr>
                  <m:t>⁡</m:t>
                </m:r>
                <m:r>
                  <w:rPr>
                    <w:rFonts w:ascii="Cambria Math" w:hAnsi="Cambria Math"/>
                    <w:sz w:val="18"/>
                    <w:szCs w:val="18"/>
                    <w:lang w:val="es-ES_tradnl"/>
                  </w:rPr>
                  <m:t>{</m:t>
                </m:r>
                <m:f>
                  <m:fPr>
                    <m:ctrlPr>
                      <w:rPr>
                        <w:rFonts w:ascii="Cambria Math" w:hAnsi="Cambria Math"/>
                        <w:i/>
                        <w:sz w:val="18"/>
                        <w:szCs w:val="18"/>
                        <w:lang w:val="es-ES_tradnl"/>
                      </w:rPr>
                    </m:ctrlPr>
                  </m:fPr>
                  <m:num>
                    <m:r>
                      <w:rPr>
                        <w:rFonts w:ascii="Cambria Math" w:hAnsi="Cambria Math"/>
                        <w:sz w:val="18"/>
                        <w:szCs w:val="18"/>
                        <w:lang w:val="es-ES_tradnl"/>
                      </w:rPr>
                      <m:t>ti</m:t>
                    </m:r>
                  </m:num>
                  <m:den>
                    <m:r>
                      <w:rPr>
                        <w:rFonts w:ascii="Cambria Math" w:hAnsi="Cambria Math"/>
                        <w:sz w:val="18"/>
                        <w:szCs w:val="18"/>
                        <w:lang w:val="es-ES_tradnl"/>
                      </w:rPr>
                      <m:t>Ti</m:t>
                    </m:r>
                  </m:den>
                </m:f>
                <m:r>
                  <w:rPr>
                    <w:rFonts w:ascii="Cambria Math" w:hAnsi="Cambria Math"/>
                    <w:sz w:val="18"/>
                    <w:szCs w:val="18"/>
                    <w:lang w:val="es-ES_tradnl"/>
                  </w:rPr>
                  <m:t>×Di, Di}</m:t>
                </m:r>
              </m:oMath>
            </m:oMathPara>
          </w:p>
          <w:p w:rsidR="00BD130B" w:rsidRPr="00976BFF" w:rsidRDefault="00BD130B" w:rsidP="00835AB6">
            <w:pPr>
              <w:spacing w:after="0" w:line="240" w:lineRule="auto"/>
              <w:jc w:val="center"/>
              <w:rPr>
                <w:rFonts w:ascii="Times New Roman" w:hAnsi="Times New Roman"/>
                <w:sz w:val="18"/>
                <w:szCs w:val="18"/>
                <w:lang w:val="es-ES_tradnl"/>
              </w:rPr>
            </w:pPr>
          </w:p>
          <w:p w:rsidR="00BD130B" w:rsidRPr="00976BFF" w:rsidRDefault="00D577EC"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w:t>
            </w:r>
            <w:r>
              <w:rPr>
                <w:rFonts w:ascii="Times New Roman" w:hAnsi="Times New Roman"/>
                <w:sz w:val="18"/>
                <w:szCs w:val="18"/>
                <w:lang w:val="es-ES_tradnl"/>
              </w:rPr>
              <w:t>o</w:t>
            </w:r>
            <w:r w:rsidRPr="00976BFF">
              <w:rPr>
                <w:rFonts w:ascii="Times New Roman" w:hAnsi="Times New Roman"/>
                <w:sz w:val="18"/>
                <w:szCs w:val="18"/>
                <w:lang w:val="es-ES_tradnl"/>
              </w:rPr>
              <w:t>nde</w:t>
            </w:r>
            <w:r w:rsidR="00BD130B" w:rsidRPr="00976BFF">
              <w:rPr>
                <w:rFonts w:ascii="Times New Roman" w:hAnsi="Times New Roman"/>
                <w:sz w:val="18"/>
                <w:szCs w:val="18"/>
                <w:lang w:val="es-ES_tradnl"/>
              </w:rPr>
              <w:t>:</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di: desembolso real para el período i</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 xml:space="preserve">Di: desembolso para el período I, según se especifica en la </w:t>
            </w:r>
            <w:r w:rsidR="009742AC">
              <w:rPr>
                <w:rFonts w:ascii="Times New Roman" w:hAnsi="Times New Roman"/>
                <w:sz w:val="18"/>
                <w:szCs w:val="18"/>
                <w:lang w:val="es-ES_tradnl"/>
              </w:rPr>
              <w:t>m</w:t>
            </w:r>
            <w:r w:rsidR="009742AC" w:rsidRPr="00976BFF">
              <w:rPr>
                <w:rFonts w:ascii="Times New Roman" w:hAnsi="Times New Roman"/>
                <w:sz w:val="18"/>
                <w:szCs w:val="18"/>
                <w:lang w:val="es-ES_tradnl"/>
              </w:rPr>
              <w:t xml:space="preserve">atriz </w:t>
            </w:r>
            <w:r w:rsidRPr="00976BFF">
              <w:rPr>
                <w:rFonts w:ascii="Times New Roman" w:hAnsi="Times New Roman"/>
                <w:sz w:val="18"/>
                <w:szCs w:val="18"/>
                <w:lang w:val="es-ES_tradnl"/>
              </w:rPr>
              <w:t xml:space="preserve">de IVD </w:t>
            </w:r>
            <w:r w:rsidRPr="00976BFF">
              <w:rPr>
                <w:rFonts w:ascii="Times New Roman" w:hAnsi="Times New Roman"/>
                <w:i/>
                <w:sz w:val="18"/>
                <w:szCs w:val="18"/>
                <w:lang w:val="es-ES_tradnl"/>
              </w:rPr>
              <w:t>supra</w:t>
            </w:r>
            <w:r w:rsidRPr="00976BFF">
              <w:rPr>
                <w:rFonts w:ascii="Times New Roman" w:hAnsi="Times New Roman"/>
                <w:sz w:val="18"/>
                <w:szCs w:val="18"/>
                <w:lang w:val="es-ES_tradnl"/>
              </w:rPr>
              <w:t>.</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ti: valor real alcanzado por el indicador para el período i</w:t>
            </w:r>
          </w:p>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Ti: valor del indicador de los objetivos para el período i</w:t>
            </w:r>
          </w:p>
        </w:tc>
      </w:tr>
      <w:tr w:rsidR="00BD130B" w:rsidRPr="00976BFF">
        <w:trPr>
          <w:trHeight w:val="530"/>
        </w:trPr>
        <w:tc>
          <w:tcPr>
            <w:tcW w:w="639" w:type="dxa"/>
            <w:vMerge w:val="restart"/>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3</w:t>
            </w:r>
          </w:p>
        </w:tc>
        <w:tc>
          <w:tcPr>
            <w:tcW w:w="161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bCs/>
                <w:sz w:val="18"/>
                <w:szCs w:val="18"/>
                <w:lang w:val="es-ES_tradnl"/>
              </w:rPr>
              <w:t>Actividades de fortalecimiento institucional:</w:t>
            </w:r>
          </w:p>
        </w:tc>
        <w:tc>
          <w:tcPr>
            <w:tcW w:w="1097" w:type="dxa"/>
          </w:tcPr>
          <w:p w:rsidR="00BD130B" w:rsidRPr="00976BFF" w:rsidRDefault="00BD130B" w:rsidP="00835AB6">
            <w:pPr>
              <w:spacing w:after="0" w:line="240" w:lineRule="auto"/>
              <w:jc w:val="center"/>
              <w:rPr>
                <w:rFonts w:ascii="Times New Roman" w:hAnsi="Times New Roman"/>
                <w:sz w:val="18"/>
                <w:szCs w:val="18"/>
                <w:lang w:val="es-ES_tradnl"/>
              </w:rPr>
            </w:pP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p>
        </w:tc>
      </w:tr>
      <w:tr w:rsidR="00BD130B" w:rsidRPr="00377DAB">
        <w:trPr>
          <w:trHeight w:val="530"/>
        </w:trPr>
        <w:tc>
          <w:tcPr>
            <w:tcW w:w="639" w:type="dxa"/>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1618" w:type="dxa"/>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3-1. Se ha aprobado el plan multimodal para accesos terrestres al puerto de Montevideo.</w:t>
            </w:r>
          </w:p>
        </w:tc>
        <w:tc>
          <w:tcPr>
            <w:tcW w:w="1097"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US$2,5 millones</w:t>
            </w: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12/2014</w:t>
            </w: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Desembolso del 100% una vez que el Banco verifique el logro del RVD.</w:t>
            </w:r>
          </w:p>
        </w:tc>
      </w:tr>
      <w:tr w:rsidR="00BD130B" w:rsidRPr="00377DAB">
        <w:trPr>
          <w:trHeight w:val="530"/>
        </w:trPr>
        <w:tc>
          <w:tcPr>
            <w:tcW w:w="639" w:type="dxa"/>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1618" w:type="dxa"/>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3-2. Se ha aprobado el catálogo de soluciones optimizadas de rehabilitación de pavimentos.</w:t>
            </w:r>
          </w:p>
        </w:tc>
        <w:tc>
          <w:tcPr>
            <w:tcW w:w="1097" w:type="dxa"/>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US$2,5 millones</w:t>
            </w: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12/2013</w:t>
            </w: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Desembolso del 100% una vez que el Banco verifique el logro del RVD.</w:t>
            </w:r>
          </w:p>
        </w:tc>
      </w:tr>
      <w:tr w:rsidR="00BD130B" w:rsidRPr="00377DAB">
        <w:trPr>
          <w:trHeight w:val="530"/>
        </w:trPr>
        <w:tc>
          <w:tcPr>
            <w:tcW w:w="639" w:type="dxa"/>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1618" w:type="dxa"/>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3-3. Se ha actualizado el manual ambiental de la DNV y se ha capacitado por lo menos al 75% de su personal técnico con responsabilidades relativas a la supervisión de obras, de conformidad con términos de referencia aceptables para el Banco. La capacitación incluye, además, la descripción de las características del manual ambiental actualizado.</w:t>
            </w:r>
          </w:p>
        </w:tc>
        <w:tc>
          <w:tcPr>
            <w:tcW w:w="1097" w:type="dxa"/>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US$2,5 millones</w:t>
            </w: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12/2014</w:t>
            </w: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Desembolso del 100% una vez que el Banco verifique el logro del RVD.</w:t>
            </w:r>
          </w:p>
        </w:tc>
      </w:tr>
      <w:tr w:rsidR="00BD130B" w:rsidRPr="00377DAB">
        <w:trPr>
          <w:trHeight w:val="530"/>
        </w:trPr>
        <w:tc>
          <w:tcPr>
            <w:tcW w:w="639" w:type="dxa"/>
            <w:vMerge/>
          </w:tcPr>
          <w:p w:rsidR="00BD130B" w:rsidRPr="00976BFF" w:rsidRDefault="00BD130B" w:rsidP="00835AB6">
            <w:pPr>
              <w:spacing w:after="0" w:line="240" w:lineRule="auto"/>
              <w:jc w:val="center"/>
              <w:rPr>
                <w:rFonts w:ascii="Times New Roman" w:hAnsi="Times New Roman"/>
                <w:sz w:val="18"/>
                <w:szCs w:val="18"/>
                <w:lang w:val="es-ES_tradnl"/>
              </w:rPr>
            </w:pPr>
          </w:p>
        </w:tc>
        <w:tc>
          <w:tcPr>
            <w:tcW w:w="1618" w:type="dxa"/>
          </w:tcPr>
          <w:p w:rsidR="00BD130B" w:rsidRPr="00976BFF" w:rsidRDefault="00BD130B" w:rsidP="00835AB6">
            <w:pPr>
              <w:spacing w:after="0" w:line="240" w:lineRule="auto"/>
              <w:rPr>
                <w:rFonts w:ascii="Times New Roman" w:hAnsi="Times New Roman"/>
                <w:sz w:val="18"/>
                <w:szCs w:val="18"/>
                <w:lang w:val="es-ES_tradnl"/>
              </w:rPr>
            </w:pPr>
            <w:r w:rsidRPr="00976BFF">
              <w:rPr>
                <w:rFonts w:ascii="Times New Roman" w:hAnsi="Times New Roman"/>
                <w:sz w:val="18"/>
                <w:szCs w:val="18"/>
                <w:lang w:val="es-ES_tradnl"/>
              </w:rPr>
              <w:t>RVD 3-4. Se han aprobado las directrices sobre expropiación y gestión social, y se ha organizado un taller internacional sobre prácticas óptimas de gestión social de obras viales.</w:t>
            </w:r>
          </w:p>
        </w:tc>
        <w:tc>
          <w:tcPr>
            <w:tcW w:w="1097" w:type="dxa"/>
          </w:tcPr>
          <w:p w:rsidR="00BD130B" w:rsidRPr="00976BFF" w:rsidRDefault="00BD130B" w:rsidP="00835AB6">
            <w:pPr>
              <w:spacing w:after="0" w:line="240" w:lineRule="auto"/>
              <w:rPr>
                <w:lang w:val="es-ES_tradnl"/>
              </w:rPr>
            </w:pPr>
            <w:r w:rsidRPr="00976BFF">
              <w:rPr>
                <w:rFonts w:ascii="Times New Roman" w:hAnsi="Times New Roman"/>
                <w:sz w:val="18"/>
                <w:szCs w:val="18"/>
                <w:lang w:val="es-ES_tradnl"/>
              </w:rPr>
              <w:t>US$2,5 millones</w:t>
            </w:r>
          </w:p>
        </w:tc>
        <w:tc>
          <w:tcPr>
            <w:tcW w:w="1088"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084"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w:t>
            </w:r>
          </w:p>
        </w:tc>
        <w:tc>
          <w:tcPr>
            <w:tcW w:w="146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12/2014</w:t>
            </w:r>
          </w:p>
        </w:tc>
        <w:tc>
          <w:tcPr>
            <w:tcW w:w="182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1670"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n.c.</w:t>
            </w:r>
          </w:p>
        </w:tc>
        <w:tc>
          <w:tcPr>
            <w:tcW w:w="3041" w:type="dxa"/>
          </w:tcPr>
          <w:p w:rsidR="00BD130B" w:rsidRPr="00976BFF" w:rsidRDefault="00BD130B" w:rsidP="00835AB6">
            <w:pPr>
              <w:spacing w:after="0" w:line="240" w:lineRule="auto"/>
              <w:jc w:val="center"/>
              <w:rPr>
                <w:rFonts w:ascii="Times New Roman" w:hAnsi="Times New Roman"/>
                <w:sz w:val="18"/>
                <w:szCs w:val="18"/>
                <w:lang w:val="es-ES_tradnl"/>
              </w:rPr>
            </w:pPr>
            <w:r w:rsidRPr="00976BFF">
              <w:rPr>
                <w:rFonts w:ascii="Times New Roman" w:hAnsi="Times New Roman"/>
                <w:sz w:val="18"/>
                <w:szCs w:val="18"/>
                <w:lang w:val="es-ES_tradnl"/>
              </w:rPr>
              <w:t>Desembolso del 100% una vez que el Banco verifique el logro del RVD.</w:t>
            </w:r>
          </w:p>
        </w:tc>
      </w:tr>
    </w:tbl>
    <w:p w:rsidR="00BD130B" w:rsidRPr="00976BFF" w:rsidRDefault="00BD130B" w:rsidP="00BD130B">
      <w:pPr>
        <w:spacing w:after="0" w:line="240" w:lineRule="auto"/>
        <w:jc w:val="center"/>
        <w:rPr>
          <w:rFonts w:ascii="Times New Roman" w:hAnsi="Times New Roman"/>
          <w:b/>
          <w:lang w:val="es-ES_tradnl"/>
        </w:rPr>
      </w:pPr>
    </w:p>
    <w:p w:rsidR="00BD130B" w:rsidRPr="00976BFF" w:rsidRDefault="00BD130B" w:rsidP="00BD130B">
      <w:pPr>
        <w:spacing w:after="0" w:line="240" w:lineRule="auto"/>
        <w:rPr>
          <w:rFonts w:ascii="Times New Roman" w:hAnsi="Times New Roman"/>
          <w:sz w:val="20"/>
          <w:szCs w:val="20"/>
          <w:lang w:val="es-ES_tradnl"/>
        </w:rPr>
      </w:pPr>
      <w:r w:rsidRPr="000B5989">
        <w:rPr>
          <w:rFonts w:ascii="Times New Roman" w:hAnsi="Times New Roman"/>
          <w:i/>
          <w:sz w:val="20"/>
          <w:szCs w:val="20"/>
          <w:lang w:val="es-ES_tradnl"/>
        </w:rPr>
        <w:t>Nota:</w:t>
      </w:r>
      <w:r w:rsidRPr="00976BFF">
        <w:rPr>
          <w:rFonts w:ascii="Times New Roman" w:hAnsi="Times New Roman"/>
          <w:sz w:val="20"/>
          <w:szCs w:val="20"/>
          <w:lang w:val="es-ES_tradnl"/>
        </w:rPr>
        <w:t xml:space="preserve"> RVD = Resultado vinculado </w:t>
      </w:r>
      <w:r w:rsidR="00E57E6E">
        <w:rPr>
          <w:rFonts w:ascii="Times New Roman" w:hAnsi="Times New Roman"/>
          <w:sz w:val="20"/>
          <w:szCs w:val="20"/>
          <w:lang w:val="es-ES_tradnl"/>
        </w:rPr>
        <w:t xml:space="preserve">con </w:t>
      </w:r>
      <w:r w:rsidR="00C915B4">
        <w:rPr>
          <w:rFonts w:ascii="Times New Roman" w:hAnsi="Times New Roman"/>
          <w:sz w:val="20"/>
          <w:szCs w:val="20"/>
          <w:lang w:val="es-ES_tradnl"/>
        </w:rPr>
        <w:t>los</w:t>
      </w:r>
      <w:r w:rsidR="00E57E6E" w:rsidRPr="00976BFF">
        <w:rPr>
          <w:rFonts w:ascii="Times New Roman" w:hAnsi="Times New Roman"/>
          <w:sz w:val="20"/>
          <w:szCs w:val="20"/>
          <w:lang w:val="es-ES_tradnl"/>
        </w:rPr>
        <w:t xml:space="preserve"> </w:t>
      </w:r>
      <w:r w:rsidRPr="00976BFF">
        <w:rPr>
          <w:rFonts w:ascii="Times New Roman" w:hAnsi="Times New Roman"/>
          <w:sz w:val="20"/>
          <w:szCs w:val="20"/>
          <w:lang w:val="es-ES_tradnl"/>
        </w:rPr>
        <w:t>desembolso</w:t>
      </w:r>
      <w:r w:rsidR="00C915B4">
        <w:rPr>
          <w:rFonts w:ascii="Times New Roman" w:hAnsi="Times New Roman"/>
          <w:sz w:val="20"/>
          <w:szCs w:val="20"/>
          <w:lang w:val="es-ES_tradnl"/>
        </w:rPr>
        <w:t>s</w:t>
      </w:r>
      <w:r w:rsidRPr="00976BFF">
        <w:rPr>
          <w:rFonts w:ascii="Times New Roman" w:hAnsi="Times New Roman"/>
          <w:sz w:val="20"/>
          <w:szCs w:val="20"/>
          <w:lang w:val="es-ES_tradnl"/>
        </w:rPr>
        <w:t>.</w:t>
      </w:r>
    </w:p>
    <w:p w:rsidR="007E1670" w:rsidRPr="00976BFF" w:rsidRDefault="007E1670" w:rsidP="00CF260B">
      <w:pPr>
        <w:spacing w:after="0" w:line="240" w:lineRule="auto"/>
        <w:jc w:val="center"/>
        <w:rPr>
          <w:rFonts w:ascii="Times New Roman" w:hAnsi="Times New Roman" w:cs="Times New Roman"/>
          <w:b/>
          <w:lang w:val="es-ES_tradnl"/>
        </w:rPr>
      </w:pPr>
    </w:p>
    <w:p w:rsidR="007E1670" w:rsidRPr="00976BFF" w:rsidRDefault="007E1670" w:rsidP="00CF260B">
      <w:pPr>
        <w:spacing w:after="0" w:line="240" w:lineRule="auto"/>
        <w:jc w:val="center"/>
        <w:rPr>
          <w:rFonts w:ascii="Times New Roman" w:hAnsi="Times New Roman" w:cs="Times New Roman"/>
          <w:b/>
          <w:lang w:val="es-ES_tradnl"/>
        </w:rPr>
      </w:pPr>
    </w:p>
    <w:p w:rsidR="007E1670" w:rsidRPr="00976BFF" w:rsidRDefault="007E1670" w:rsidP="00CF260B">
      <w:pPr>
        <w:spacing w:after="0" w:line="240" w:lineRule="auto"/>
        <w:jc w:val="center"/>
        <w:rPr>
          <w:rFonts w:ascii="Times New Roman" w:hAnsi="Times New Roman" w:cs="Times New Roman"/>
          <w:b/>
          <w:lang w:val="es-ES_tradnl"/>
        </w:rPr>
      </w:pPr>
    </w:p>
    <w:p w:rsidR="00A41276" w:rsidRPr="00976BFF" w:rsidRDefault="00A41276">
      <w:pPr>
        <w:rPr>
          <w:rFonts w:ascii="Times New Roman" w:hAnsi="Times New Roman" w:cs="Times New Roman"/>
          <w:b/>
          <w:lang w:val="es-ES_tradnl"/>
        </w:rPr>
        <w:sectPr w:rsidR="00A41276" w:rsidRPr="00976BFF" w:rsidSect="00746A45">
          <w:pgSz w:w="15840" w:h="12240" w:orient="landscape"/>
          <w:pgMar w:top="1170" w:right="1440" w:bottom="1440" w:left="1440" w:header="720" w:footer="720" w:gutter="0"/>
          <w:cols w:space="720"/>
          <w:titlePg/>
          <w:docGrid w:linePitch="360"/>
        </w:sectPr>
      </w:pPr>
    </w:p>
    <w:p w:rsidR="00AE45E6" w:rsidRPr="00976BFF" w:rsidRDefault="001D2940" w:rsidP="00B034C5">
      <w:pPr>
        <w:pStyle w:val="Heading1"/>
        <w:numPr>
          <w:ilvl w:val="0"/>
          <w:numId w:val="0"/>
        </w:numPr>
        <w:rPr>
          <w:lang w:val="es-ES_tradnl"/>
        </w:rPr>
      </w:pPr>
      <w:bookmarkStart w:id="45" w:name="_Toc344927178"/>
      <w:r w:rsidRPr="00976BFF">
        <w:rPr>
          <w:lang w:val="es-ES_tradnl"/>
        </w:rPr>
        <w:t>Anex</w:t>
      </w:r>
      <w:r w:rsidR="005036D2" w:rsidRPr="00976BFF">
        <w:rPr>
          <w:lang w:val="es-ES_tradnl"/>
        </w:rPr>
        <w:t>o</w:t>
      </w:r>
      <w:r w:rsidRPr="00976BFF">
        <w:rPr>
          <w:lang w:val="es-ES_tradnl"/>
        </w:rPr>
        <w:t xml:space="preserve"> </w:t>
      </w:r>
      <w:r w:rsidR="009D1C20" w:rsidRPr="00976BFF">
        <w:rPr>
          <w:lang w:val="es-ES_tradnl"/>
        </w:rPr>
        <w:t>4</w:t>
      </w:r>
      <w:r w:rsidR="005036D2" w:rsidRPr="00976BFF">
        <w:rPr>
          <w:lang w:val="es-ES_tradnl"/>
        </w:rPr>
        <w:t>.</w:t>
      </w:r>
      <w:r w:rsidR="001C47AE">
        <w:rPr>
          <w:lang w:val="es-ES_tradnl"/>
        </w:rPr>
        <w:t xml:space="preserve"> </w:t>
      </w:r>
      <w:r w:rsidR="0030235A">
        <w:rPr>
          <w:lang w:val="es-ES_tradnl"/>
        </w:rPr>
        <w:t xml:space="preserve">Resumen de la </w:t>
      </w:r>
      <w:r w:rsidR="003824A7">
        <w:rPr>
          <w:lang w:val="es-ES_tradnl"/>
        </w:rPr>
        <w:t>e</w:t>
      </w:r>
      <w:r w:rsidR="003824A7" w:rsidRPr="00976BFF">
        <w:rPr>
          <w:lang w:val="es-ES_tradnl"/>
        </w:rPr>
        <w:t xml:space="preserve">valuación </w:t>
      </w:r>
      <w:bookmarkEnd w:id="45"/>
      <w:r w:rsidR="003824A7">
        <w:rPr>
          <w:lang w:val="es-ES_tradnl"/>
        </w:rPr>
        <w:t>t</w:t>
      </w:r>
      <w:r w:rsidR="003824A7" w:rsidRPr="00976BFF">
        <w:rPr>
          <w:lang w:val="es-ES_tradnl"/>
        </w:rPr>
        <w:t>écnica</w:t>
      </w:r>
    </w:p>
    <w:p w:rsidR="00AE45E6" w:rsidRPr="00976BFF" w:rsidRDefault="00AE45E6" w:rsidP="004E4895">
      <w:pPr>
        <w:pStyle w:val="NoSpacing"/>
        <w:ind w:left="360"/>
        <w:rPr>
          <w:rFonts w:ascii="Times New Roman" w:hAnsi="Times New Roman" w:cs="Times New Roman"/>
          <w:lang w:val="es-ES_tradnl"/>
        </w:rPr>
      </w:pPr>
    </w:p>
    <w:p w:rsidR="003D6DF4" w:rsidRPr="00976BFF" w:rsidRDefault="003D6DF4" w:rsidP="004E4895">
      <w:pPr>
        <w:pStyle w:val="NoSpacing"/>
        <w:ind w:left="360"/>
        <w:rPr>
          <w:rFonts w:ascii="Times New Roman" w:hAnsi="Times New Roman" w:cs="Times New Roman"/>
          <w:lang w:val="es-ES_tradnl"/>
        </w:rPr>
      </w:pPr>
    </w:p>
    <w:p w:rsidR="00897FF7" w:rsidRPr="00976BFF" w:rsidRDefault="00F42C21" w:rsidP="00EB3076">
      <w:pPr>
        <w:pStyle w:val="Annexmain"/>
        <w:numPr>
          <w:ilvl w:val="0"/>
          <w:numId w:val="42"/>
        </w:numPr>
        <w:ind w:firstLine="0"/>
        <w:rPr>
          <w:lang w:val="es-ES_tradnl"/>
        </w:rPr>
      </w:pPr>
      <w:r w:rsidRPr="00976BFF">
        <w:rPr>
          <w:lang w:val="es-ES_tradnl"/>
        </w:rPr>
        <w:t xml:space="preserve">Este anexo se basa en la evaluación técnica del </w:t>
      </w:r>
      <w:r w:rsidR="008A1019">
        <w:rPr>
          <w:lang w:val="es-ES_tradnl"/>
        </w:rPr>
        <w:t>programa</w:t>
      </w:r>
      <w:r w:rsidRPr="00976BFF">
        <w:rPr>
          <w:lang w:val="es-ES_tradnl"/>
        </w:rPr>
        <w:t xml:space="preserve"> y abarca: 1) </w:t>
      </w:r>
      <w:r w:rsidR="00BC4A81" w:rsidRPr="00976BFF">
        <w:rPr>
          <w:lang w:val="es-ES_tradnl"/>
        </w:rPr>
        <w:t xml:space="preserve">la pertinencia estratégica y la solidez técnica del </w:t>
      </w:r>
      <w:r w:rsidR="008A1019">
        <w:rPr>
          <w:lang w:val="es-ES_tradnl"/>
        </w:rPr>
        <w:t>programa</w:t>
      </w:r>
      <w:r w:rsidR="00BC4A81" w:rsidRPr="00976BFF">
        <w:rPr>
          <w:lang w:val="es-ES_tradnl"/>
        </w:rPr>
        <w:t xml:space="preserve">; 2) el marco de gastos del </w:t>
      </w:r>
      <w:r w:rsidR="008A1019">
        <w:rPr>
          <w:lang w:val="es-ES_tradnl"/>
        </w:rPr>
        <w:t>programa</w:t>
      </w:r>
      <w:r w:rsidR="00BC4A81" w:rsidRPr="00976BFF">
        <w:rPr>
          <w:lang w:val="es-ES_tradnl"/>
        </w:rPr>
        <w:t xml:space="preserve">; 3) los fundamentos económicos del </w:t>
      </w:r>
      <w:r w:rsidR="008A1019">
        <w:rPr>
          <w:lang w:val="es-ES_tradnl"/>
        </w:rPr>
        <w:t>programa</w:t>
      </w:r>
      <w:r w:rsidR="00BC4A81" w:rsidRPr="00976BFF">
        <w:rPr>
          <w:lang w:val="es-ES_tradnl"/>
        </w:rPr>
        <w:t xml:space="preserve">; 4) </w:t>
      </w:r>
      <w:r w:rsidR="00E67F1D" w:rsidRPr="00976BFF">
        <w:rPr>
          <w:lang w:val="es-ES_tradnl"/>
        </w:rPr>
        <w:t xml:space="preserve">la determinación de </w:t>
      </w:r>
      <w:r w:rsidR="00BC4A81" w:rsidRPr="00976BFF">
        <w:rPr>
          <w:lang w:val="es-ES_tradnl"/>
        </w:rPr>
        <w:t xml:space="preserve">la capacidad de seguimiento y evaluación; 5) la evaluación de los procesos técnicos del </w:t>
      </w:r>
      <w:r w:rsidR="008A1019">
        <w:rPr>
          <w:lang w:val="es-ES_tradnl"/>
        </w:rPr>
        <w:t>programa</w:t>
      </w:r>
      <w:r w:rsidR="00BC4A81" w:rsidRPr="00976BFF">
        <w:rPr>
          <w:lang w:val="es-ES_tradnl"/>
        </w:rPr>
        <w:t>; 6) la evaluación del desempeño y los riesgos</w:t>
      </w:r>
      <w:r w:rsidR="00E67F1D" w:rsidRPr="00976BFF">
        <w:rPr>
          <w:lang w:val="es-ES_tradnl"/>
        </w:rPr>
        <w:t xml:space="preserve"> del </w:t>
      </w:r>
      <w:r w:rsidR="008A1019">
        <w:rPr>
          <w:lang w:val="es-ES_tradnl"/>
        </w:rPr>
        <w:t>programa</w:t>
      </w:r>
      <w:r w:rsidR="00E67F1D" w:rsidRPr="00976BFF">
        <w:rPr>
          <w:lang w:val="es-ES_tradnl"/>
        </w:rPr>
        <w:t xml:space="preserve">; 7) el mejoramiento del desempeño de los sistemas técnicos del </w:t>
      </w:r>
      <w:r w:rsidR="008A1019">
        <w:rPr>
          <w:lang w:val="es-ES_tradnl"/>
        </w:rPr>
        <w:t>programa</w:t>
      </w:r>
      <w:r w:rsidR="00C41F5D" w:rsidRPr="00976BFF">
        <w:rPr>
          <w:lang w:val="es-ES_tradnl"/>
        </w:rPr>
        <w:t>.</w:t>
      </w:r>
    </w:p>
    <w:p w:rsidR="00A764A2" w:rsidRPr="00976BFF" w:rsidRDefault="00A764A2" w:rsidP="00EB3076">
      <w:pPr>
        <w:rPr>
          <w:lang w:val="es-ES_tradnl"/>
        </w:rPr>
      </w:pPr>
    </w:p>
    <w:p w:rsidR="003D6DF4" w:rsidRPr="00976BFF" w:rsidRDefault="003D6DF4" w:rsidP="00EB3076">
      <w:pPr>
        <w:pStyle w:val="Heading2"/>
        <w:numPr>
          <w:ilvl w:val="1"/>
          <w:numId w:val="9"/>
        </w:numPr>
        <w:ind w:firstLine="0"/>
        <w:rPr>
          <w:rFonts w:ascii="Times New Roman" w:hAnsi="Times New Roman"/>
          <w:b/>
          <w:sz w:val="22"/>
          <w:lang w:val="es-ES_tradnl"/>
        </w:rPr>
      </w:pPr>
      <w:bookmarkStart w:id="46" w:name="_Toc327540001"/>
      <w:bookmarkStart w:id="47" w:name="_Toc344927179"/>
      <w:r w:rsidRPr="00976BFF">
        <w:rPr>
          <w:rFonts w:ascii="Times New Roman" w:hAnsi="Times New Roman"/>
          <w:b/>
          <w:sz w:val="22"/>
          <w:lang w:val="es-ES_tradnl"/>
        </w:rPr>
        <w:t>P</w:t>
      </w:r>
      <w:r w:rsidR="00E67F1D" w:rsidRPr="00976BFF">
        <w:rPr>
          <w:rFonts w:ascii="Times New Roman" w:hAnsi="Times New Roman"/>
          <w:b/>
          <w:sz w:val="22"/>
          <w:lang w:val="es-ES_tradnl"/>
        </w:rPr>
        <w:t xml:space="preserve">ertinencia estratégica y solidez técnica del </w:t>
      </w:r>
      <w:bookmarkEnd w:id="46"/>
      <w:bookmarkEnd w:id="47"/>
      <w:r w:rsidR="008A1019">
        <w:rPr>
          <w:rFonts w:ascii="Times New Roman" w:hAnsi="Times New Roman"/>
          <w:b/>
          <w:sz w:val="22"/>
          <w:lang w:val="es-ES_tradnl"/>
        </w:rPr>
        <w:t>programa</w:t>
      </w:r>
    </w:p>
    <w:p w:rsidR="00A764A2" w:rsidRPr="00976BFF" w:rsidRDefault="00E67F1D" w:rsidP="00EB3076">
      <w:pPr>
        <w:pStyle w:val="Heading3"/>
        <w:rPr>
          <w:lang w:val="es-ES_tradnl"/>
        </w:rPr>
      </w:pPr>
      <w:bookmarkStart w:id="48" w:name="_Toc344927180"/>
      <w:r w:rsidRPr="00976BFF">
        <w:rPr>
          <w:lang w:val="es-ES_tradnl"/>
        </w:rPr>
        <w:t>Pertinencia estratégica</w:t>
      </w:r>
      <w:bookmarkEnd w:id="48"/>
    </w:p>
    <w:p w:rsidR="00A764A2" w:rsidRPr="00976BFF" w:rsidRDefault="00E67F1D" w:rsidP="00EB3076">
      <w:pPr>
        <w:pStyle w:val="Annexmain"/>
        <w:ind w:firstLine="0"/>
        <w:rPr>
          <w:lang w:val="es-ES_tradnl"/>
        </w:rPr>
      </w:pPr>
      <w:r w:rsidRPr="00976BFF">
        <w:rPr>
          <w:lang w:val="es-ES_tradnl"/>
        </w:rPr>
        <w:t xml:space="preserve">La pertinencia estratégica del </w:t>
      </w:r>
      <w:r w:rsidR="008A1019">
        <w:rPr>
          <w:lang w:val="es-ES_tradnl"/>
        </w:rPr>
        <w:t>programa</w:t>
      </w:r>
      <w:r w:rsidRPr="00976BFF">
        <w:rPr>
          <w:lang w:val="es-ES_tradnl"/>
        </w:rPr>
        <w:t xml:space="preserve"> se basa en los tres elementos que se mencionan a continuación: i) las obras de rehabilitación y mantenimiento de la red vial nacional de Uruguay son fundamentales para lograr que el transporte terrestre sea eficaz en función de los costos en un país que pretende convertirse en una plataforma logística en el </w:t>
      </w:r>
      <w:r w:rsidR="00C80044">
        <w:rPr>
          <w:lang w:val="es-ES_tradnl"/>
        </w:rPr>
        <w:t>C</w:t>
      </w:r>
      <w:r w:rsidR="00C80044" w:rsidRPr="00976BFF">
        <w:rPr>
          <w:lang w:val="es-ES_tradnl"/>
        </w:rPr>
        <w:t xml:space="preserve">ono </w:t>
      </w:r>
      <w:r w:rsidR="00C80044">
        <w:rPr>
          <w:lang w:val="es-ES_tradnl"/>
        </w:rPr>
        <w:t>S</w:t>
      </w:r>
      <w:r w:rsidR="00C80044" w:rsidRPr="00976BFF">
        <w:rPr>
          <w:lang w:val="es-ES_tradnl"/>
        </w:rPr>
        <w:t xml:space="preserve">ur </w:t>
      </w:r>
      <w:r w:rsidRPr="00976BFF">
        <w:rPr>
          <w:lang w:val="es-ES_tradnl"/>
        </w:rPr>
        <w:t xml:space="preserve">(según la estrategia para 2030 de Uruguay); ii) el MTOP, a través de la DNV, es la entidad responsable de mantener y desarrollar la red vial y la empresa </w:t>
      </w:r>
      <w:r w:rsidR="008A5523" w:rsidRPr="00976BFF">
        <w:rPr>
          <w:lang w:val="es-ES_tradnl"/>
        </w:rPr>
        <w:t>CVU</w:t>
      </w:r>
      <w:r w:rsidRPr="00976BFF">
        <w:rPr>
          <w:lang w:val="es-ES_tradnl"/>
        </w:rPr>
        <w:t xml:space="preserve"> tiene la responsabilidad de gestionar una parte </w:t>
      </w:r>
      <w:r w:rsidR="00DA00F2">
        <w:rPr>
          <w:lang w:val="es-ES_tradnl"/>
        </w:rPr>
        <w:t xml:space="preserve">importante </w:t>
      </w:r>
      <w:r w:rsidRPr="00976BFF">
        <w:rPr>
          <w:lang w:val="es-ES_tradnl"/>
        </w:rPr>
        <w:t xml:space="preserve">de la red vial </w:t>
      </w:r>
      <w:r w:rsidR="001E1C20">
        <w:rPr>
          <w:lang w:val="es-ES_tradnl"/>
        </w:rPr>
        <w:t xml:space="preserve">principal </w:t>
      </w:r>
      <w:r w:rsidRPr="00976BFF">
        <w:rPr>
          <w:lang w:val="es-ES_tradnl"/>
        </w:rPr>
        <w:t xml:space="preserve">del país, y c) pese a algunos retrasos en la inversión en mantenimiento vial, el </w:t>
      </w:r>
      <w:r w:rsidR="008A1019">
        <w:rPr>
          <w:lang w:val="es-ES_tradnl"/>
        </w:rPr>
        <w:t>programa</w:t>
      </w:r>
      <w:r w:rsidRPr="00976BFF">
        <w:rPr>
          <w:lang w:val="es-ES_tradnl"/>
        </w:rPr>
        <w:t xml:space="preserve"> está estructurado para abordar la cuestión eficazmente</w:t>
      </w:r>
      <w:r w:rsidR="003D6DF4" w:rsidRPr="00976BFF">
        <w:rPr>
          <w:lang w:val="es-ES_tradnl"/>
        </w:rPr>
        <w:t>.</w:t>
      </w:r>
    </w:p>
    <w:p w:rsidR="00A764A2" w:rsidRPr="00976BFF" w:rsidRDefault="001D76DA" w:rsidP="00EB3076">
      <w:pPr>
        <w:pStyle w:val="Annexmain"/>
        <w:ind w:firstLine="0"/>
        <w:rPr>
          <w:lang w:val="es-ES_tradnl"/>
        </w:rPr>
      </w:pPr>
      <w:r w:rsidRPr="00976BFF">
        <w:rPr>
          <w:lang w:val="es-ES_tradnl"/>
        </w:rPr>
        <w:t xml:space="preserve">En la estrategia para el Uruguay 2030 se establece como objetivo “la promoción del desarrollo económico sustentable y mejora de la eficiencia y competitividad del país” y en segundo término, “la consolidación de Uruguay como </w:t>
      </w:r>
      <w:r w:rsidR="009742AC">
        <w:rPr>
          <w:lang w:val="es-ES_tradnl"/>
        </w:rPr>
        <w:t>c</w:t>
      </w:r>
      <w:r w:rsidR="009742AC" w:rsidRPr="00976BFF">
        <w:rPr>
          <w:lang w:val="es-ES_tradnl"/>
        </w:rPr>
        <w:t xml:space="preserve">entro </w:t>
      </w:r>
      <w:r w:rsidRPr="00976BFF">
        <w:rPr>
          <w:lang w:val="es-ES_tradnl"/>
        </w:rPr>
        <w:t xml:space="preserve">de </w:t>
      </w:r>
      <w:r w:rsidR="009742AC">
        <w:rPr>
          <w:lang w:val="es-ES_tradnl"/>
        </w:rPr>
        <w:t>d</w:t>
      </w:r>
      <w:r w:rsidR="009742AC" w:rsidRPr="00976BFF">
        <w:rPr>
          <w:lang w:val="es-ES_tradnl"/>
        </w:rPr>
        <w:t xml:space="preserve">istribución </w:t>
      </w:r>
      <w:r w:rsidR="009742AC">
        <w:rPr>
          <w:lang w:val="es-ES_tradnl"/>
        </w:rPr>
        <w:t>g</w:t>
      </w:r>
      <w:r w:rsidR="009742AC" w:rsidRPr="00976BFF">
        <w:rPr>
          <w:lang w:val="es-ES_tradnl"/>
        </w:rPr>
        <w:t xml:space="preserve">lobal </w:t>
      </w:r>
      <w:r w:rsidRPr="00976BFF">
        <w:rPr>
          <w:lang w:val="es-ES_tradnl"/>
        </w:rPr>
        <w:t>y mejora de la competitividad de la logística de bienes, servicios y personas”. En este respecto, la calidad de la infraestructura vial es fundamental para mejorar los servicios de logística</w:t>
      </w:r>
      <w:r w:rsidR="003D6DF4" w:rsidRPr="00976BFF">
        <w:rPr>
          <w:lang w:val="es-ES_tradnl"/>
        </w:rPr>
        <w:t>.</w:t>
      </w:r>
    </w:p>
    <w:p w:rsidR="00A764A2" w:rsidRPr="00976BFF" w:rsidRDefault="008A5523" w:rsidP="00EB3076">
      <w:pPr>
        <w:pStyle w:val="Annexmain"/>
        <w:ind w:firstLine="0"/>
        <w:rPr>
          <w:lang w:val="es-ES_tradnl"/>
        </w:rPr>
      </w:pPr>
      <w:r w:rsidRPr="00976BFF">
        <w:rPr>
          <w:lang w:val="es-ES_tradnl"/>
        </w:rPr>
        <w:t xml:space="preserve">Las actividades incluidas en el </w:t>
      </w:r>
      <w:r w:rsidR="008A1019">
        <w:rPr>
          <w:lang w:val="es-ES_tradnl"/>
        </w:rPr>
        <w:t>programa</w:t>
      </w:r>
      <w:r w:rsidRPr="00976BFF">
        <w:rPr>
          <w:lang w:val="es-ES_tradnl"/>
        </w:rPr>
        <w:t xml:space="preserve"> </w:t>
      </w:r>
      <w:r w:rsidR="002E1A08" w:rsidRPr="00976BFF">
        <w:rPr>
          <w:lang w:val="es-ES_tradnl"/>
        </w:rPr>
        <w:t>forman parte de las</w:t>
      </w:r>
      <w:r w:rsidRPr="00976BFF">
        <w:rPr>
          <w:lang w:val="es-ES_tradnl"/>
        </w:rPr>
        <w:t xml:space="preserve"> misione</w:t>
      </w:r>
      <w:r w:rsidR="002E1A08" w:rsidRPr="00976BFF">
        <w:rPr>
          <w:lang w:val="es-ES_tradnl"/>
        </w:rPr>
        <w:t xml:space="preserve">s fundamentales del MTOP y CVU, </w:t>
      </w:r>
      <w:r w:rsidR="00607D12" w:rsidRPr="00976BFF">
        <w:rPr>
          <w:lang w:val="es-ES_tradnl"/>
        </w:rPr>
        <w:t xml:space="preserve">que se concentran en el mantenimiento y desarrollo de la red vial nacional. Por lo tanto, el </w:t>
      </w:r>
      <w:r w:rsidR="008A1019">
        <w:rPr>
          <w:lang w:val="es-ES_tradnl"/>
        </w:rPr>
        <w:t>programa</w:t>
      </w:r>
      <w:r w:rsidR="00607D12" w:rsidRPr="00976BFF">
        <w:rPr>
          <w:lang w:val="es-ES_tradnl"/>
        </w:rPr>
        <w:t xml:space="preserve"> es la continuación de actividades similares que se han llevado a cabo en el marco de la </w:t>
      </w:r>
      <w:r w:rsidR="00DA3503" w:rsidRPr="00976BFF">
        <w:rPr>
          <w:lang w:val="es-ES_tradnl"/>
        </w:rPr>
        <w:t>anterior Ley de Presupuesto. El mantenimiento y la rehabilitación son, por su naturaleza, actividades repetitivas que deben realizarse de forma rutinaria y con regularidad</w:t>
      </w:r>
      <w:r w:rsidR="003D6DF4" w:rsidRPr="00976BFF">
        <w:rPr>
          <w:lang w:val="es-ES_tradnl"/>
        </w:rPr>
        <w:t>.</w:t>
      </w:r>
    </w:p>
    <w:p w:rsidR="00A764A2" w:rsidRPr="00976BFF" w:rsidRDefault="00DA3503" w:rsidP="00EB3076">
      <w:pPr>
        <w:pStyle w:val="Heading3"/>
        <w:rPr>
          <w:lang w:val="es-ES_tradnl"/>
        </w:rPr>
      </w:pPr>
      <w:bookmarkStart w:id="49" w:name="_Toc344927181"/>
      <w:r w:rsidRPr="00976BFF">
        <w:rPr>
          <w:lang w:val="es-ES_tradnl"/>
        </w:rPr>
        <w:t>Solidez técnica</w:t>
      </w:r>
      <w:bookmarkEnd w:id="49"/>
    </w:p>
    <w:p w:rsidR="00A764A2" w:rsidRPr="00976BFF" w:rsidRDefault="00210BB6" w:rsidP="00EB3076">
      <w:pPr>
        <w:pStyle w:val="Annexmain"/>
        <w:ind w:firstLine="0"/>
        <w:rPr>
          <w:lang w:val="es-ES_tradnl"/>
        </w:rPr>
      </w:pPr>
      <w:r w:rsidRPr="00976BFF">
        <w:rPr>
          <w:lang w:val="es-ES_tradnl"/>
        </w:rPr>
        <w:t xml:space="preserve">Las actividades del </w:t>
      </w:r>
      <w:r w:rsidR="008A1019">
        <w:rPr>
          <w:lang w:val="es-ES_tradnl"/>
        </w:rPr>
        <w:t>programa</w:t>
      </w:r>
      <w:r w:rsidRPr="00976BFF">
        <w:rPr>
          <w:lang w:val="es-ES_tradnl"/>
        </w:rPr>
        <w:t xml:space="preserve"> giran en torno a los objetivos de este último. El </w:t>
      </w:r>
      <w:r w:rsidR="008A1019">
        <w:rPr>
          <w:lang w:val="es-ES_tradnl"/>
        </w:rPr>
        <w:t>programa</w:t>
      </w:r>
      <w:r w:rsidRPr="00976BFF">
        <w:rPr>
          <w:lang w:val="es-ES_tradnl"/>
        </w:rPr>
        <w:t xml:space="preserve"> incluye todas las actividades necesarias para abordar los diversos problemas de mantenimiento y rehabilitación vial que se han identificado, con el objetivo de mantener adecuadamente las condiciones de la red vial nacional: obras de mantenimiento subcontratadas o realizadas por personal de la DNV, rehabilitación de pavimentos y drenajes, rehabilitación y mantenimiento de puentes y estructuras y desarrollo de la seguridad vial. Los procesos del </w:t>
      </w:r>
      <w:r w:rsidR="008A1019">
        <w:rPr>
          <w:lang w:val="es-ES_tradnl"/>
        </w:rPr>
        <w:t>programa</w:t>
      </w:r>
      <w:r w:rsidRPr="00976BFF">
        <w:rPr>
          <w:lang w:val="es-ES_tradnl"/>
        </w:rPr>
        <w:t xml:space="preserve"> incluyen los diversos pasos entre la planificación y la supervisión de las obras, como parte de las obligaciones de rutina de la DNV. A través del contrato de concesión con CVU, el </w:t>
      </w:r>
      <w:r w:rsidR="008A1019">
        <w:rPr>
          <w:lang w:val="es-ES_tradnl"/>
        </w:rPr>
        <w:t>programa</w:t>
      </w:r>
      <w:r w:rsidRPr="00976BFF">
        <w:rPr>
          <w:lang w:val="es-ES_tradnl"/>
        </w:rPr>
        <w:t xml:space="preserve"> también incluye la sólida coordinación con otras entidades semipúblicas encargadas del mantenimiento y la rehabilitación de la red vial</w:t>
      </w:r>
      <w:r w:rsidR="00DA00F2">
        <w:rPr>
          <w:lang w:val="es-ES_tradnl"/>
        </w:rPr>
        <w:t xml:space="preserve"> nacional</w:t>
      </w:r>
      <w:r w:rsidRPr="00976BFF">
        <w:rPr>
          <w:lang w:val="es-ES_tradnl"/>
        </w:rPr>
        <w:t xml:space="preserve">. Por último, el </w:t>
      </w:r>
      <w:r w:rsidR="008A1019">
        <w:rPr>
          <w:lang w:val="es-ES_tradnl"/>
        </w:rPr>
        <w:t>programa</w:t>
      </w:r>
      <w:r w:rsidRPr="00976BFF">
        <w:rPr>
          <w:lang w:val="es-ES_tradnl"/>
        </w:rPr>
        <w:t xml:space="preserve"> incluye </w:t>
      </w:r>
      <w:r w:rsidR="00486725" w:rsidRPr="00976BFF">
        <w:rPr>
          <w:lang w:val="es-ES_tradnl"/>
        </w:rPr>
        <w:t xml:space="preserve">la contratación basada en el desempeño de obras de rehabilitación y mantenimiento, que se considera una práctica óptima para la gestión de infraestructura vial. Se prevé que esta última característica permitirá lograr un mayor grado de eficacia en función de los costos en el marco del </w:t>
      </w:r>
      <w:r w:rsidR="008A1019">
        <w:rPr>
          <w:lang w:val="es-ES_tradnl"/>
        </w:rPr>
        <w:t>programa</w:t>
      </w:r>
      <w:r w:rsidR="00486725" w:rsidRPr="00976BFF">
        <w:rPr>
          <w:lang w:val="es-ES_tradnl"/>
        </w:rPr>
        <w:t>, y entrañará un aumento de la participación y las responsabilidades del sector privado en la gestión vial</w:t>
      </w:r>
      <w:r w:rsidR="0015095C" w:rsidRPr="00976BFF">
        <w:rPr>
          <w:lang w:val="es-ES_tradnl"/>
        </w:rPr>
        <w:t>.</w:t>
      </w:r>
    </w:p>
    <w:p w:rsidR="00A764A2" w:rsidRPr="00976BFF" w:rsidRDefault="00486725" w:rsidP="00EB3076">
      <w:pPr>
        <w:pStyle w:val="Annexmain"/>
        <w:ind w:firstLine="0"/>
        <w:rPr>
          <w:lang w:val="es-ES_tradnl"/>
        </w:rPr>
      </w:pPr>
      <w:r w:rsidRPr="00976BFF">
        <w:rPr>
          <w:lang w:val="es-ES_tradnl"/>
        </w:rPr>
        <w:t xml:space="preserve">Las normas técnicas para las actividades del </w:t>
      </w:r>
      <w:r w:rsidR="008A1019">
        <w:rPr>
          <w:lang w:val="es-ES_tradnl"/>
        </w:rPr>
        <w:t>programa</w:t>
      </w:r>
      <w:r w:rsidRPr="00976BFF">
        <w:rPr>
          <w:lang w:val="es-ES_tradnl"/>
        </w:rPr>
        <w:t xml:space="preserve">, especialmente los diseños y los criterios para la recepción de obras, son más adecuados que la experiencia y la práctica internacional. </w:t>
      </w:r>
      <w:r w:rsidR="00CC31FC" w:rsidRPr="00976BFF">
        <w:rPr>
          <w:lang w:val="es-ES_tradnl"/>
        </w:rPr>
        <w:t xml:space="preserve">Como resultado del proceso de diseño, las especificaciones técnicas de las obras viales son sencillas (principalmente rehabilitación de pavimentos con cemento asfáltico), lo que </w:t>
      </w:r>
      <w:r w:rsidR="00BA694A" w:rsidRPr="00976BFF">
        <w:rPr>
          <w:lang w:val="es-ES_tradnl"/>
        </w:rPr>
        <w:t>asegura un cierto grado de efic</w:t>
      </w:r>
      <w:r w:rsidR="008743EA" w:rsidRPr="00976BFF">
        <w:rPr>
          <w:lang w:val="es-ES_tradnl"/>
        </w:rPr>
        <w:t>acia</w:t>
      </w:r>
      <w:r w:rsidR="00BA694A" w:rsidRPr="00976BFF">
        <w:rPr>
          <w:lang w:val="es-ES_tradnl"/>
        </w:rPr>
        <w:t xml:space="preserve"> en función de los costos en la gestión de pavimentos. El personal de la DNV realiza la mayor parte de los diseños y de la supervisión de obras. Teniendo en cuenta la experiencia adquirida por el Banco en el pasado a través de proyectos de rehabilitación vial en Uruguay, los proyectos con diseño detallado generalmente se cumplen y la calidad de las obras viales es razonablemente adecuada</w:t>
      </w:r>
      <w:r w:rsidR="004A26E3" w:rsidRPr="00976BFF">
        <w:rPr>
          <w:lang w:val="es-ES_tradnl"/>
        </w:rPr>
        <w:t>.</w:t>
      </w:r>
    </w:p>
    <w:p w:rsidR="00967E05" w:rsidRPr="00976BFF" w:rsidRDefault="00BA694A" w:rsidP="00EB3076">
      <w:pPr>
        <w:pStyle w:val="Annexmain"/>
        <w:ind w:firstLine="0"/>
        <w:rPr>
          <w:lang w:val="es-ES_tradnl"/>
        </w:rPr>
      </w:pPr>
      <w:r w:rsidRPr="00976BFF">
        <w:rPr>
          <w:lang w:val="es-ES_tradnl"/>
        </w:rPr>
        <w:t xml:space="preserve">Teniendo en cuenta los antecedentes, se considera que el </w:t>
      </w:r>
      <w:r w:rsidR="008A1019">
        <w:rPr>
          <w:lang w:val="es-ES_tradnl"/>
        </w:rPr>
        <w:t>programa</w:t>
      </w:r>
      <w:r w:rsidRPr="00976BFF">
        <w:rPr>
          <w:lang w:val="es-ES_tradnl"/>
        </w:rPr>
        <w:t xml:space="preserve"> es razonablemente eficaz en función de los costos, habida cuenta de la situación del mercado de la construcción en Uruguay (mercado pequeño). En promedio, el costo de la rehabilitación de un kilómetro de carreteras nacionales asciende aproximadamente a medio millón de dólares, mientras que el costo </w:t>
      </w:r>
      <w:r w:rsidR="009914EF" w:rsidRPr="00976BFF">
        <w:rPr>
          <w:lang w:val="es-ES_tradnl"/>
        </w:rPr>
        <w:t>anual</w:t>
      </w:r>
      <w:r w:rsidRPr="00976BFF">
        <w:rPr>
          <w:lang w:val="es-ES_tradnl"/>
        </w:rPr>
        <w:t xml:space="preserve"> del mantenimiento de rutina es de alrededor de </w:t>
      </w:r>
      <w:r w:rsidR="00967E05" w:rsidRPr="00976BFF">
        <w:rPr>
          <w:lang w:val="es-ES_tradnl"/>
        </w:rPr>
        <w:t xml:space="preserve">US$7000, </w:t>
      </w:r>
      <w:r w:rsidR="00525B7F" w:rsidRPr="00976BFF">
        <w:rPr>
          <w:lang w:val="es-ES_tradnl"/>
        </w:rPr>
        <w:t xml:space="preserve">aunque estas cifras varían ampliamente. Se prevé que a través de la promoción de obras de rehabilitación y </w:t>
      </w:r>
      <w:r w:rsidR="009742AC">
        <w:rPr>
          <w:lang w:val="es-ES_tradnl"/>
        </w:rPr>
        <w:t xml:space="preserve">el </w:t>
      </w:r>
      <w:r w:rsidR="00525B7F" w:rsidRPr="00976BFF">
        <w:rPr>
          <w:lang w:val="es-ES_tradnl"/>
        </w:rPr>
        <w:t xml:space="preserve">mantenimiento basado en el desempeño, en el marco del </w:t>
      </w:r>
      <w:r w:rsidR="008A1019">
        <w:rPr>
          <w:lang w:val="es-ES_tradnl"/>
        </w:rPr>
        <w:t>programa</w:t>
      </w:r>
      <w:r w:rsidR="00525B7F" w:rsidRPr="00976BFF">
        <w:rPr>
          <w:lang w:val="es-ES_tradnl"/>
        </w:rPr>
        <w:t>, se mejorará esa eficacia en función de los costos</w:t>
      </w:r>
      <w:r w:rsidR="00967E05" w:rsidRPr="00976BFF">
        <w:rPr>
          <w:lang w:val="es-ES_tradnl"/>
        </w:rPr>
        <w:t>.</w:t>
      </w:r>
    </w:p>
    <w:p w:rsidR="00A764A2" w:rsidRPr="00976BFF" w:rsidRDefault="000774A5" w:rsidP="00EB3076">
      <w:pPr>
        <w:pStyle w:val="Heading3"/>
        <w:rPr>
          <w:lang w:val="es-ES_tradnl"/>
        </w:rPr>
      </w:pPr>
      <w:bookmarkStart w:id="50" w:name="_Toc320463936"/>
      <w:bookmarkStart w:id="51" w:name="_Toc344927182"/>
      <w:r w:rsidRPr="00976BFF">
        <w:rPr>
          <w:lang w:val="es-ES_tradnl"/>
        </w:rPr>
        <w:t xml:space="preserve">Apoyo de partes interesadas en el </w:t>
      </w:r>
      <w:bookmarkEnd w:id="50"/>
      <w:bookmarkEnd w:id="51"/>
      <w:r w:rsidR="008A1019">
        <w:rPr>
          <w:lang w:val="es-ES_tradnl"/>
        </w:rPr>
        <w:t>programa</w:t>
      </w:r>
    </w:p>
    <w:p w:rsidR="00A764A2" w:rsidRPr="00976BFF" w:rsidRDefault="004773C6" w:rsidP="00EB3076">
      <w:pPr>
        <w:pStyle w:val="Annexmain"/>
        <w:ind w:firstLine="0"/>
        <w:rPr>
          <w:lang w:val="es-ES_tradnl"/>
        </w:rPr>
      </w:pPr>
      <w:r w:rsidRPr="00976BFF">
        <w:rPr>
          <w:lang w:val="es-ES_tradnl"/>
        </w:rPr>
        <w:t xml:space="preserve">En el convencimiento de que ya no es posible postergar las obras necesarias de rehabilitación vial, el Gobierno (especialmente el </w:t>
      </w:r>
      <w:r w:rsidR="003D6DF4" w:rsidRPr="00976BFF">
        <w:rPr>
          <w:lang w:val="es-ES_tradnl"/>
        </w:rPr>
        <w:t>MTOP</w:t>
      </w:r>
      <w:r w:rsidRPr="00976BFF">
        <w:rPr>
          <w:lang w:val="es-ES_tradnl"/>
        </w:rPr>
        <w:t xml:space="preserve"> y el</w:t>
      </w:r>
      <w:r w:rsidR="003D6DF4" w:rsidRPr="00976BFF">
        <w:rPr>
          <w:lang w:val="es-ES_tradnl"/>
        </w:rPr>
        <w:t xml:space="preserve"> MEF)</w:t>
      </w:r>
      <w:r w:rsidR="00084E8B" w:rsidRPr="00976BFF">
        <w:rPr>
          <w:lang w:val="es-ES_tradnl"/>
        </w:rPr>
        <w:t xml:space="preserve"> respalda con firmeza el </w:t>
      </w:r>
      <w:r w:rsidR="008A1019">
        <w:rPr>
          <w:lang w:val="es-ES_tradnl"/>
        </w:rPr>
        <w:t>programa</w:t>
      </w:r>
      <w:r w:rsidR="00084E8B" w:rsidRPr="00976BFF">
        <w:rPr>
          <w:lang w:val="es-ES_tradnl"/>
        </w:rPr>
        <w:t xml:space="preserve"> de rehabilitación vial. El gasto público en el sector vial ha </w:t>
      </w:r>
      <w:r w:rsidR="004A26E3" w:rsidRPr="00976BFF">
        <w:rPr>
          <w:lang w:val="es-ES_tradnl"/>
        </w:rPr>
        <w:t>aumentado</w:t>
      </w:r>
      <w:r w:rsidR="00084E8B" w:rsidRPr="00976BFF">
        <w:rPr>
          <w:lang w:val="es-ES_tradnl"/>
        </w:rPr>
        <w:t xml:space="preserve"> marcadamente a partir de 2005 (más del 75% entre 2005 y 2011, en valor nominal) </w:t>
      </w:r>
      <w:r w:rsidR="009742AC">
        <w:rPr>
          <w:lang w:val="es-ES_tradnl"/>
        </w:rPr>
        <w:t xml:space="preserve">para </w:t>
      </w:r>
      <w:r w:rsidR="00E54173" w:rsidRPr="00976BFF">
        <w:rPr>
          <w:lang w:val="es-ES_tradnl"/>
        </w:rPr>
        <w:t>reducir el cúmulo de obras atrasadas de mantenimiento de infraestructura</w:t>
      </w:r>
      <w:r w:rsidR="003D6DF4" w:rsidRPr="00976BFF">
        <w:rPr>
          <w:lang w:val="es-ES_tradnl"/>
        </w:rPr>
        <w:t xml:space="preserve"> </w:t>
      </w:r>
      <w:r w:rsidR="00E54173" w:rsidRPr="00976BFF">
        <w:rPr>
          <w:lang w:val="es-ES_tradnl"/>
        </w:rPr>
        <w:t>y mejorar un elemento fundamental de las cadenas de logística del país</w:t>
      </w:r>
      <w:r w:rsidR="003D6DF4" w:rsidRPr="00976BFF">
        <w:rPr>
          <w:lang w:val="es-ES_tradnl"/>
        </w:rPr>
        <w:t>.</w:t>
      </w:r>
    </w:p>
    <w:p w:rsidR="00A764A2" w:rsidRPr="00976BFF" w:rsidRDefault="00E54173" w:rsidP="00EB3076">
      <w:pPr>
        <w:pStyle w:val="Annexmain"/>
        <w:ind w:firstLine="0"/>
        <w:rPr>
          <w:lang w:val="es-ES_tradnl"/>
        </w:rPr>
      </w:pPr>
      <w:r w:rsidRPr="00976BFF">
        <w:rPr>
          <w:lang w:val="es-ES_tradnl"/>
        </w:rPr>
        <w:t xml:space="preserve">Como es habitual para los proyectos viales, especialmente en zonas distantes, los usuarios finales también respaldan el </w:t>
      </w:r>
      <w:r w:rsidR="008A1019">
        <w:rPr>
          <w:lang w:val="es-ES_tradnl"/>
        </w:rPr>
        <w:t>programa</w:t>
      </w:r>
      <w:r w:rsidRPr="00976BFF">
        <w:rPr>
          <w:lang w:val="es-ES_tradnl"/>
        </w:rPr>
        <w:t xml:space="preserve">, dado que mejorarán las condiciones y la confiabilidad del transporte terrestre. Los usuarios finales incluyen: empresas de transporte </w:t>
      </w:r>
      <w:r w:rsidR="0091520D" w:rsidRPr="00976BFF">
        <w:rPr>
          <w:lang w:val="es-ES_tradnl"/>
        </w:rPr>
        <w:t xml:space="preserve">por vía </w:t>
      </w:r>
      <w:r w:rsidRPr="00976BFF">
        <w:rPr>
          <w:lang w:val="es-ES_tradnl"/>
        </w:rPr>
        <w:t xml:space="preserve">terrestre, empresas forestales, productores agrícolas y ganaderos, </w:t>
      </w:r>
      <w:r w:rsidR="0091520D" w:rsidRPr="00976BFF">
        <w:rPr>
          <w:lang w:val="es-ES_tradnl"/>
        </w:rPr>
        <w:t xml:space="preserve">distribuidores y otros usuarios privados. Se estima que el </w:t>
      </w:r>
      <w:r w:rsidR="008A1019">
        <w:rPr>
          <w:lang w:val="es-ES_tradnl"/>
        </w:rPr>
        <w:t>programa</w:t>
      </w:r>
      <w:r w:rsidR="0091520D" w:rsidRPr="00976BFF">
        <w:rPr>
          <w:lang w:val="es-ES_tradnl"/>
        </w:rPr>
        <w:t xml:space="preserve"> beneficiará a unos </w:t>
      </w:r>
      <w:r w:rsidR="00DC22BA">
        <w:rPr>
          <w:lang w:val="es-ES_tradnl"/>
        </w:rPr>
        <w:t>3</w:t>
      </w:r>
      <w:r w:rsidR="00DC22BA" w:rsidRPr="00976BFF">
        <w:rPr>
          <w:lang w:val="es-ES_tradnl"/>
        </w:rPr>
        <w:t xml:space="preserve"> </w:t>
      </w:r>
      <w:r w:rsidR="0091520D" w:rsidRPr="00976BFF">
        <w:rPr>
          <w:lang w:val="es-ES_tradnl"/>
        </w:rPr>
        <w:t>millones de personas que realizan aproximadamente 175 millones de viajes al año</w:t>
      </w:r>
      <w:r w:rsidR="00E10A8D" w:rsidRPr="00976BFF">
        <w:rPr>
          <w:lang w:val="es-ES_tradnl"/>
        </w:rPr>
        <w:t>.</w:t>
      </w:r>
    </w:p>
    <w:p w:rsidR="00A764A2" w:rsidRPr="00976BFF" w:rsidRDefault="0030772A" w:rsidP="00EB3076">
      <w:pPr>
        <w:pStyle w:val="Annexmain"/>
        <w:ind w:firstLine="0"/>
        <w:rPr>
          <w:lang w:val="es-ES_tradnl"/>
        </w:rPr>
      </w:pPr>
      <w:r w:rsidRPr="00976BFF">
        <w:rPr>
          <w:lang w:val="es-ES_tradnl"/>
        </w:rPr>
        <w:t xml:space="preserve">El </w:t>
      </w:r>
      <w:r w:rsidR="00DA00F2">
        <w:rPr>
          <w:lang w:val="es-ES_tradnl"/>
        </w:rPr>
        <w:t>p</w:t>
      </w:r>
      <w:r w:rsidR="009B073D" w:rsidRPr="00976BFF">
        <w:rPr>
          <w:lang w:val="es-ES_tradnl"/>
        </w:rPr>
        <w:t>rograma</w:t>
      </w:r>
      <w:r w:rsidRPr="00976BFF">
        <w:rPr>
          <w:lang w:val="es-ES_tradnl"/>
        </w:rPr>
        <w:t xml:space="preserve"> vial del Gobierno también cuenta con el apoyo de otros importantes asociados. En marzo de 2012, el BID y el Gobierno de Uruguay suscribieron un nuevo préstamo, con el principal objetivo de respaldar la rehabilitación y el mantenimiento vial. El Gobierno, el BID y el Banco colaboran para alcanzar este objetivo. </w:t>
      </w:r>
      <w:r w:rsidR="00230273" w:rsidRPr="00976BFF">
        <w:rPr>
          <w:lang w:val="es-ES_tradnl"/>
        </w:rPr>
        <w:t>Paralelamente</w:t>
      </w:r>
      <w:r w:rsidRPr="00976BFF">
        <w:rPr>
          <w:lang w:val="es-ES_tradnl"/>
        </w:rPr>
        <w:t>, en septiembre de 2012, el</w:t>
      </w:r>
      <w:r w:rsidR="00230273" w:rsidRPr="00976BFF">
        <w:rPr>
          <w:lang w:val="es-ES_tradnl"/>
        </w:rPr>
        <w:t xml:space="preserve"> Gobierno negociaba un nuevo préstamo con el </w:t>
      </w:r>
      <w:r w:rsidR="00FF3DBE" w:rsidRPr="00976BFF">
        <w:rPr>
          <w:lang w:val="es-ES_tradnl"/>
        </w:rPr>
        <w:t xml:space="preserve">FONPLATA, </w:t>
      </w:r>
      <w:r w:rsidR="00230273" w:rsidRPr="00976BFF">
        <w:rPr>
          <w:lang w:val="es-ES_tradnl"/>
        </w:rPr>
        <w:t>también para respaldar la rehabilitación y el mantenimiento de las carreteras nacionales</w:t>
      </w:r>
      <w:r w:rsidR="003D6DF4" w:rsidRPr="00976BFF">
        <w:rPr>
          <w:lang w:val="es-ES_tradnl"/>
        </w:rPr>
        <w:t>.</w:t>
      </w:r>
    </w:p>
    <w:p w:rsidR="00A764A2" w:rsidRPr="00976BFF" w:rsidRDefault="003D6DF4" w:rsidP="00EB3076">
      <w:pPr>
        <w:pStyle w:val="Heading3"/>
        <w:rPr>
          <w:lang w:val="es-ES_tradnl"/>
        </w:rPr>
      </w:pPr>
      <w:bookmarkStart w:id="52" w:name="_Toc344927183"/>
      <w:r w:rsidRPr="00976BFF">
        <w:rPr>
          <w:lang w:val="es-ES_tradnl"/>
        </w:rPr>
        <w:t>S</w:t>
      </w:r>
      <w:r w:rsidR="00230273" w:rsidRPr="00976BFF">
        <w:rPr>
          <w:lang w:val="es-ES_tradnl"/>
        </w:rPr>
        <w:t>ostenibilidad</w:t>
      </w:r>
      <w:bookmarkEnd w:id="52"/>
    </w:p>
    <w:p w:rsidR="00A764A2" w:rsidRPr="00976BFF" w:rsidRDefault="00477382" w:rsidP="00EB3076">
      <w:pPr>
        <w:pStyle w:val="Annexmain"/>
        <w:ind w:firstLine="0"/>
        <w:rPr>
          <w:lang w:val="es-ES_tradnl"/>
        </w:rPr>
      </w:pPr>
      <w:r w:rsidRPr="00976BFF">
        <w:rPr>
          <w:lang w:val="es-ES_tradnl"/>
        </w:rPr>
        <w:t xml:space="preserve">Pese al marcado aumento del financiamiento público destinado al sector vial durante los últimos años (un aumento del 75% entre 2005 y 2011), existe un cierto grado de inquietud de que, en el mediano plazo, después de la ejecución del </w:t>
      </w:r>
      <w:r w:rsidR="008A1019">
        <w:rPr>
          <w:lang w:val="es-ES_tradnl"/>
        </w:rPr>
        <w:t>programa</w:t>
      </w:r>
      <w:r w:rsidRPr="00976BFF">
        <w:rPr>
          <w:lang w:val="es-ES_tradnl"/>
        </w:rPr>
        <w:t xml:space="preserve">, el financiamiento previsto para el mantenimiento de la infraestructura vial no sea suficiente para mantener el nivel de estabilización de la red vial. </w:t>
      </w:r>
      <w:r w:rsidR="00747A5F" w:rsidRPr="00976BFF">
        <w:rPr>
          <w:lang w:val="es-ES_tradnl"/>
        </w:rPr>
        <w:t xml:space="preserve">El Gobierno reconoce este problema y está analizando activamente otras alternativas orientadas, por una parte, a aumentar los ingresos netos destinados al sector y, por la otra, a mejorar la gestión del sector vial. Al mismo tiempo, es preciso aumentar la eficacia en función de los costos del </w:t>
      </w:r>
      <w:r w:rsidR="008A1019">
        <w:rPr>
          <w:lang w:val="es-ES_tradnl"/>
        </w:rPr>
        <w:t>programa</w:t>
      </w:r>
      <w:r w:rsidR="00747A5F" w:rsidRPr="00976BFF">
        <w:rPr>
          <w:lang w:val="es-ES_tradnl"/>
        </w:rPr>
        <w:t xml:space="preserve"> (gasto público). Por lo tanto, el </w:t>
      </w:r>
      <w:r w:rsidR="007A653A" w:rsidRPr="00976BFF">
        <w:rPr>
          <w:lang w:val="es-ES_tradnl"/>
        </w:rPr>
        <w:t xml:space="preserve">Plan de Acción del </w:t>
      </w:r>
      <w:r w:rsidR="008A1019">
        <w:rPr>
          <w:lang w:val="es-ES_tradnl"/>
        </w:rPr>
        <w:t>programa</w:t>
      </w:r>
      <w:r w:rsidR="00747A5F" w:rsidRPr="00976BFF">
        <w:rPr>
          <w:lang w:val="es-ES_tradnl"/>
        </w:rPr>
        <w:t xml:space="preserve"> incluye actividades </w:t>
      </w:r>
      <w:r w:rsidR="009742AC">
        <w:rPr>
          <w:lang w:val="es-ES_tradnl"/>
        </w:rPr>
        <w:t xml:space="preserve">para </w:t>
      </w:r>
      <w:r w:rsidR="00747A5F" w:rsidRPr="00976BFF">
        <w:rPr>
          <w:lang w:val="es-ES_tradnl"/>
        </w:rPr>
        <w:t xml:space="preserve">aumentar la eficacia </w:t>
      </w:r>
      <w:r w:rsidR="00DA00F2">
        <w:rPr>
          <w:lang w:val="es-ES_tradnl"/>
        </w:rPr>
        <w:t xml:space="preserve">de la ejecución </w:t>
      </w:r>
      <w:r w:rsidR="00747A5F" w:rsidRPr="00976BFF">
        <w:rPr>
          <w:lang w:val="es-ES_tradnl"/>
        </w:rPr>
        <w:t xml:space="preserve">del </w:t>
      </w:r>
      <w:r w:rsidR="008A1019">
        <w:rPr>
          <w:lang w:val="es-ES_tradnl"/>
        </w:rPr>
        <w:t>programa</w:t>
      </w:r>
      <w:r w:rsidR="00747A5F" w:rsidRPr="00976BFF">
        <w:rPr>
          <w:lang w:val="es-ES_tradnl"/>
        </w:rPr>
        <w:t>, a nivel de la DNV, y también promover la multimodalidad, con miras a reducir la demanda y la carga que soporta la red de infraestructura vial</w:t>
      </w:r>
      <w:r w:rsidR="003D6DF4" w:rsidRPr="00976BFF">
        <w:rPr>
          <w:lang w:val="es-ES_tradnl"/>
        </w:rPr>
        <w:t>.</w:t>
      </w:r>
    </w:p>
    <w:p w:rsidR="004F22C1" w:rsidRPr="00976BFF" w:rsidRDefault="009F48D0" w:rsidP="00EB3076">
      <w:pPr>
        <w:pStyle w:val="Annexmain"/>
        <w:ind w:firstLine="0"/>
        <w:rPr>
          <w:lang w:val="es-ES_tradnl"/>
        </w:rPr>
      </w:pPr>
      <w:r w:rsidRPr="00976BFF">
        <w:rPr>
          <w:lang w:val="es-ES_tradnl"/>
        </w:rPr>
        <w:t>La reclasificación prevista de la red también tendrá el efecto de reducir la actual carga de mantenimiento que soporta la DNV y le permitirá concentrarse en los tramos de la red que revisten mayor importancia para la economía nacional. Se estima que esta reclasificación permitirá obtener ganancias netas, derivadas de la optimización de las normas de mantenimiento</w:t>
      </w:r>
      <w:r w:rsidR="004F22C1" w:rsidRPr="00976BFF">
        <w:rPr>
          <w:lang w:val="es-ES_tradnl"/>
        </w:rPr>
        <w:t xml:space="preserve">. </w:t>
      </w:r>
    </w:p>
    <w:p w:rsidR="00A764A2" w:rsidRPr="00976BFF" w:rsidRDefault="009F48D0" w:rsidP="00EB3076">
      <w:pPr>
        <w:pStyle w:val="Heading2"/>
        <w:numPr>
          <w:ilvl w:val="1"/>
          <w:numId w:val="6"/>
        </w:numPr>
        <w:ind w:firstLine="0"/>
        <w:rPr>
          <w:rFonts w:ascii="Times New Roman" w:hAnsi="Times New Roman"/>
          <w:b/>
          <w:sz w:val="22"/>
          <w:lang w:val="es-ES_tradnl"/>
        </w:rPr>
      </w:pPr>
      <w:bookmarkStart w:id="53" w:name="_Toc327540002"/>
      <w:bookmarkStart w:id="54" w:name="_Toc344927184"/>
      <w:r w:rsidRPr="00976BFF">
        <w:rPr>
          <w:rFonts w:ascii="Times New Roman" w:hAnsi="Times New Roman"/>
          <w:b/>
          <w:sz w:val="22"/>
          <w:lang w:val="es-ES_tradnl"/>
        </w:rPr>
        <w:t xml:space="preserve">Marco de gastos del </w:t>
      </w:r>
      <w:bookmarkEnd w:id="53"/>
      <w:bookmarkEnd w:id="54"/>
      <w:r w:rsidR="008A1019">
        <w:rPr>
          <w:rFonts w:ascii="Times New Roman" w:hAnsi="Times New Roman"/>
          <w:b/>
          <w:sz w:val="22"/>
          <w:lang w:val="es-ES_tradnl"/>
        </w:rPr>
        <w:t>programa</w:t>
      </w:r>
    </w:p>
    <w:p w:rsidR="00A764A2" w:rsidRPr="00976BFF" w:rsidRDefault="009F48D0" w:rsidP="00EB3076">
      <w:pPr>
        <w:pStyle w:val="Heading3"/>
        <w:rPr>
          <w:lang w:val="es-ES_tradnl"/>
        </w:rPr>
      </w:pPr>
      <w:bookmarkStart w:id="55" w:name="_Toc344927185"/>
      <w:r w:rsidRPr="00976BFF">
        <w:rPr>
          <w:lang w:val="es-ES_tradnl"/>
        </w:rPr>
        <w:t>Estructura presupuestaria</w:t>
      </w:r>
      <w:bookmarkEnd w:id="55"/>
    </w:p>
    <w:p w:rsidR="00A764A2" w:rsidRPr="00976BFF" w:rsidRDefault="00053614" w:rsidP="00EB3076">
      <w:pPr>
        <w:pStyle w:val="Annexmain"/>
        <w:ind w:firstLine="0"/>
        <w:rPr>
          <w:lang w:val="es-ES_tradnl"/>
        </w:rPr>
      </w:pPr>
      <w:r w:rsidRPr="00976BFF">
        <w:rPr>
          <w:lang w:val="es-ES_tradnl"/>
        </w:rPr>
        <w:t xml:space="preserve">El presupuesto nacional se enmarca en una Ley de Presupuesto que abarca un período de cinco años. No existe un presupuesto anual, aunque la estructura se ajusta a un criterio de asignación </w:t>
      </w:r>
      <w:r w:rsidR="009914EF" w:rsidRPr="00976BFF">
        <w:rPr>
          <w:lang w:val="es-ES_tradnl"/>
        </w:rPr>
        <w:t>anual</w:t>
      </w:r>
      <w:r w:rsidRPr="00976BFF">
        <w:rPr>
          <w:lang w:val="es-ES_tradnl"/>
        </w:rPr>
        <w:t xml:space="preserve">. La actual Ley de Presupuesto tiene vigencia durante el período 2010-14 e incluye una asignación para cada uno de los diversos </w:t>
      </w:r>
      <w:r w:rsidR="006D44FB">
        <w:rPr>
          <w:lang w:val="es-ES_tradnl"/>
        </w:rPr>
        <w:t>programas</w:t>
      </w:r>
      <w:r w:rsidRPr="00976BFF">
        <w:rPr>
          <w:lang w:val="es-ES_tradnl"/>
        </w:rPr>
        <w:t xml:space="preserve"> que conforman el presupuesto (véase el anexo 1, que contiene una descripción de los </w:t>
      </w:r>
      <w:r w:rsidR="006D44FB">
        <w:rPr>
          <w:lang w:val="es-ES_tradnl"/>
        </w:rPr>
        <w:t>programas</w:t>
      </w:r>
      <w:r w:rsidRPr="00976BFF">
        <w:rPr>
          <w:lang w:val="es-ES_tradnl"/>
        </w:rPr>
        <w:t xml:space="preserve"> del Gobierno). La formulación del presupuesto público de Uruguay se asienta en dos conceptos fundamentales</w:t>
      </w:r>
      <w:r w:rsidR="003D6DF4" w:rsidRPr="00976BFF">
        <w:rPr>
          <w:lang w:val="es-ES_tradnl"/>
        </w:rPr>
        <w:t>:</w:t>
      </w:r>
    </w:p>
    <w:p w:rsidR="00A764A2" w:rsidRPr="00976BFF" w:rsidRDefault="00053614" w:rsidP="00625FB3">
      <w:pPr>
        <w:pStyle w:val="Bullet"/>
        <w:rPr>
          <w:lang w:val="es-ES_tradnl"/>
        </w:rPr>
      </w:pPr>
      <w:r w:rsidRPr="00976BFF">
        <w:rPr>
          <w:lang w:val="es-ES_tradnl"/>
        </w:rPr>
        <w:t>El</w:t>
      </w:r>
      <w:r w:rsidRPr="00976BFF">
        <w:rPr>
          <w:i/>
          <w:lang w:val="es-ES_tradnl"/>
        </w:rPr>
        <w:t xml:space="preserve"> c</w:t>
      </w:r>
      <w:r w:rsidR="003D6DF4" w:rsidRPr="00976BFF">
        <w:rPr>
          <w:i/>
          <w:lang w:val="es-ES_tradnl"/>
        </w:rPr>
        <w:t>r</w:t>
      </w:r>
      <w:r w:rsidRPr="00976BFF">
        <w:rPr>
          <w:i/>
          <w:lang w:val="es-ES_tradnl"/>
        </w:rPr>
        <w:t>é</w:t>
      </w:r>
      <w:r w:rsidR="003D6DF4" w:rsidRPr="00976BFF">
        <w:rPr>
          <w:i/>
          <w:lang w:val="es-ES_tradnl"/>
        </w:rPr>
        <w:t>dito</w:t>
      </w:r>
      <w:r w:rsidRPr="00976BFF">
        <w:rPr>
          <w:lang w:val="es-ES_tradnl"/>
        </w:rPr>
        <w:t>,</w:t>
      </w:r>
      <w:r w:rsidR="003D6DF4" w:rsidRPr="00976BFF">
        <w:rPr>
          <w:lang w:val="es-ES_tradnl"/>
        </w:rPr>
        <w:t xml:space="preserve"> </w:t>
      </w:r>
      <w:r w:rsidRPr="00976BFF">
        <w:rPr>
          <w:lang w:val="es-ES_tradnl"/>
        </w:rPr>
        <w:t xml:space="preserve">que representa la necesidad o la demanda </w:t>
      </w:r>
      <w:r w:rsidR="00DA00F2">
        <w:rPr>
          <w:lang w:val="es-ES_tradnl"/>
        </w:rPr>
        <w:t xml:space="preserve">de financiar </w:t>
      </w:r>
      <w:r w:rsidR="00877E50" w:rsidRPr="00976BFF">
        <w:rPr>
          <w:lang w:val="es-ES_tradnl"/>
        </w:rPr>
        <w:t>el gasto</w:t>
      </w:r>
      <w:r w:rsidR="001C47AE">
        <w:rPr>
          <w:lang w:val="es-ES_tradnl"/>
        </w:rPr>
        <w:t xml:space="preserve"> ordinario y</w:t>
      </w:r>
      <w:r w:rsidR="00877E50" w:rsidRPr="00976BFF">
        <w:rPr>
          <w:lang w:val="es-ES_tradnl"/>
        </w:rPr>
        <w:t xml:space="preserve"> de capital </w:t>
      </w:r>
      <w:r w:rsidR="00DA00F2">
        <w:rPr>
          <w:lang w:val="es-ES_tradnl"/>
        </w:rPr>
        <w:t>de</w:t>
      </w:r>
      <w:r w:rsidR="00877E50" w:rsidRPr="00976BFF">
        <w:rPr>
          <w:lang w:val="es-ES_tradnl"/>
        </w:rPr>
        <w:t xml:space="preserve"> cada </w:t>
      </w:r>
      <w:r w:rsidR="00DA00F2">
        <w:rPr>
          <w:lang w:val="es-ES_tradnl"/>
        </w:rPr>
        <w:t>p</w:t>
      </w:r>
      <w:r w:rsidR="009B073D" w:rsidRPr="00976BFF">
        <w:rPr>
          <w:lang w:val="es-ES_tradnl"/>
        </w:rPr>
        <w:t>rograma</w:t>
      </w:r>
      <w:r w:rsidR="00877E50" w:rsidRPr="00976BFF">
        <w:rPr>
          <w:lang w:val="es-ES_tradnl"/>
        </w:rPr>
        <w:t xml:space="preserve"> descrito en la Ley de Presupuesto. En este concepto se establece el límite máximo del gasto autorizado por el Congreso y no los recursos reales que el </w:t>
      </w:r>
      <w:r w:rsidR="00DA00F2">
        <w:rPr>
          <w:lang w:val="es-ES_tradnl"/>
        </w:rPr>
        <w:t>p</w:t>
      </w:r>
      <w:r w:rsidR="009B073D" w:rsidRPr="00976BFF">
        <w:rPr>
          <w:lang w:val="es-ES_tradnl"/>
        </w:rPr>
        <w:t>rograma</w:t>
      </w:r>
      <w:r w:rsidR="00877E50" w:rsidRPr="00976BFF">
        <w:rPr>
          <w:lang w:val="es-ES_tradnl"/>
        </w:rPr>
        <w:t xml:space="preserve"> puede gastar</w:t>
      </w:r>
      <w:r w:rsidR="003D6DF4" w:rsidRPr="00976BFF">
        <w:rPr>
          <w:lang w:val="es-ES_tradnl"/>
        </w:rPr>
        <w:t>.</w:t>
      </w:r>
    </w:p>
    <w:p w:rsidR="00A764A2" w:rsidRPr="00976BFF" w:rsidRDefault="00877E50" w:rsidP="00625FB3">
      <w:pPr>
        <w:pStyle w:val="Bullet"/>
        <w:rPr>
          <w:lang w:val="es-ES_tradnl"/>
        </w:rPr>
      </w:pPr>
      <w:r w:rsidRPr="00976BFF">
        <w:rPr>
          <w:lang w:val="es-ES_tradnl"/>
        </w:rPr>
        <w:t>El</w:t>
      </w:r>
      <w:r w:rsidRPr="00976BFF">
        <w:rPr>
          <w:i/>
          <w:lang w:val="es-ES_tradnl"/>
        </w:rPr>
        <w:t xml:space="preserve"> t</w:t>
      </w:r>
      <w:r w:rsidR="003D6DF4" w:rsidRPr="00976BFF">
        <w:rPr>
          <w:i/>
          <w:lang w:val="es-ES_tradnl"/>
        </w:rPr>
        <w:t>ope</w:t>
      </w:r>
      <w:r w:rsidRPr="00976BFF">
        <w:rPr>
          <w:lang w:val="es-ES_tradnl"/>
        </w:rPr>
        <w:t xml:space="preserve">, que representa el financiamiento a disposición de la unidad de ejecución. En el caso del </w:t>
      </w:r>
      <w:r w:rsidR="008A1019">
        <w:rPr>
          <w:lang w:val="es-ES_tradnl"/>
        </w:rPr>
        <w:t>programa</w:t>
      </w:r>
      <w:r w:rsidRPr="00976BFF">
        <w:rPr>
          <w:lang w:val="es-ES_tradnl"/>
        </w:rPr>
        <w:t xml:space="preserve">, el </w:t>
      </w:r>
      <w:r w:rsidRPr="00DA00F2">
        <w:rPr>
          <w:lang w:val="es-ES_tradnl"/>
        </w:rPr>
        <w:t>tope</w:t>
      </w:r>
      <w:r w:rsidRPr="00976BFF">
        <w:rPr>
          <w:lang w:val="es-ES_tradnl"/>
        </w:rPr>
        <w:t xml:space="preserve"> se establece para el MTOP en su conjunto. </w:t>
      </w:r>
      <w:r w:rsidR="002127D5" w:rsidRPr="00976BFF">
        <w:rPr>
          <w:lang w:val="es-ES_tradnl"/>
        </w:rPr>
        <w:t>Aunque, por definición, el tope no puede ser mayor que el crédito, en el pasado los créditos han superado ampliamente a los topes y se prevé que la situación no cambiará en el futuro próximo</w:t>
      </w:r>
      <w:r w:rsidR="003D6DF4" w:rsidRPr="00976BFF">
        <w:rPr>
          <w:lang w:val="es-ES_tradnl"/>
        </w:rPr>
        <w:t>.</w:t>
      </w:r>
    </w:p>
    <w:p w:rsidR="00A764A2" w:rsidRPr="00976BFF" w:rsidRDefault="002127D5" w:rsidP="00EB3076">
      <w:pPr>
        <w:pStyle w:val="Annexmain"/>
        <w:ind w:left="0" w:firstLine="0"/>
        <w:rPr>
          <w:lang w:val="es-ES_tradnl"/>
        </w:rPr>
      </w:pPr>
      <w:r w:rsidRPr="00976BFF">
        <w:rPr>
          <w:lang w:val="es-ES_tradnl"/>
        </w:rPr>
        <w:t xml:space="preserve">Los cuadros </w:t>
      </w:r>
      <w:r w:rsidR="003835A6" w:rsidRPr="00976BFF">
        <w:rPr>
          <w:lang w:val="es-ES_tradnl"/>
        </w:rPr>
        <w:t xml:space="preserve">A4.1 </w:t>
      </w:r>
      <w:r w:rsidRPr="00976BFF">
        <w:rPr>
          <w:lang w:val="es-ES_tradnl"/>
        </w:rPr>
        <w:t>y</w:t>
      </w:r>
      <w:r w:rsidR="003835A6" w:rsidRPr="00976BFF">
        <w:rPr>
          <w:lang w:val="es-ES_tradnl"/>
        </w:rPr>
        <w:t xml:space="preserve"> A4.2 </w:t>
      </w:r>
      <w:r w:rsidRPr="00976BFF">
        <w:rPr>
          <w:lang w:val="es-ES_tradnl"/>
        </w:rPr>
        <w:t>contienen los</w:t>
      </w:r>
      <w:r w:rsidR="003D6DF4" w:rsidRPr="00976BFF">
        <w:rPr>
          <w:lang w:val="es-ES_tradnl"/>
        </w:rPr>
        <w:t xml:space="preserve"> </w:t>
      </w:r>
      <w:r w:rsidR="004A26E3" w:rsidRPr="000B5989">
        <w:rPr>
          <w:lang w:val="es-ES_tradnl"/>
        </w:rPr>
        <w:t>créditos</w:t>
      </w:r>
      <w:r w:rsidR="003D6DF4" w:rsidRPr="000B5989">
        <w:rPr>
          <w:lang w:val="es-ES_tradnl"/>
        </w:rPr>
        <w:t xml:space="preserve"> de </w:t>
      </w:r>
      <w:r w:rsidRPr="000B5989">
        <w:rPr>
          <w:lang w:val="es-ES_tradnl"/>
        </w:rPr>
        <w:t>a</w:t>
      </w:r>
      <w:r w:rsidR="003D6DF4" w:rsidRPr="000B5989">
        <w:rPr>
          <w:lang w:val="es-ES_tradnl"/>
        </w:rPr>
        <w:t>pertura</w:t>
      </w:r>
      <w:r w:rsidR="003D6DF4" w:rsidRPr="00976BFF">
        <w:rPr>
          <w:lang w:val="es-ES_tradnl"/>
        </w:rPr>
        <w:t xml:space="preserve"> </w:t>
      </w:r>
      <w:r w:rsidRPr="00976BFF">
        <w:rPr>
          <w:lang w:val="es-ES_tradnl"/>
        </w:rPr>
        <w:t>establecidos en la Ley de Presupuesto de Uruguay</w:t>
      </w:r>
      <w:r w:rsidR="003D6DF4" w:rsidRPr="00976BFF">
        <w:rPr>
          <w:lang w:val="es-ES_tradnl"/>
        </w:rPr>
        <w:t>:</w:t>
      </w:r>
    </w:p>
    <w:p w:rsidR="00A764A2" w:rsidRDefault="00A764A2">
      <w:pPr>
        <w:jc w:val="center"/>
        <w:rPr>
          <w:b/>
          <w:lang w:val="es-ES_tradnl"/>
        </w:rPr>
      </w:pPr>
    </w:p>
    <w:p w:rsidR="00746A45" w:rsidRDefault="00746A45">
      <w:pPr>
        <w:jc w:val="center"/>
        <w:rPr>
          <w:b/>
          <w:lang w:val="es-ES_tradnl"/>
        </w:rPr>
      </w:pPr>
    </w:p>
    <w:p w:rsidR="00746A45" w:rsidRPr="00976BFF" w:rsidRDefault="00746A45">
      <w:pPr>
        <w:jc w:val="center"/>
        <w:rPr>
          <w:b/>
          <w:lang w:val="es-ES_tradnl"/>
        </w:rPr>
      </w:pPr>
    </w:p>
    <w:p w:rsidR="00A764A2" w:rsidRPr="00976BFF" w:rsidRDefault="002127D5">
      <w:pPr>
        <w:jc w:val="center"/>
        <w:rPr>
          <w:b/>
          <w:lang w:val="es-ES_tradnl"/>
        </w:rPr>
      </w:pPr>
      <w:r w:rsidRPr="00976BFF">
        <w:rPr>
          <w:rFonts w:ascii="Times New Roman" w:hAnsi="Times New Roman" w:cs="Times New Roman"/>
          <w:b/>
          <w:lang w:val="es-ES_tradnl"/>
        </w:rPr>
        <w:t>Cuadros</w:t>
      </w:r>
      <w:r w:rsidR="00C41F5D" w:rsidRPr="00976BFF">
        <w:rPr>
          <w:rFonts w:ascii="Times New Roman" w:hAnsi="Times New Roman" w:cs="Times New Roman"/>
          <w:b/>
          <w:lang w:val="es-ES_tradnl"/>
        </w:rPr>
        <w:t xml:space="preserve"> A4.1 </w:t>
      </w:r>
      <w:r w:rsidRPr="00976BFF">
        <w:rPr>
          <w:rFonts w:ascii="Times New Roman" w:hAnsi="Times New Roman" w:cs="Times New Roman"/>
          <w:b/>
          <w:lang w:val="es-ES_tradnl"/>
        </w:rPr>
        <w:t>y</w:t>
      </w:r>
      <w:r w:rsidR="00C41F5D" w:rsidRPr="00976BFF">
        <w:rPr>
          <w:rFonts w:ascii="Times New Roman" w:hAnsi="Times New Roman" w:cs="Times New Roman"/>
          <w:b/>
          <w:lang w:val="es-ES_tradnl"/>
        </w:rPr>
        <w:t xml:space="preserve"> A4.2.</w:t>
      </w:r>
      <w:r w:rsidR="00AC5830" w:rsidRPr="00976BFF">
        <w:rPr>
          <w:rFonts w:ascii="Times New Roman" w:hAnsi="Times New Roman" w:cs="Times New Roman"/>
          <w:b/>
          <w:lang w:val="es-ES_tradnl"/>
        </w:rPr>
        <w:t xml:space="preserve"> </w:t>
      </w:r>
      <w:r w:rsidRPr="00976BFF">
        <w:rPr>
          <w:rFonts w:ascii="Times New Roman" w:hAnsi="Times New Roman" w:cs="Times New Roman"/>
          <w:b/>
          <w:lang w:val="es-ES_tradnl"/>
        </w:rPr>
        <w:t>Créditos de apertura establecidos en la Ley de Presupuesto</w:t>
      </w:r>
    </w:p>
    <w:p w:rsidR="00A764A2" w:rsidRPr="00976BFF" w:rsidRDefault="00C3706E">
      <w:pPr>
        <w:rPr>
          <w:lang w:val="es-ES_tradnl"/>
        </w:rPr>
      </w:pPr>
      <w:r w:rsidRPr="00C3706E">
        <w:rPr>
          <w:noProof/>
        </w:rPr>
        <w:drawing>
          <wp:inline distT="0" distB="0" distL="0" distR="0">
            <wp:extent cx="5943600" cy="18555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55534"/>
                    </a:xfrm>
                    <a:prstGeom prst="rect">
                      <a:avLst/>
                    </a:prstGeom>
                    <a:noFill/>
                    <a:ln>
                      <a:noFill/>
                    </a:ln>
                  </pic:spPr>
                </pic:pic>
              </a:graphicData>
            </a:graphic>
          </wp:inline>
        </w:drawing>
      </w:r>
    </w:p>
    <w:p w:rsidR="00A764A2" w:rsidRPr="00976BFF" w:rsidRDefault="00A764A2">
      <w:pPr>
        <w:rPr>
          <w:lang w:val="es-ES_tradnl"/>
        </w:rPr>
      </w:pPr>
    </w:p>
    <w:p w:rsidR="00A764A2" w:rsidRPr="00976BFF" w:rsidRDefault="003D6DF4">
      <w:pPr>
        <w:pStyle w:val="Heading3"/>
        <w:rPr>
          <w:lang w:val="es-ES_tradnl"/>
        </w:rPr>
      </w:pPr>
      <w:bookmarkStart w:id="56" w:name="_Toc344927186"/>
      <w:r w:rsidRPr="00976BFF">
        <w:rPr>
          <w:lang w:val="es-ES_tradnl"/>
        </w:rPr>
        <w:t>S</w:t>
      </w:r>
      <w:r w:rsidR="00521A55" w:rsidRPr="00976BFF">
        <w:rPr>
          <w:lang w:val="es-ES_tradnl"/>
        </w:rPr>
        <w:t xml:space="preserve">ostenibilidad y previsibilidad del financiamiento del </w:t>
      </w:r>
      <w:bookmarkEnd w:id="56"/>
      <w:r w:rsidR="008A1019">
        <w:rPr>
          <w:lang w:val="es-ES_tradnl"/>
        </w:rPr>
        <w:t>programa</w:t>
      </w:r>
    </w:p>
    <w:p w:rsidR="00A764A2" w:rsidRPr="00976BFF" w:rsidRDefault="00521A55" w:rsidP="00EB3076">
      <w:pPr>
        <w:pStyle w:val="Annexmain"/>
        <w:ind w:left="0" w:firstLine="0"/>
        <w:rPr>
          <w:lang w:val="es-ES_tradnl"/>
        </w:rPr>
      </w:pPr>
      <w:r w:rsidRPr="00976BFF">
        <w:rPr>
          <w:lang w:val="es-ES_tradnl"/>
        </w:rPr>
        <w:t xml:space="preserve">El financiamiento del </w:t>
      </w:r>
      <w:r w:rsidR="008A1019">
        <w:rPr>
          <w:lang w:val="es-ES_tradnl"/>
        </w:rPr>
        <w:t>programa</w:t>
      </w:r>
      <w:r w:rsidRPr="00976BFF">
        <w:rPr>
          <w:lang w:val="es-ES_tradnl"/>
        </w:rPr>
        <w:t xml:space="preserve"> está altamente correlacionado con el crecimiento económico y los ingresos fiscales. No obstante, en los gráficos </w:t>
      </w:r>
      <w:r w:rsidR="003835A6" w:rsidRPr="00976BFF">
        <w:rPr>
          <w:lang w:val="es-ES_tradnl"/>
        </w:rPr>
        <w:t xml:space="preserve">A4.1 </w:t>
      </w:r>
      <w:r w:rsidRPr="00976BFF">
        <w:rPr>
          <w:lang w:val="es-ES_tradnl"/>
        </w:rPr>
        <w:t>y</w:t>
      </w:r>
      <w:r w:rsidR="003835A6" w:rsidRPr="00976BFF">
        <w:rPr>
          <w:lang w:val="es-ES_tradnl"/>
        </w:rPr>
        <w:t xml:space="preserve"> A4.2</w:t>
      </w:r>
      <w:r w:rsidRPr="00976BFF">
        <w:rPr>
          <w:lang w:val="es-ES_tradnl"/>
        </w:rPr>
        <w:t xml:space="preserve"> se observa que, durante los últimos cinco años, el total de la inversión pública ha aumentado a un ritmo más rápido que la inversión en el sector vial</w:t>
      </w:r>
      <w:r w:rsidR="003D6DF4" w:rsidRPr="00976BFF">
        <w:rPr>
          <w:lang w:val="es-ES_tradnl"/>
        </w:rPr>
        <w:t>.</w:t>
      </w:r>
    </w:p>
    <w:p w:rsidR="00865BD8" w:rsidRPr="00976BFF" w:rsidRDefault="00865BD8" w:rsidP="0039661E">
      <w:pPr>
        <w:rPr>
          <w:lang w:val="es-ES_tradnl"/>
        </w:rPr>
      </w:pPr>
    </w:p>
    <w:p w:rsidR="00A764A2" w:rsidRPr="00976BFF" w:rsidRDefault="00521A55">
      <w:pPr>
        <w:jc w:val="center"/>
        <w:rPr>
          <w:b/>
          <w:lang w:val="es-ES_tradnl"/>
        </w:rPr>
      </w:pPr>
      <w:r w:rsidRPr="00976BFF">
        <w:rPr>
          <w:rFonts w:ascii="Times New Roman" w:hAnsi="Times New Roman" w:cs="Times New Roman"/>
          <w:b/>
          <w:lang w:val="es-ES_tradnl"/>
        </w:rPr>
        <w:t>Gráficos</w:t>
      </w:r>
      <w:r w:rsidR="00C41F5D" w:rsidRPr="00976BFF">
        <w:rPr>
          <w:rFonts w:ascii="Times New Roman" w:hAnsi="Times New Roman" w:cs="Times New Roman"/>
          <w:b/>
          <w:lang w:val="es-ES_tradnl"/>
        </w:rPr>
        <w:t xml:space="preserve"> A4.1 </w:t>
      </w:r>
      <w:r w:rsidRPr="00976BFF">
        <w:rPr>
          <w:rFonts w:ascii="Times New Roman" w:hAnsi="Times New Roman" w:cs="Times New Roman"/>
          <w:b/>
          <w:lang w:val="es-ES_tradnl"/>
        </w:rPr>
        <w:t>y</w:t>
      </w:r>
      <w:r w:rsidR="00C41F5D" w:rsidRPr="00976BFF">
        <w:rPr>
          <w:rFonts w:ascii="Times New Roman" w:hAnsi="Times New Roman" w:cs="Times New Roman"/>
          <w:b/>
          <w:lang w:val="es-ES_tradnl"/>
        </w:rPr>
        <w:t xml:space="preserve"> A4.2.</w:t>
      </w:r>
      <w:r w:rsidR="00AC5830" w:rsidRPr="00976BFF">
        <w:rPr>
          <w:rFonts w:ascii="Times New Roman" w:hAnsi="Times New Roman" w:cs="Times New Roman"/>
          <w:b/>
          <w:lang w:val="es-ES_tradnl"/>
        </w:rPr>
        <w:t xml:space="preserve"> </w:t>
      </w:r>
      <w:r w:rsidRPr="00976BFF">
        <w:rPr>
          <w:rFonts w:ascii="Times New Roman" w:hAnsi="Times New Roman" w:cs="Times New Roman"/>
          <w:b/>
          <w:lang w:val="es-ES_tradnl"/>
        </w:rPr>
        <w:t>PIB e inversión</w:t>
      </w:r>
    </w:p>
    <w:p w:rsidR="00A764A2" w:rsidRPr="00976BFF" w:rsidRDefault="00A5552A">
      <w:pPr>
        <w:rPr>
          <w:noProof/>
          <w:lang w:val="es-ES_tradnl"/>
        </w:rPr>
      </w:pPr>
      <w:r w:rsidRPr="00976BFF">
        <w:rPr>
          <w:noProof/>
          <w:lang w:val="es-ES_tradnl"/>
        </w:rPr>
        <w:t xml:space="preserve"> </w:t>
      </w:r>
      <w:r w:rsidR="00BA42A7">
        <w:rPr>
          <w:noProof/>
        </w:rPr>
        <w:drawing>
          <wp:inline distT="0" distB="0" distL="0" distR="0">
            <wp:extent cx="3009900" cy="153928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697" cy="1544298"/>
                    </a:xfrm>
                    <a:prstGeom prst="rect">
                      <a:avLst/>
                    </a:prstGeom>
                    <a:noFill/>
                  </pic:spPr>
                </pic:pic>
              </a:graphicData>
            </a:graphic>
          </wp:inline>
        </w:drawing>
      </w:r>
      <w:r w:rsidR="001C47AE">
        <w:rPr>
          <w:noProof/>
          <w:lang w:val="es-ES_tradnl"/>
        </w:rPr>
        <w:t xml:space="preserve"> </w:t>
      </w:r>
      <w:r w:rsidR="00BA42A7">
        <w:rPr>
          <w:noProof/>
        </w:rPr>
        <w:drawing>
          <wp:inline distT="0" distB="0" distL="0" distR="0">
            <wp:extent cx="2768600" cy="1427344"/>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145" cy="1433811"/>
                    </a:xfrm>
                    <a:prstGeom prst="rect">
                      <a:avLst/>
                    </a:prstGeom>
                    <a:noFill/>
                  </pic:spPr>
                </pic:pic>
              </a:graphicData>
            </a:graphic>
          </wp:inline>
        </w:drawing>
      </w:r>
    </w:p>
    <w:p w:rsidR="00A764A2" w:rsidRPr="00976BFF" w:rsidRDefault="00521A55" w:rsidP="00EB3076">
      <w:pPr>
        <w:pStyle w:val="Annexmain"/>
        <w:ind w:left="0" w:firstLine="0"/>
        <w:rPr>
          <w:lang w:val="es-ES_tradnl"/>
        </w:rPr>
      </w:pPr>
      <w:r w:rsidRPr="00976BFF">
        <w:rPr>
          <w:lang w:val="es-ES_tradnl"/>
        </w:rPr>
        <w:t>Aunque en los últimos años la inversión en el sector vial no ha aumentado al mism</w:t>
      </w:r>
      <w:r w:rsidR="00DA00F2">
        <w:rPr>
          <w:lang w:val="es-ES_tradnl"/>
        </w:rPr>
        <w:t>o ritmo</w:t>
      </w:r>
      <w:r w:rsidRPr="00976BFF">
        <w:rPr>
          <w:lang w:val="es-ES_tradnl"/>
        </w:rPr>
        <w:t xml:space="preserve"> que en otros sectores de Uruguay, en el gráfico </w:t>
      </w:r>
      <w:r w:rsidR="003835A6" w:rsidRPr="00976BFF">
        <w:rPr>
          <w:lang w:val="es-ES_tradnl"/>
        </w:rPr>
        <w:t>A4.3</w:t>
      </w:r>
      <w:r w:rsidR="003D6DF4" w:rsidRPr="00976BFF">
        <w:rPr>
          <w:lang w:val="es-ES_tradnl"/>
        </w:rPr>
        <w:t xml:space="preserve"> </w:t>
      </w:r>
      <w:r w:rsidRPr="00976BFF">
        <w:rPr>
          <w:lang w:val="es-ES_tradnl"/>
        </w:rPr>
        <w:t xml:space="preserve">se observa un aumento considerable después de la crisis de </w:t>
      </w:r>
      <w:r w:rsidR="003D6DF4" w:rsidRPr="00976BFF">
        <w:rPr>
          <w:lang w:val="es-ES_tradnl"/>
        </w:rPr>
        <w:t>2002</w:t>
      </w:r>
      <w:r w:rsidR="0050779D">
        <w:rPr>
          <w:lang w:val="es-ES_tradnl"/>
        </w:rPr>
        <w:t xml:space="preserve"> para </w:t>
      </w:r>
      <w:r w:rsidRPr="00976BFF">
        <w:rPr>
          <w:lang w:val="es-ES_tradnl"/>
        </w:rPr>
        <w:t>reducir el cúmulo de obras atrasadas de mantenimiento vial</w:t>
      </w:r>
      <w:r w:rsidR="003D6DF4" w:rsidRPr="00976BFF">
        <w:rPr>
          <w:lang w:val="es-ES_tradnl"/>
        </w:rPr>
        <w:t>.</w:t>
      </w:r>
    </w:p>
    <w:p w:rsidR="00A764A2" w:rsidRPr="00976BFF" w:rsidRDefault="00A764A2">
      <w:pPr>
        <w:rPr>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A764A2" w:rsidRPr="00976BFF" w:rsidRDefault="00521A55">
      <w:pPr>
        <w:jc w:val="center"/>
        <w:rPr>
          <w:b/>
          <w:lang w:val="es-ES_tradnl"/>
        </w:rPr>
      </w:pPr>
      <w:r w:rsidRPr="00976BFF">
        <w:rPr>
          <w:rFonts w:ascii="Times New Roman" w:hAnsi="Times New Roman" w:cs="Times New Roman"/>
          <w:b/>
          <w:lang w:val="es-ES_tradnl"/>
        </w:rPr>
        <w:t>Gráfico</w:t>
      </w:r>
      <w:r w:rsidR="00C41F5D" w:rsidRPr="00976BFF">
        <w:rPr>
          <w:rFonts w:ascii="Times New Roman" w:hAnsi="Times New Roman" w:cs="Times New Roman"/>
          <w:b/>
          <w:lang w:val="es-ES_tradnl"/>
        </w:rPr>
        <w:t xml:space="preserve"> A4.3. </w:t>
      </w:r>
      <w:r w:rsidRPr="00976BFF">
        <w:rPr>
          <w:rFonts w:ascii="Times New Roman" w:hAnsi="Times New Roman" w:cs="Times New Roman"/>
          <w:b/>
          <w:lang w:val="es-ES_tradnl"/>
        </w:rPr>
        <w:t xml:space="preserve">Ejecución del presupuesto de la </w:t>
      </w:r>
      <w:r w:rsidR="00C41F5D" w:rsidRPr="00976BFF">
        <w:rPr>
          <w:rFonts w:ascii="Times New Roman" w:hAnsi="Times New Roman" w:cs="Times New Roman"/>
          <w:b/>
          <w:lang w:val="es-ES_tradnl"/>
        </w:rPr>
        <w:t>DNV</w:t>
      </w:r>
    </w:p>
    <w:p w:rsidR="00B7385B" w:rsidRPr="00976BFF" w:rsidRDefault="00BA42A7" w:rsidP="00B7385B">
      <w:pPr>
        <w:spacing w:after="0" w:line="240" w:lineRule="auto"/>
        <w:jc w:val="center"/>
        <w:rPr>
          <w:i/>
          <w:sz w:val="18"/>
          <w:szCs w:val="18"/>
          <w:lang w:val="es-ES_tradnl"/>
        </w:rPr>
      </w:pPr>
      <w:r>
        <w:rPr>
          <w:i/>
          <w:noProof/>
          <w:sz w:val="18"/>
          <w:szCs w:val="18"/>
        </w:rPr>
        <w:drawing>
          <wp:inline distT="0" distB="0" distL="0" distR="0">
            <wp:extent cx="4128992" cy="2565400"/>
            <wp:effectExtent l="0" t="0" r="508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9179" cy="2565516"/>
                    </a:xfrm>
                    <a:prstGeom prst="rect">
                      <a:avLst/>
                    </a:prstGeom>
                    <a:noFill/>
                  </pic:spPr>
                </pic:pic>
              </a:graphicData>
            </a:graphic>
          </wp:inline>
        </w:drawing>
      </w:r>
    </w:p>
    <w:p w:rsidR="00A764A2" w:rsidRPr="00976BFF" w:rsidRDefault="00A764A2">
      <w:pPr>
        <w:rPr>
          <w:lang w:val="es-ES_tradnl"/>
        </w:rPr>
      </w:pPr>
    </w:p>
    <w:p w:rsidR="00A764A2" w:rsidRPr="00976BFF" w:rsidRDefault="009E1D39">
      <w:pPr>
        <w:pStyle w:val="Heading3"/>
        <w:rPr>
          <w:lang w:val="es-ES_tradnl"/>
        </w:rPr>
      </w:pPr>
      <w:bookmarkStart w:id="57" w:name="_Toc344927187"/>
      <w:r w:rsidRPr="00976BFF">
        <w:rPr>
          <w:lang w:val="es-ES_tradnl"/>
        </w:rPr>
        <w:t xml:space="preserve">Concordancia entre el gasto presupuestado y la ejecución presupuestaria del </w:t>
      </w:r>
      <w:r w:rsidR="008A1019">
        <w:rPr>
          <w:lang w:val="es-ES_tradnl"/>
        </w:rPr>
        <w:t>programa</w:t>
      </w:r>
      <w:r w:rsidRPr="00976BFF">
        <w:rPr>
          <w:lang w:val="es-ES_tradnl"/>
        </w:rPr>
        <w:t xml:space="preserve"> y las prioridades del </w:t>
      </w:r>
      <w:bookmarkEnd w:id="57"/>
      <w:r w:rsidR="008A1019">
        <w:rPr>
          <w:lang w:val="es-ES_tradnl"/>
        </w:rPr>
        <w:t>programa</w:t>
      </w:r>
    </w:p>
    <w:p w:rsidR="00A764A2" w:rsidRPr="00976BFF" w:rsidRDefault="009E1D39" w:rsidP="00EB3076">
      <w:pPr>
        <w:pStyle w:val="Annexmain"/>
        <w:ind w:firstLine="0"/>
        <w:rPr>
          <w:lang w:val="es-ES_tradnl"/>
        </w:rPr>
      </w:pPr>
      <w:r w:rsidRPr="00976BFF">
        <w:rPr>
          <w:lang w:val="es-ES_tradnl"/>
        </w:rPr>
        <w:t>E</w:t>
      </w:r>
      <w:r w:rsidR="003D6DF4" w:rsidRPr="00976BFF">
        <w:rPr>
          <w:lang w:val="es-ES_tradnl"/>
        </w:rPr>
        <w:t xml:space="preserve">n 2011, </w:t>
      </w:r>
      <w:r w:rsidRPr="00976BFF">
        <w:rPr>
          <w:lang w:val="es-ES_tradnl"/>
        </w:rPr>
        <w:t xml:space="preserve">la </w:t>
      </w:r>
      <w:r w:rsidR="003D6DF4" w:rsidRPr="00976BFF">
        <w:rPr>
          <w:lang w:val="es-ES_tradnl"/>
        </w:rPr>
        <w:t xml:space="preserve">DNV </w:t>
      </w:r>
      <w:r w:rsidRPr="00976BFF">
        <w:rPr>
          <w:lang w:val="es-ES_tradnl"/>
        </w:rPr>
        <w:t xml:space="preserve">recibió aproximadamente el </w:t>
      </w:r>
      <w:r w:rsidR="003D6DF4" w:rsidRPr="00976BFF">
        <w:rPr>
          <w:lang w:val="es-ES_tradnl"/>
        </w:rPr>
        <w:t>75</w:t>
      </w:r>
      <w:r w:rsidRPr="00976BFF">
        <w:rPr>
          <w:lang w:val="es-ES_tradnl"/>
        </w:rPr>
        <w:t xml:space="preserve">% del tope de gasto presupuestario </w:t>
      </w:r>
      <w:r w:rsidR="000F4ED7" w:rsidRPr="00976BFF">
        <w:rPr>
          <w:lang w:val="es-ES_tradnl"/>
        </w:rPr>
        <w:t>del</w:t>
      </w:r>
      <w:r w:rsidRPr="00976BFF">
        <w:rPr>
          <w:lang w:val="es-ES_tradnl"/>
        </w:rPr>
        <w:t xml:space="preserve"> MTOP. Este orden de magnitud ha sido constante durante los últimos años, lo que demuestra la importancia</w:t>
      </w:r>
      <w:r w:rsidR="000F4ED7" w:rsidRPr="00976BFF">
        <w:rPr>
          <w:lang w:val="es-ES_tradnl"/>
        </w:rPr>
        <w:t xml:space="preserve"> asignada al </w:t>
      </w:r>
      <w:r w:rsidR="008A1019">
        <w:rPr>
          <w:lang w:val="es-ES_tradnl"/>
        </w:rPr>
        <w:t>programa</w:t>
      </w:r>
      <w:r w:rsidR="000F4ED7" w:rsidRPr="00976BFF">
        <w:rPr>
          <w:lang w:val="es-ES_tradnl"/>
        </w:rPr>
        <w:t xml:space="preserve"> dentro de las actividades del MTOP, donde las prioridades están en consonancia con las asignaciones presupuestarias</w:t>
      </w:r>
      <w:r w:rsidR="003D6DF4" w:rsidRPr="00976BFF">
        <w:rPr>
          <w:lang w:val="es-ES_tradnl"/>
        </w:rPr>
        <w:t>.</w:t>
      </w:r>
    </w:p>
    <w:p w:rsidR="00A764A2" w:rsidRPr="00976BFF" w:rsidRDefault="003D6DF4" w:rsidP="00EB3076">
      <w:pPr>
        <w:pStyle w:val="Heading3"/>
        <w:rPr>
          <w:lang w:val="es-ES_tradnl"/>
        </w:rPr>
      </w:pPr>
      <w:bookmarkStart w:id="58" w:name="_Toc344927188"/>
      <w:r w:rsidRPr="00976BFF">
        <w:rPr>
          <w:lang w:val="es-ES_tradnl"/>
        </w:rPr>
        <w:t>Ef</w:t>
      </w:r>
      <w:r w:rsidR="000F4ED7" w:rsidRPr="00976BFF">
        <w:rPr>
          <w:lang w:val="es-ES_tradnl"/>
        </w:rPr>
        <w:t>iciencia del gasto público</w:t>
      </w:r>
      <w:bookmarkEnd w:id="58"/>
    </w:p>
    <w:p w:rsidR="00A764A2" w:rsidRPr="00976BFF" w:rsidRDefault="000F4ED7" w:rsidP="00EB3076">
      <w:pPr>
        <w:pStyle w:val="Annexmain"/>
        <w:ind w:firstLine="0"/>
        <w:rPr>
          <w:lang w:val="es-ES_tradnl"/>
        </w:rPr>
      </w:pPr>
      <w:r w:rsidRPr="00976BFF">
        <w:rPr>
          <w:lang w:val="es-ES_tradnl"/>
        </w:rPr>
        <w:t>El cuadro</w:t>
      </w:r>
      <w:r w:rsidR="003835A6" w:rsidRPr="00976BFF">
        <w:rPr>
          <w:lang w:val="es-ES_tradnl"/>
        </w:rPr>
        <w:t xml:space="preserve"> A4.3</w:t>
      </w:r>
      <w:r w:rsidR="003D6DF4" w:rsidRPr="00976BFF">
        <w:rPr>
          <w:lang w:val="es-ES_tradnl"/>
        </w:rPr>
        <w:t xml:space="preserve"> </w:t>
      </w:r>
      <w:r w:rsidR="00B704D3" w:rsidRPr="00976BFF">
        <w:rPr>
          <w:lang w:val="es-ES_tradnl"/>
        </w:rPr>
        <w:t>contiene un conjunto de coeficientes que permiten comparar la evolución de los diversos conceptos del presupuesto de la DNV. Las principales conclusiones que se derivan del cuadro</w:t>
      </w:r>
      <w:r w:rsidR="005848EA" w:rsidRPr="00976BFF">
        <w:rPr>
          <w:lang w:val="es-ES_tradnl"/>
        </w:rPr>
        <w:t xml:space="preserve"> son las siguientes: i) en promedio, los topes ascienden al 60% de los créditos, lo que pone de relieve que el </w:t>
      </w:r>
      <w:r w:rsidR="00DA00F2">
        <w:rPr>
          <w:lang w:val="es-ES_tradnl"/>
        </w:rPr>
        <w:t>p</w:t>
      </w:r>
      <w:r w:rsidR="009B073D" w:rsidRPr="00976BFF">
        <w:rPr>
          <w:lang w:val="es-ES_tradnl"/>
        </w:rPr>
        <w:t>rograma</w:t>
      </w:r>
      <w:r w:rsidR="005848EA" w:rsidRPr="00976BFF">
        <w:rPr>
          <w:lang w:val="es-ES_tradnl"/>
        </w:rPr>
        <w:t xml:space="preserve"> del Gobierno no dispone de todo el financiamiento necesario para lograr una mejora considerable del estado de las carreteras en la red vial nacional en su conjunto; ii) a partir de 2007, este </w:t>
      </w:r>
      <w:r w:rsidR="004A26E3" w:rsidRPr="00976BFF">
        <w:rPr>
          <w:lang w:val="es-ES_tradnl"/>
        </w:rPr>
        <w:t>déficit</w:t>
      </w:r>
      <w:r w:rsidR="005848EA" w:rsidRPr="00976BFF">
        <w:rPr>
          <w:lang w:val="es-ES_tradnl"/>
        </w:rPr>
        <w:t xml:space="preserve"> de financiamiento tiende a reducirse; iii) durante los últimos cinco años, la DNV logró ejecutar totalmente los recursos del </w:t>
      </w:r>
      <w:r w:rsidR="008A1019">
        <w:rPr>
          <w:lang w:val="es-ES_tradnl"/>
        </w:rPr>
        <w:t>programa</w:t>
      </w:r>
      <w:r w:rsidR="005848EA" w:rsidRPr="00976BFF">
        <w:rPr>
          <w:lang w:val="es-ES_tradnl"/>
        </w:rPr>
        <w:t xml:space="preserve">. En síntesis, este análisis de las tendencias pasadas destaca la capacidad de la DNV </w:t>
      </w:r>
      <w:r w:rsidR="002E176B" w:rsidRPr="00976BFF">
        <w:rPr>
          <w:lang w:val="es-ES_tradnl"/>
        </w:rPr>
        <w:t xml:space="preserve">con respecto a la ejecución del presupuesto y, por lo tanto, a la ejecución del </w:t>
      </w:r>
      <w:r w:rsidR="008A1019">
        <w:rPr>
          <w:lang w:val="es-ES_tradnl"/>
        </w:rPr>
        <w:t>programa</w:t>
      </w:r>
      <w:r w:rsidR="003A17FB" w:rsidRPr="00976BFF">
        <w:rPr>
          <w:lang w:val="es-ES_tradnl"/>
        </w:rPr>
        <w:t>.</w:t>
      </w:r>
    </w:p>
    <w:p w:rsidR="00A764A2" w:rsidRPr="00976BFF" w:rsidRDefault="00A764A2">
      <w:pPr>
        <w:rPr>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8437BD" w:rsidRDefault="008437BD">
      <w:pPr>
        <w:jc w:val="center"/>
        <w:rPr>
          <w:rFonts w:ascii="Times New Roman" w:hAnsi="Times New Roman" w:cs="Times New Roman"/>
          <w:b/>
          <w:lang w:val="es-ES_tradnl"/>
        </w:rPr>
      </w:pPr>
    </w:p>
    <w:p w:rsidR="00A764A2" w:rsidRPr="00976BFF" w:rsidRDefault="002E176B">
      <w:pPr>
        <w:jc w:val="center"/>
        <w:rPr>
          <w:b/>
          <w:lang w:val="es-ES_tradnl"/>
        </w:rPr>
      </w:pPr>
      <w:r w:rsidRPr="00976BFF">
        <w:rPr>
          <w:rFonts w:ascii="Times New Roman" w:hAnsi="Times New Roman" w:cs="Times New Roman"/>
          <w:b/>
          <w:lang w:val="es-ES_tradnl"/>
        </w:rPr>
        <w:t>Cuadro</w:t>
      </w:r>
      <w:r w:rsidR="00C41F5D" w:rsidRPr="00976BFF">
        <w:rPr>
          <w:rFonts w:ascii="Times New Roman" w:hAnsi="Times New Roman" w:cs="Times New Roman"/>
          <w:b/>
          <w:lang w:val="es-ES_tradnl"/>
        </w:rPr>
        <w:t xml:space="preserve"> A4.3. DNV</w:t>
      </w:r>
      <w:r w:rsidRPr="00976BFF">
        <w:rPr>
          <w:rFonts w:ascii="Times New Roman" w:hAnsi="Times New Roman" w:cs="Times New Roman"/>
          <w:b/>
          <w:lang w:val="es-ES_tradnl"/>
        </w:rPr>
        <w:t>, en coeficientes (</w:t>
      </w:r>
      <w:r w:rsidR="00C41F5D" w:rsidRPr="00976BFF">
        <w:rPr>
          <w:rFonts w:ascii="Times New Roman" w:hAnsi="Times New Roman" w:cs="Times New Roman"/>
          <w:b/>
          <w:lang w:val="es-ES_tradnl"/>
        </w:rPr>
        <w:t>2005-09</w:t>
      </w:r>
      <w:r w:rsidRPr="00976BFF">
        <w:rPr>
          <w:rFonts w:ascii="Times New Roman" w:hAnsi="Times New Roman" w:cs="Times New Roman"/>
          <w:b/>
          <w:lang w:val="es-ES_tradnl"/>
        </w:rPr>
        <w:t>)</w:t>
      </w:r>
    </w:p>
    <w:p w:rsidR="00A764A2" w:rsidRPr="00976BFF" w:rsidRDefault="003D6DF4">
      <w:pPr>
        <w:jc w:val="center"/>
        <w:rPr>
          <w:lang w:val="es-ES_tradnl"/>
        </w:rPr>
      </w:pPr>
      <w:r w:rsidRPr="00976BFF">
        <w:rPr>
          <w:noProof/>
        </w:rPr>
        <w:drawing>
          <wp:inline distT="0" distB="0" distL="0" distR="0">
            <wp:extent cx="4488180" cy="1577340"/>
            <wp:effectExtent l="19050" t="0" r="762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88180" cy="1577340"/>
                    </a:xfrm>
                    <a:prstGeom prst="rect">
                      <a:avLst/>
                    </a:prstGeom>
                    <a:noFill/>
                    <a:ln w="9525">
                      <a:noFill/>
                      <a:miter lim="800000"/>
                      <a:headEnd/>
                      <a:tailEnd/>
                    </a:ln>
                  </pic:spPr>
                </pic:pic>
              </a:graphicData>
            </a:graphic>
          </wp:inline>
        </w:drawing>
      </w:r>
    </w:p>
    <w:p w:rsidR="00A764A2" w:rsidRPr="00976BFF" w:rsidRDefault="00C41F5D">
      <w:pPr>
        <w:rPr>
          <w:sz w:val="18"/>
          <w:szCs w:val="18"/>
          <w:lang w:val="es-ES_tradnl"/>
        </w:rPr>
      </w:pPr>
      <w:r w:rsidRPr="000B5989">
        <w:rPr>
          <w:rFonts w:ascii="Times New Roman" w:hAnsi="Times New Roman" w:cs="Times New Roman"/>
          <w:i/>
          <w:sz w:val="18"/>
          <w:szCs w:val="18"/>
          <w:lang w:val="es-ES_tradnl"/>
        </w:rPr>
        <w:t>Nota:</w:t>
      </w:r>
      <w:r w:rsidRPr="00976BFF">
        <w:rPr>
          <w:rFonts w:ascii="Times New Roman" w:hAnsi="Times New Roman" w:cs="Times New Roman"/>
          <w:sz w:val="18"/>
          <w:szCs w:val="18"/>
          <w:lang w:val="es-ES_tradnl"/>
        </w:rPr>
        <w:t xml:space="preserve"> CA: </w:t>
      </w:r>
      <w:r w:rsidR="00650A31">
        <w:rPr>
          <w:rFonts w:ascii="Times New Roman" w:hAnsi="Times New Roman" w:cs="Times New Roman"/>
          <w:sz w:val="18"/>
          <w:szCs w:val="18"/>
          <w:lang w:val="es-ES_tradnl"/>
        </w:rPr>
        <w:t>c</w:t>
      </w:r>
      <w:r w:rsidR="00650A31" w:rsidRPr="00976BFF">
        <w:rPr>
          <w:rFonts w:ascii="Times New Roman" w:hAnsi="Times New Roman" w:cs="Times New Roman"/>
          <w:sz w:val="18"/>
          <w:szCs w:val="18"/>
          <w:lang w:val="es-ES_tradnl"/>
        </w:rPr>
        <w:t xml:space="preserve">rédito </w:t>
      </w:r>
      <w:r w:rsidRPr="00976BFF">
        <w:rPr>
          <w:rFonts w:ascii="Times New Roman" w:hAnsi="Times New Roman" w:cs="Times New Roman"/>
          <w:sz w:val="18"/>
          <w:szCs w:val="18"/>
          <w:lang w:val="es-ES_tradnl"/>
        </w:rPr>
        <w:t xml:space="preserve">de </w:t>
      </w:r>
      <w:r w:rsidR="00650A31">
        <w:rPr>
          <w:rFonts w:ascii="Times New Roman" w:hAnsi="Times New Roman" w:cs="Times New Roman"/>
          <w:sz w:val="18"/>
          <w:szCs w:val="18"/>
          <w:lang w:val="es-ES_tradnl"/>
        </w:rPr>
        <w:t>a</w:t>
      </w:r>
      <w:r w:rsidR="00650A31" w:rsidRPr="00976BFF">
        <w:rPr>
          <w:rFonts w:ascii="Times New Roman" w:hAnsi="Times New Roman" w:cs="Times New Roman"/>
          <w:sz w:val="18"/>
          <w:szCs w:val="18"/>
          <w:lang w:val="es-ES_tradnl"/>
        </w:rPr>
        <w:t xml:space="preserve">pertura </w:t>
      </w:r>
      <w:r w:rsidRPr="00976BFF">
        <w:rPr>
          <w:rFonts w:ascii="Times New Roman" w:hAnsi="Times New Roman" w:cs="Times New Roman"/>
          <w:sz w:val="18"/>
          <w:szCs w:val="18"/>
          <w:lang w:val="es-ES_tradnl"/>
        </w:rPr>
        <w:t>(</w:t>
      </w:r>
      <w:r w:rsidR="002E176B" w:rsidRPr="00976BFF">
        <w:rPr>
          <w:rFonts w:ascii="Times New Roman" w:hAnsi="Times New Roman" w:cs="Times New Roman"/>
          <w:sz w:val="18"/>
          <w:szCs w:val="18"/>
          <w:lang w:val="es-ES_tradnl"/>
        </w:rPr>
        <w:t xml:space="preserve">al inicio del </w:t>
      </w:r>
      <w:r w:rsidR="00650A31">
        <w:rPr>
          <w:rFonts w:ascii="Times New Roman" w:hAnsi="Times New Roman" w:cs="Times New Roman"/>
          <w:sz w:val="18"/>
          <w:szCs w:val="18"/>
          <w:lang w:val="es-ES_tradnl"/>
        </w:rPr>
        <w:t>año fiscal</w:t>
      </w:r>
      <w:r w:rsidRPr="00976BFF">
        <w:rPr>
          <w:rFonts w:ascii="Times New Roman" w:hAnsi="Times New Roman" w:cs="Times New Roman"/>
          <w:sz w:val="18"/>
          <w:szCs w:val="18"/>
          <w:lang w:val="es-ES_tradnl"/>
        </w:rPr>
        <w:t xml:space="preserve">); CF: </w:t>
      </w:r>
      <w:r w:rsidR="00650A31">
        <w:rPr>
          <w:rFonts w:ascii="Times New Roman" w:hAnsi="Times New Roman" w:cs="Times New Roman"/>
          <w:sz w:val="18"/>
          <w:szCs w:val="18"/>
          <w:lang w:val="es-ES_tradnl"/>
        </w:rPr>
        <w:t>c</w:t>
      </w:r>
      <w:r w:rsidR="00650A31" w:rsidRPr="00976BFF">
        <w:rPr>
          <w:rFonts w:ascii="Times New Roman" w:hAnsi="Times New Roman" w:cs="Times New Roman"/>
          <w:sz w:val="18"/>
          <w:szCs w:val="18"/>
          <w:lang w:val="es-ES_tradnl"/>
        </w:rPr>
        <w:t xml:space="preserve">rédito </w:t>
      </w:r>
      <w:r w:rsidR="00650A31">
        <w:rPr>
          <w:rFonts w:ascii="Times New Roman" w:hAnsi="Times New Roman" w:cs="Times New Roman"/>
          <w:sz w:val="18"/>
          <w:szCs w:val="18"/>
          <w:lang w:val="es-ES_tradnl"/>
        </w:rPr>
        <w:t>f</w:t>
      </w:r>
      <w:r w:rsidR="00650A31" w:rsidRPr="00976BFF">
        <w:rPr>
          <w:rFonts w:ascii="Times New Roman" w:hAnsi="Times New Roman" w:cs="Times New Roman"/>
          <w:sz w:val="18"/>
          <w:szCs w:val="18"/>
          <w:lang w:val="es-ES_tradnl"/>
        </w:rPr>
        <w:t xml:space="preserve">inal </w:t>
      </w:r>
      <w:r w:rsidRPr="00976BFF">
        <w:rPr>
          <w:rFonts w:ascii="Times New Roman" w:hAnsi="Times New Roman" w:cs="Times New Roman"/>
          <w:sz w:val="18"/>
          <w:szCs w:val="18"/>
          <w:lang w:val="es-ES_tradnl"/>
        </w:rPr>
        <w:t>(a</w:t>
      </w:r>
      <w:r w:rsidR="002E176B" w:rsidRPr="00976BFF">
        <w:rPr>
          <w:rFonts w:ascii="Times New Roman" w:hAnsi="Times New Roman" w:cs="Times New Roman"/>
          <w:sz w:val="18"/>
          <w:szCs w:val="18"/>
          <w:lang w:val="es-ES_tradnl"/>
        </w:rPr>
        <w:t xml:space="preserve">l cierre del </w:t>
      </w:r>
      <w:r w:rsidR="00650A31">
        <w:rPr>
          <w:rFonts w:ascii="Times New Roman" w:hAnsi="Times New Roman" w:cs="Times New Roman"/>
          <w:sz w:val="18"/>
          <w:szCs w:val="18"/>
          <w:lang w:val="es-ES_tradnl"/>
        </w:rPr>
        <w:t>año fiscal</w:t>
      </w:r>
      <w:r w:rsidRPr="00976BFF">
        <w:rPr>
          <w:rFonts w:ascii="Times New Roman" w:hAnsi="Times New Roman" w:cs="Times New Roman"/>
          <w:sz w:val="18"/>
          <w:szCs w:val="18"/>
          <w:lang w:val="es-ES_tradnl"/>
        </w:rPr>
        <w:t xml:space="preserve">); TA: </w:t>
      </w:r>
      <w:r w:rsidR="00650A31">
        <w:rPr>
          <w:rFonts w:ascii="Times New Roman" w:hAnsi="Times New Roman" w:cs="Times New Roman"/>
          <w:sz w:val="18"/>
          <w:szCs w:val="18"/>
          <w:lang w:val="es-ES_tradnl"/>
        </w:rPr>
        <w:t>t</w:t>
      </w:r>
      <w:r w:rsidR="00650A31" w:rsidRPr="00976BFF">
        <w:rPr>
          <w:rFonts w:ascii="Times New Roman" w:hAnsi="Times New Roman" w:cs="Times New Roman"/>
          <w:sz w:val="18"/>
          <w:szCs w:val="18"/>
          <w:lang w:val="es-ES_tradnl"/>
        </w:rPr>
        <w:t xml:space="preserve">ope </w:t>
      </w:r>
      <w:r w:rsidR="00650A31">
        <w:rPr>
          <w:rFonts w:ascii="Times New Roman" w:hAnsi="Times New Roman" w:cs="Times New Roman"/>
          <w:sz w:val="18"/>
          <w:szCs w:val="18"/>
          <w:lang w:val="es-ES_tradnl"/>
        </w:rPr>
        <w:t>a</w:t>
      </w:r>
      <w:r w:rsidR="00650A31" w:rsidRPr="00976BFF">
        <w:rPr>
          <w:rFonts w:ascii="Times New Roman" w:hAnsi="Times New Roman" w:cs="Times New Roman"/>
          <w:sz w:val="18"/>
          <w:szCs w:val="18"/>
          <w:lang w:val="es-ES_tradnl"/>
        </w:rPr>
        <w:t>pertura</w:t>
      </w:r>
      <w:r w:rsidR="004A26E3" w:rsidRPr="00976BFF">
        <w:rPr>
          <w:rFonts w:ascii="Times New Roman" w:hAnsi="Times New Roman" w:cs="Times New Roman"/>
          <w:sz w:val="18"/>
          <w:szCs w:val="18"/>
          <w:lang w:val="es-ES_tradnl"/>
        </w:rPr>
        <w:t>;</w:t>
      </w:r>
      <w:r w:rsidRPr="00976BFF">
        <w:rPr>
          <w:rFonts w:ascii="Times New Roman" w:hAnsi="Times New Roman" w:cs="Times New Roman"/>
          <w:sz w:val="18"/>
          <w:szCs w:val="18"/>
          <w:lang w:val="es-ES_tradnl"/>
        </w:rPr>
        <w:t xml:space="preserve"> TF: </w:t>
      </w:r>
      <w:r w:rsidR="00650A31">
        <w:rPr>
          <w:rFonts w:ascii="Times New Roman" w:hAnsi="Times New Roman" w:cs="Times New Roman"/>
          <w:sz w:val="18"/>
          <w:szCs w:val="18"/>
          <w:lang w:val="es-ES_tradnl"/>
        </w:rPr>
        <w:t>t</w:t>
      </w:r>
      <w:r w:rsidR="00650A31" w:rsidRPr="00976BFF">
        <w:rPr>
          <w:rFonts w:ascii="Times New Roman" w:hAnsi="Times New Roman" w:cs="Times New Roman"/>
          <w:sz w:val="18"/>
          <w:szCs w:val="18"/>
          <w:lang w:val="es-ES_tradnl"/>
        </w:rPr>
        <w:t xml:space="preserve">ope </w:t>
      </w:r>
      <w:r w:rsidR="00650A31">
        <w:rPr>
          <w:rFonts w:ascii="Times New Roman" w:hAnsi="Times New Roman" w:cs="Times New Roman"/>
          <w:sz w:val="18"/>
          <w:szCs w:val="18"/>
          <w:lang w:val="es-ES_tradnl"/>
        </w:rPr>
        <w:t>f</w:t>
      </w:r>
      <w:r w:rsidR="00650A31" w:rsidRPr="00976BFF">
        <w:rPr>
          <w:rFonts w:ascii="Times New Roman" w:hAnsi="Times New Roman" w:cs="Times New Roman"/>
          <w:sz w:val="18"/>
          <w:szCs w:val="18"/>
          <w:lang w:val="es-ES_tradnl"/>
        </w:rPr>
        <w:t>inal</w:t>
      </w:r>
      <w:r w:rsidR="004A26E3" w:rsidRPr="00976BFF">
        <w:rPr>
          <w:rFonts w:ascii="Times New Roman" w:hAnsi="Times New Roman" w:cs="Times New Roman"/>
          <w:sz w:val="18"/>
          <w:szCs w:val="18"/>
          <w:lang w:val="es-ES_tradnl"/>
        </w:rPr>
        <w:t>;</w:t>
      </w:r>
      <w:r w:rsidRPr="00976BFF">
        <w:rPr>
          <w:rFonts w:ascii="Times New Roman" w:hAnsi="Times New Roman" w:cs="Times New Roman"/>
          <w:sz w:val="18"/>
          <w:szCs w:val="18"/>
          <w:lang w:val="es-ES_tradnl"/>
        </w:rPr>
        <w:t xml:space="preserve"> E</w:t>
      </w:r>
      <w:r w:rsidR="002E176B" w:rsidRPr="00976BFF">
        <w:rPr>
          <w:rFonts w:ascii="Times New Roman" w:hAnsi="Times New Roman" w:cs="Times New Roman"/>
          <w:sz w:val="18"/>
          <w:szCs w:val="18"/>
          <w:lang w:val="es-ES_tradnl"/>
        </w:rPr>
        <w:t>je</w:t>
      </w:r>
      <w:r w:rsidRPr="00976BFF">
        <w:rPr>
          <w:rFonts w:ascii="Times New Roman" w:hAnsi="Times New Roman" w:cs="Times New Roman"/>
          <w:sz w:val="18"/>
          <w:szCs w:val="18"/>
          <w:lang w:val="es-ES_tradnl"/>
        </w:rPr>
        <w:t xml:space="preserve">: </w:t>
      </w:r>
      <w:r w:rsidR="002E176B" w:rsidRPr="00976BFF">
        <w:rPr>
          <w:rFonts w:ascii="Times New Roman" w:hAnsi="Times New Roman" w:cs="Times New Roman"/>
          <w:sz w:val="18"/>
          <w:szCs w:val="18"/>
          <w:lang w:val="es-ES_tradnl"/>
        </w:rPr>
        <w:t>ejecución del presupuesto</w:t>
      </w:r>
      <w:r w:rsidR="00C62172">
        <w:rPr>
          <w:rFonts w:ascii="Times New Roman" w:hAnsi="Times New Roman" w:cs="Times New Roman"/>
          <w:sz w:val="18"/>
          <w:szCs w:val="18"/>
          <w:lang w:val="es-ES_tradnl"/>
        </w:rPr>
        <w:t>.</w:t>
      </w:r>
    </w:p>
    <w:p w:rsidR="00A764A2" w:rsidRPr="00976BFF" w:rsidRDefault="00A764A2">
      <w:pPr>
        <w:rPr>
          <w:lang w:val="es-ES_tradnl"/>
        </w:rPr>
      </w:pPr>
    </w:p>
    <w:p w:rsidR="003D6DF4" w:rsidRPr="00976BFF" w:rsidRDefault="002E176B" w:rsidP="00D2000A">
      <w:pPr>
        <w:pStyle w:val="Heading2"/>
        <w:numPr>
          <w:ilvl w:val="1"/>
          <w:numId w:val="6"/>
        </w:numPr>
        <w:rPr>
          <w:rFonts w:ascii="Times New Roman" w:hAnsi="Times New Roman"/>
          <w:b/>
          <w:sz w:val="22"/>
          <w:lang w:val="es-ES_tradnl"/>
        </w:rPr>
      </w:pPr>
      <w:bookmarkStart w:id="59" w:name="_Toc344927189"/>
      <w:bookmarkStart w:id="60" w:name="_Toc327540003"/>
      <w:r w:rsidRPr="00976BFF">
        <w:rPr>
          <w:rFonts w:ascii="Times New Roman" w:hAnsi="Times New Roman"/>
          <w:b/>
          <w:sz w:val="22"/>
          <w:lang w:val="es-ES_tradnl"/>
        </w:rPr>
        <w:t xml:space="preserve">Evaluación económica del </w:t>
      </w:r>
      <w:bookmarkEnd w:id="59"/>
      <w:r w:rsidR="008A1019">
        <w:rPr>
          <w:rFonts w:ascii="Times New Roman" w:hAnsi="Times New Roman"/>
          <w:b/>
          <w:sz w:val="22"/>
          <w:lang w:val="es-ES_tradnl"/>
        </w:rPr>
        <w:t>programa</w:t>
      </w:r>
      <w:r w:rsidR="00EF0655" w:rsidRPr="00976BFF">
        <w:rPr>
          <w:rFonts w:ascii="Times New Roman" w:hAnsi="Times New Roman"/>
          <w:b/>
          <w:sz w:val="22"/>
          <w:lang w:val="es-ES_tradnl"/>
        </w:rPr>
        <w:t xml:space="preserve"> </w:t>
      </w:r>
      <w:bookmarkEnd w:id="60"/>
    </w:p>
    <w:p w:rsidR="00A764A2" w:rsidRPr="00976BFF" w:rsidRDefault="003055B8">
      <w:pPr>
        <w:pStyle w:val="Heading3"/>
        <w:rPr>
          <w:lang w:val="es-ES_tradnl"/>
        </w:rPr>
      </w:pPr>
      <w:bookmarkStart w:id="61" w:name="_Toc344927190"/>
      <w:r w:rsidRPr="00976BFF">
        <w:rPr>
          <w:lang w:val="es-ES_tradnl"/>
        </w:rPr>
        <w:t>Justificación del suministro a través de canales públicos</w:t>
      </w:r>
      <w:bookmarkEnd w:id="61"/>
    </w:p>
    <w:p w:rsidR="00A764A2" w:rsidRPr="00976BFF" w:rsidRDefault="003055B8" w:rsidP="00EB3076">
      <w:pPr>
        <w:pStyle w:val="Annexmain"/>
        <w:ind w:firstLine="0"/>
        <w:rPr>
          <w:lang w:val="es-ES_tradnl"/>
        </w:rPr>
      </w:pPr>
      <w:r w:rsidRPr="00976BFF">
        <w:rPr>
          <w:lang w:val="es-ES_tradnl"/>
        </w:rPr>
        <w:t xml:space="preserve">El mantenimiento de la red vial nacional de </w:t>
      </w:r>
      <w:r w:rsidR="00240EFC" w:rsidRPr="00976BFF">
        <w:rPr>
          <w:lang w:val="es-ES_tradnl"/>
        </w:rPr>
        <w:t>Uruguay</w:t>
      </w:r>
      <w:r w:rsidRPr="00976BFF">
        <w:rPr>
          <w:lang w:val="es-ES_tradnl"/>
        </w:rPr>
        <w:t xml:space="preserve"> es una de las responsabilidades básicas del MTOP, como lo justifica la necesidad inherente de apoyo público </w:t>
      </w:r>
      <w:r w:rsidR="000E4897" w:rsidRPr="00976BFF">
        <w:rPr>
          <w:lang w:val="es-ES_tradnl"/>
        </w:rPr>
        <w:t>en lo que respecta a proporcionar infraestructura de transporte, con la participación del sector privado toda vez que sea posible. El</w:t>
      </w:r>
      <w:r w:rsidR="00DD2449" w:rsidRPr="00976BFF">
        <w:rPr>
          <w:lang w:val="es-ES_tradnl"/>
        </w:rPr>
        <w:t xml:space="preserve"> </w:t>
      </w:r>
      <w:r w:rsidR="008A1019">
        <w:rPr>
          <w:lang w:val="es-ES_tradnl"/>
        </w:rPr>
        <w:t>programa</w:t>
      </w:r>
      <w:r w:rsidR="00DD2449" w:rsidRPr="00976BFF">
        <w:rPr>
          <w:lang w:val="es-ES_tradnl"/>
        </w:rPr>
        <w:t xml:space="preserve"> es apropiado para</w:t>
      </w:r>
      <w:r w:rsidR="000E4897" w:rsidRPr="00976BFF">
        <w:rPr>
          <w:lang w:val="es-ES_tradnl"/>
        </w:rPr>
        <w:t xml:space="preserve"> </w:t>
      </w:r>
      <w:r w:rsidR="00DD2449" w:rsidRPr="00976BFF">
        <w:rPr>
          <w:lang w:val="es-ES_tradnl"/>
        </w:rPr>
        <w:t xml:space="preserve">el </w:t>
      </w:r>
      <w:r w:rsidR="000E4897" w:rsidRPr="00976BFF">
        <w:rPr>
          <w:lang w:val="es-ES_tradnl"/>
        </w:rPr>
        <w:t xml:space="preserve">suministro y el financiamiento a través de canales públicos. </w:t>
      </w:r>
      <w:r w:rsidR="00DD2449" w:rsidRPr="00976BFF">
        <w:rPr>
          <w:lang w:val="es-ES_tradnl"/>
        </w:rPr>
        <w:t xml:space="preserve">De todos modos, el MTOP </w:t>
      </w:r>
      <w:r w:rsidR="0068646D" w:rsidRPr="00976BFF">
        <w:rPr>
          <w:lang w:val="es-ES_tradnl"/>
        </w:rPr>
        <w:t xml:space="preserve">depende de concesionarios privados y </w:t>
      </w:r>
      <w:r w:rsidR="0050779D">
        <w:rPr>
          <w:lang w:val="es-ES_tradnl"/>
        </w:rPr>
        <w:t xml:space="preserve">de </w:t>
      </w:r>
      <w:r w:rsidR="0068646D" w:rsidRPr="00976BFF">
        <w:rPr>
          <w:lang w:val="es-ES_tradnl"/>
        </w:rPr>
        <w:t xml:space="preserve">la empresa CVU para gestionar algunos tramos de la red, donde la demanda y el tráfico son lo suficientemente altos como para generar ingresos a través de la recaudación de peaje; además, el Gobierno está analizando </w:t>
      </w:r>
      <w:r w:rsidR="00F81E51" w:rsidRPr="00976BFF">
        <w:rPr>
          <w:lang w:val="es-ES_tradnl"/>
        </w:rPr>
        <w:t>medidas para intensificar la participación del sector privado en la gestión vial y el financiamiento a través de asociaciones público-privadas. En la red en su conjunto, empero, el nivel de tráfico (promedio anual de tráfico diario</w:t>
      </w:r>
      <w:r w:rsidR="009E06F4" w:rsidRPr="00976BFF">
        <w:rPr>
          <w:lang w:val="es-ES_tradnl"/>
        </w:rPr>
        <w:t xml:space="preserve">: 1500) </w:t>
      </w:r>
      <w:r w:rsidR="006D3FF7" w:rsidRPr="00976BFF">
        <w:rPr>
          <w:lang w:val="es-ES_tradnl"/>
        </w:rPr>
        <w:t>es muy bajo, por lo cual no permite generar ingresos suficientes</w:t>
      </w:r>
      <w:r w:rsidR="00320597" w:rsidRPr="00976BFF">
        <w:rPr>
          <w:lang w:val="es-ES_tradnl"/>
        </w:rPr>
        <w:t xml:space="preserve"> para que la operación privada resulte viable. En la mayor parte de la red, especialmente la secundaria y la terciaria, el suministro a través de canales públicos es la única alternativa posible</w:t>
      </w:r>
      <w:r w:rsidR="009E06F4" w:rsidRPr="00976BFF">
        <w:rPr>
          <w:lang w:val="es-ES_tradnl"/>
        </w:rPr>
        <w:t>.</w:t>
      </w:r>
    </w:p>
    <w:p w:rsidR="00A764A2" w:rsidRPr="00976BFF" w:rsidRDefault="00320597" w:rsidP="00EB3076">
      <w:pPr>
        <w:pStyle w:val="Heading3"/>
        <w:rPr>
          <w:lang w:val="es-ES_tradnl"/>
        </w:rPr>
      </w:pPr>
      <w:bookmarkStart w:id="62" w:name="_Toc344927191"/>
      <w:r w:rsidRPr="00976BFF">
        <w:rPr>
          <w:lang w:val="es-ES_tradnl"/>
        </w:rPr>
        <w:t>Valor agregado del Banco Mundial</w:t>
      </w:r>
      <w:bookmarkEnd w:id="62"/>
    </w:p>
    <w:p w:rsidR="00A764A2" w:rsidRPr="00976BFF" w:rsidRDefault="0052691D" w:rsidP="00EB3076">
      <w:pPr>
        <w:pStyle w:val="Annexmain"/>
        <w:ind w:firstLine="0"/>
        <w:rPr>
          <w:lang w:val="es-ES_tradnl"/>
        </w:rPr>
      </w:pPr>
      <w:r w:rsidRPr="00976BFF">
        <w:rPr>
          <w:lang w:val="es-ES_tradnl"/>
        </w:rPr>
        <w:t xml:space="preserve">El valor agregado que el Banco Mundial aporta al </w:t>
      </w:r>
      <w:r w:rsidR="008A1019">
        <w:rPr>
          <w:lang w:val="es-ES_tradnl"/>
        </w:rPr>
        <w:t>programa</w:t>
      </w:r>
      <w:r w:rsidRPr="00976BFF">
        <w:rPr>
          <w:lang w:val="es-ES_tradnl"/>
        </w:rPr>
        <w:t xml:space="preserve"> incluye: i) contribuir a aumentar el financiamiento del </w:t>
      </w:r>
      <w:r w:rsidR="008A1019">
        <w:rPr>
          <w:lang w:val="es-ES_tradnl"/>
        </w:rPr>
        <w:t>programa</w:t>
      </w:r>
      <w:r w:rsidRPr="00976BFF">
        <w:rPr>
          <w:lang w:val="es-ES_tradnl"/>
        </w:rPr>
        <w:t xml:space="preserve">, y ii) incorporar mejoras en la gestión del sector vial y la ejecución del </w:t>
      </w:r>
      <w:r w:rsidR="008A1019">
        <w:rPr>
          <w:lang w:val="es-ES_tradnl"/>
        </w:rPr>
        <w:t>programa</w:t>
      </w:r>
      <w:r w:rsidR="00DA00F2">
        <w:rPr>
          <w:lang w:val="es-ES_tradnl"/>
        </w:rPr>
        <w:t>,</w:t>
      </w:r>
      <w:r w:rsidRPr="00976BFF">
        <w:rPr>
          <w:lang w:val="es-ES_tradnl"/>
        </w:rPr>
        <w:t xml:space="preserve"> derivadas del </w:t>
      </w:r>
      <w:r w:rsidR="007A653A" w:rsidRPr="00976BFF">
        <w:rPr>
          <w:lang w:val="es-ES_tradnl"/>
        </w:rPr>
        <w:t xml:space="preserve">Plan de Acción del </w:t>
      </w:r>
      <w:r w:rsidR="008A1019">
        <w:rPr>
          <w:lang w:val="es-ES_tradnl"/>
        </w:rPr>
        <w:t>programa</w:t>
      </w:r>
      <w:r w:rsidRPr="00976BFF">
        <w:rPr>
          <w:lang w:val="es-ES_tradnl"/>
        </w:rPr>
        <w:t xml:space="preserve">. La aportación de financiamiento es pequeña, alrededor del 13% del costo total del </w:t>
      </w:r>
      <w:r w:rsidR="008A1019">
        <w:rPr>
          <w:lang w:val="es-ES_tradnl"/>
        </w:rPr>
        <w:t>programa</w:t>
      </w:r>
      <w:r w:rsidRPr="00976BFF">
        <w:rPr>
          <w:lang w:val="es-ES_tradnl"/>
        </w:rPr>
        <w:t xml:space="preserve">; sin embargo, este financiamiento permitirá realizar un mayor número de obras de rehabilitación inicialmente, en forma oportuna y antes de que los tramos alcancen un deterioro crítico y requieran soluciones más radicales y onerosas. </w:t>
      </w:r>
      <w:r w:rsidR="00E030C3" w:rsidRPr="00976BFF">
        <w:rPr>
          <w:lang w:val="es-ES_tradnl"/>
        </w:rPr>
        <w:t xml:space="preserve">Con su financiamiento, el Banco también contribuirá a que el flujo de efectivo del </w:t>
      </w:r>
      <w:r w:rsidR="008A1019">
        <w:rPr>
          <w:lang w:val="es-ES_tradnl"/>
        </w:rPr>
        <w:t>programa</w:t>
      </w:r>
      <w:r w:rsidR="00E030C3" w:rsidRPr="00976BFF">
        <w:rPr>
          <w:lang w:val="es-ES_tradnl"/>
        </w:rPr>
        <w:t xml:space="preserve"> sea más previsible. Los beneficios derivados de las mejoras en la gestión del sector vial no se pueden calcular con facilidad y se concretarán gradualmente en forma de una mayor eficacia en función de los costos a medida que el </w:t>
      </w:r>
      <w:r w:rsidR="008A1019">
        <w:rPr>
          <w:lang w:val="es-ES_tradnl"/>
        </w:rPr>
        <w:t>programa</w:t>
      </w:r>
      <w:r w:rsidR="00E030C3" w:rsidRPr="00976BFF">
        <w:rPr>
          <w:lang w:val="es-ES_tradnl"/>
        </w:rPr>
        <w:t xml:space="preserve"> se vaya ejecutando. Los contratos basados en el desempeño, así como el enfoque holístico de las actividades de fortalecimiento institucional, incorporados totalmente en el </w:t>
      </w:r>
      <w:r w:rsidR="008A1019">
        <w:rPr>
          <w:lang w:val="es-ES_tradnl"/>
        </w:rPr>
        <w:t>programa</w:t>
      </w:r>
      <w:r w:rsidR="00E030C3" w:rsidRPr="00976BFF">
        <w:rPr>
          <w:lang w:val="es-ES_tradnl"/>
        </w:rPr>
        <w:t>, serán fundamentales en este respecto.</w:t>
      </w:r>
    </w:p>
    <w:p w:rsidR="00A764A2" w:rsidRPr="00976BFF" w:rsidRDefault="009F1764" w:rsidP="00EB3076">
      <w:pPr>
        <w:pStyle w:val="Heading3"/>
        <w:rPr>
          <w:lang w:val="es-ES_tradnl"/>
        </w:rPr>
      </w:pPr>
      <w:bookmarkStart w:id="63" w:name="_Toc344927192"/>
      <w:r w:rsidRPr="00976BFF">
        <w:rPr>
          <w:lang w:val="es-ES_tradnl"/>
        </w:rPr>
        <w:t>Me</w:t>
      </w:r>
      <w:r w:rsidR="00AB3CA9" w:rsidRPr="00976BFF">
        <w:rPr>
          <w:lang w:val="es-ES_tradnl"/>
        </w:rPr>
        <w:t>todología de la evaluación económica</w:t>
      </w:r>
      <w:bookmarkEnd w:id="63"/>
    </w:p>
    <w:p w:rsidR="00A764A2" w:rsidRPr="00976BFF" w:rsidRDefault="00703C7B" w:rsidP="00EB3076">
      <w:pPr>
        <w:pStyle w:val="Annexmain"/>
        <w:autoSpaceDE w:val="0"/>
        <w:ind w:firstLine="0"/>
        <w:rPr>
          <w:lang w:val="es-ES_tradnl"/>
        </w:rPr>
      </w:pPr>
      <w:r w:rsidRPr="00976BFF">
        <w:rPr>
          <w:lang w:val="es-ES_tradnl"/>
        </w:rPr>
        <w:t xml:space="preserve">Aunque los límites de financiamiento del </w:t>
      </w:r>
      <w:r w:rsidR="008A1019">
        <w:rPr>
          <w:lang w:val="es-ES_tradnl"/>
        </w:rPr>
        <w:t>programa</w:t>
      </w:r>
      <w:r w:rsidRPr="00976BFF">
        <w:rPr>
          <w:lang w:val="es-ES_tradnl"/>
        </w:rPr>
        <w:t xml:space="preserve"> son fijos, se llevó a cabo un ejercicio de simulación para cuantificar el impacto económico del </w:t>
      </w:r>
      <w:r w:rsidR="008A1019">
        <w:rPr>
          <w:lang w:val="es-ES_tradnl"/>
        </w:rPr>
        <w:t>programa</w:t>
      </w:r>
      <w:r w:rsidRPr="00976BFF">
        <w:rPr>
          <w:lang w:val="es-ES_tradnl"/>
        </w:rPr>
        <w:t xml:space="preserve"> y del financiamiento del Banco. La evaluación económica del </w:t>
      </w:r>
      <w:r w:rsidR="008A1019">
        <w:rPr>
          <w:lang w:val="es-ES_tradnl"/>
        </w:rPr>
        <w:t>programa</w:t>
      </w:r>
      <w:r w:rsidRPr="00976BFF">
        <w:rPr>
          <w:lang w:val="es-ES_tradnl"/>
        </w:rPr>
        <w:t xml:space="preserve"> incluye la comparación de tres </w:t>
      </w:r>
      <w:r w:rsidR="0050779D">
        <w:rPr>
          <w:lang w:val="es-ES_tradnl"/>
        </w:rPr>
        <w:t>situaciones hipotéticas</w:t>
      </w:r>
      <w:r w:rsidRPr="00976BFF">
        <w:rPr>
          <w:lang w:val="es-ES_tradnl"/>
        </w:rPr>
        <w:t>: i) un</w:t>
      </w:r>
      <w:r w:rsidR="0050779D">
        <w:rPr>
          <w:lang w:val="es-ES_tradnl"/>
        </w:rPr>
        <w:t>a</w:t>
      </w:r>
      <w:r w:rsidRPr="00976BFF">
        <w:rPr>
          <w:lang w:val="es-ES_tradnl"/>
        </w:rPr>
        <w:t xml:space="preserve"> </w:t>
      </w:r>
      <w:r w:rsidR="0050779D">
        <w:rPr>
          <w:i/>
          <w:u w:val="single"/>
          <w:lang w:val="es-ES_tradnl"/>
        </w:rPr>
        <w:t xml:space="preserve">situación </w:t>
      </w:r>
      <w:r w:rsidRPr="00976BFF">
        <w:rPr>
          <w:i/>
          <w:u w:val="single"/>
          <w:lang w:val="es-ES_tradnl"/>
        </w:rPr>
        <w:t>de referencia</w:t>
      </w:r>
      <w:r w:rsidR="000D255B" w:rsidRPr="00976BFF">
        <w:rPr>
          <w:lang w:val="es-ES_tradnl"/>
        </w:rPr>
        <w:t>,</w:t>
      </w:r>
      <w:r w:rsidR="0049666A" w:rsidRPr="00976BFF">
        <w:rPr>
          <w:lang w:val="es-ES_tradnl"/>
        </w:rPr>
        <w:t xml:space="preserve"> </w:t>
      </w:r>
      <w:r w:rsidRPr="00976BFF">
        <w:rPr>
          <w:lang w:val="es-ES_tradnl"/>
        </w:rPr>
        <w:t xml:space="preserve">en </w:t>
      </w:r>
      <w:r w:rsidR="0050779D">
        <w:rPr>
          <w:lang w:val="es-ES_tradnl"/>
        </w:rPr>
        <w:t>la</w:t>
      </w:r>
      <w:r w:rsidR="0050779D" w:rsidRPr="00976BFF">
        <w:rPr>
          <w:lang w:val="es-ES_tradnl"/>
        </w:rPr>
        <w:t xml:space="preserve"> </w:t>
      </w:r>
      <w:r w:rsidRPr="00976BFF">
        <w:rPr>
          <w:lang w:val="es-ES_tradnl"/>
        </w:rPr>
        <w:t xml:space="preserve">que las obras de rehabilitación se postergan el mayor tiempo posible, y solo se realizan obras de mantenimiento de rutina mientras el estado de las carreteras llega a ciertos umbrales críticos. </w:t>
      </w:r>
      <w:r w:rsidR="0050779D" w:rsidRPr="00976BFF">
        <w:rPr>
          <w:lang w:val="es-ES_tradnl"/>
        </w:rPr>
        <w:t>Est</w:t>
      </w:r>
      <w:r w:rsidR="0050779D">
        <w:rPr>
          <w:lang w:val="es-ES_tradnl"/>
        </w:rPr>
        <w:t>a</w:t>
      </w:r>
      <w:r w:rsidR="0050779D" w:rsidRPr="00976BFF">
        <w:rPr>
          <w:lang w:val="es-ES_tradnl"/>
        </w:rPr>
        <w:t xml:space="preserve"> </w:t>
      </w:r>
      <w:r w:rsidR="0050779D">
        <w:rPr>
          <w:lang w:val="es-ES_tradnl"/>
        </w:rPr>
        <w:t>situación</w:t>
      </w:r>
      <w:r w:rsidR="0050779D" w:rsidRPr="00976BFF">
        <w:rPr>
          <w:lang w:val="es-ES_tradnl"/>
        </w:rPr>
        <w:t xml:space="preserve"> </w:t>
      </w:r>
      <w:r w:rsidR="0050779D">
        <w:rPr>
          <w:lang w:val="es-ES_tradnl"/>
        </w:rPr>
        <w:t xml:space="preserve">hipotética </w:t>
      </w:r>
      <w:r w:rsidRPr="00976BFF">
        <w:rPr>
          <w:lang w:val="es-ES_tradnl"/>
        </w:rPr>
        <w:t xml:space="preserve">de </w:t>
      </w:r>
      <w:r w:rsidR="004A26E3" w:rsidRPr="00976BFF">
        <w:rPr>
          <w:lang w:val="es-ES_tradnl"/>
        </w:rPr>
        <w:t>referencia</w:t>
      </w:r>
      <w:r w:rsidRPr="00976BFF">
        <w:rPr>
          <w:lang w:val="es-ES_tradnl"/>
        </w:rPr>
        <w:t xml:space="preserve"> sería equivalente a la prevaleciente en Uruguay en 2002 y 2003, cuando se recortó la mayor parte del gasto en rehabilitación vial debido a la crisis económica; ii) un</w:t>
      </w:r>
      <w:r w:rsidR="0050779D">
        <w:rPr>
          <w:lang w:val="es-ES_tradnl"/>
        </w:rPr>
        <w:t>a</w:t>
      </w:r>
      <w:r w:rsidRPr="00976BFF">
        <w:rPr>
          <w:lang w:val="es-ES_tradnl"/>
        </w:rPr>
        <w:t xml:space="preserve"> </w:t>
      </w:r>
      <w:r w:rsidR="0050779D">
        <w:rPr>
          <w:i/>
          <w:u w:val="single"/>
          <w:lang w:val="es-ES_tradnl"/>
        </w:rPr>
        <w:t xml:space="preserve">situación </w:t>
      </w:r>
      <w:r w:rsidRPr="00976BFF">
        <w:rPr>
          <w:i/>
          <w:u w:val="single"/>
          <w:lang w:val="es-ES_tradnl"/>
        </w:rPr>
        <w:t xml:space="preserve">del </w:t>
      </w:r>
      <w:r w:rsidR="008A1019">
        <w:rPr>
          <w:i/>
          <w:u w:val="single"/>
          <w:lang w:val="es-ES_tradnl"/>
        </w:rPr>
        <w:t>programa</w:t>
      </w:r>
      <w:r w:rsidRPr="00976BFF">
        <w:rPr>
          <w:i/>
          <w:u w:val="single"/>
          <w:lang w:val="es-ES_tradnl"/>
        </w:rPr>
        <w:t xml:space="preserve"> sin financiamiento del Banco</w:t>
      </w:r>
      <w:r w:rsidR="000D255B" w:rsidRPr="00976BFF">
        <w:rPr>
          <w:lang w:val="es-ES_tradnl"/>
        </w:rPr>
        <w:t xml:space="preserve">, </w:t>
      </w:r>
      <w:r w:rsidRPr="00976BFF">
        <w:rPr>
          <w:lang w:val="es-ES_tradnl"/>
        </w:rPr>
        <w:t xml:space="preserve">que incluye todas las obras de rehabilitación </w:t>
      </w:r>
      <w:r w:rsidR="00DA00F2">
        <w:rPr>
          <w:lang w:val="es-ES_tradnl"/>
        </w:rPr>
        <w:t>p</w:t>
      </w:r>
      <w:r w:rsidR="009B073D" w:rsidRPr="00976BFF">
        <w:rPr>
          <w:lang w:val="es-ES_tradnl"/>
        </w:rPr>
        <w:t>rograma</w:t>
      </w:r>
      <w:r w:rsidRPr="00976BFF">
        <w:rPr>
          <w:lang w:val="es-ES_tradnl"/>
        </w:rPr>
        <w:t>das en el p</w:t>
      </w:r>
      <w:r w:rsidR="0072760C" w:rsidRPr="00976BFF">
        <w:rPr>
          <w:lang w:val="es-ES_tradnl"/>
        </w:rPr>
        <w:t xml:space="preserve">lan de obras, </w:t>
      </w:r>
      <w:r w:rsidRPr="00976BFF">
        <w:rPr>
          <w:lang w:val="es-ES_tradnl"/>
        </w:rPr>
        <w:t xml:space="preserve">según se estableció durante la preparación de la Ley de Presupuesto, con una inversión de alrededor de </w:t>
      </w:r>
      <w:r w:rsidR="0072760C" w:rsidRPr="00976BFF">
        <w:rPr>
          <w:lang w:val="es-ES_tradnl"/>
        </w:rPr>
        <w:t>US$</w:t>
      </w:r>
      <w:r w:rsidR="00535DAC" w:rsidRPr="00976BFF">
        <w:rPr>
          <w:lang w:val="es-ES_tradnl"/>
        </w:rPr>
        <w:t>245</w:t>
      </w:r>
      <w:r w:rsidRPr="00976BFF">
        <w:rPr>
          <w:lang w:val="es-ES_tradnl"/>
        </w:rPr>
        <w:t xml:space="preserve"> </w:t>
      </w:r>
      <w:r w:rsidR="0072760C" w:rsidRPr="00976BFF">
        <w:rPr>
          <w:lang w:val="es-ES_tradnl"/>
        </w:rPr>
        <w:t>m</w:t>
      </w:r>
      <w:r w:rsidRPr="00976BFF">
        <w:rPr>
          <w:lang w:val="es-ES_tradnl"/>
        </w:rPr>
        <w:t xml:space="preserve">illones durante el </w:t>
      </w:r>
      <w:r w:rsidR="004A26E3" w:rsidRPr="00976BFF">
        <w:rPr>
          <w:lang w:val="es-ES_tradnl"/>
        </w:rPr>
        <w:t>período</w:t>
      </w:r>
      <w:r w:rsidR="0072760C" w:rsidRPr="00976BFF">
        <w:rPr>
          <w:lang w:val="es-ES_tradnl"/>
        </w:rPr>
        <w:t xml:space="preserve"> </w:t>
      </w:r>
      <w:r w:rsidR="00A067DA" w:rsidRPr="00976BFF">
        <w:rPr>
          <w:lang w:val="es-ES_tradnl"/>
        </w:rPr>
        <w:t>2013</w:t>
      </w:r>
      <w:r w:rsidR="0072760C" w:rsidRPr="00976BFF">
        <w:rPr>
          <w:lang w:val="es-ES_tradnl"/>
        </w:rPr>
        <w:t>-15</w:t>
      </w:r>
      <w:r w:rsidR="000D255B" w:rsidRPr="00976BFF">
        <w:rPr>
          <w:rStyle w:val="FootnoteReference"/>
          <w:lang w:val="es-ES_tradnl"/>
        </w:rPr>
        <w:footnoteReference w:id="22"/>
      </w:r>
      <w:r w:rsidR="0072760C" w:rsidRPr="00976BFF">
        <w:rPr>
          <w:lang w:val="es-ES_tradnl"/>
        </w:rPr>
        <w:t>; iii)</w:t>
      </w:r>
      <w:r w:rsidRPr="00976BFF">
        <w:rPr>
          <w:lang w:val="es-ES_tradnl"/>
        </w:rPr>
        <w:t xml:space="preserve"> un</w:t>
      </w:r>
      <w:r w:rsidR="0050779D">
        <w:rPr>
          <w:lang w:val="es-ES_tradnl"/>
        </w:rPr>
        <w:t>a</w:t>
      </w:r>
      <w:r w:rsidR="000D255B" w:rsidRPr="00976BFF">
        <w:rPr>
          <w:lang w:val="es-ES_tradnl"/>
        </w:rPr>
        <w:t xml:space="preserve"> </w:t>
      </w:r>
      <w:r w:rsidR="0050779D">
        <w:rPr>
          <w:i/>
          <w:u w:val="single"/>
          <w:lang w:val="es-ES_tradnl"/>
        </w:rPr>
        <w:t xml:space="preserve">situación </w:t>
      </w:r>
      <w:r w:rsidRPr="00976BFF">
        <w:rPr>
          <w:i/>
          <w:u w:val="single"/>
          <w:lang w:val="es-ES_tradnl"/>
        </w:rPr>
        <w:t xml:space="preserve">del </w:t>
      </w:r>
      <w:r w:rsidR="008A1019">
        <w:rPr>
          <w:i/>
          <w:u w:val="single"/>
          <w:lang w:val="es-ES_tradnl"/>
        </w:rPr>
        <w:t>programa</w:t>
      </w:r>
      <w:r w:rsidRPr="00976BFF">
        <w:rPr>
          <w:i/>
          <w:u w:val="single"/>
          <w:lang w:val="es-ES_tradnl"/>
        </w:rPr>
        <w:t xml:space="preserve"> con financiamiento del Banco</w:t>
      </w:r>
      <w:r w:rsidR="000D255B" w:rsidRPr="00976BFF">
        <w:rPr>
          <w:lang w:val="es-ES_tradnl"/>
        </w:rPr>
        <w:t xml:space="preserve">, </w:t>
      </w:r>
      <w:r w:rsidRPr="00976BFF">
        <w:rPr>
          <w:lang w:val="es-ES_tradnl"/>
        </w:rPr>
        <w:t xml:space="preserve">que incluye una inversión total de </w:t>
      </w:r>
      <w:r w:rsidR="000D255B" w:rsidRPr="00976BFF">
        <w:rPr>
          <w:lang w:val="es-ES_tradnl"/>
        </w:rPr>
        <w:t>US$</w:t>
      </w:r>
      <w:r w:rsidR="00535DAC" w:rsidRPr="00976BFF">
        <w:rPr>
          <w:lang w:val="es-ES_tradnl"/>
        </w:rPr>
        <w:t>311</w:t>
      </w:r>
      <w:r w:rsidRPr="00976BFF">
        <w:rPr>
          <w:lang w:val="es-ES_tradnl"/>
        </w:rPr>
        <w:t xml:space="preserve"> </w:t>
      </w:r>
      <w:r w:rsidR="000D255B" w:rsidRPr="00976BFF">
        <w:rPr>
          <w:lang w:val="es-ES_tradnl"/>
        </w:rPr>
        <w:t>m</w:t>
      </w:r>
      <w:r w:rsidRPr="00976BFF">
        <w:rPr>
          <w:lang w:val="es-ES_tradnl"/>
        </w:rPr>
        <w:t>illones</w:t>
      </w:r>
      <w:r w:rsidR="000D255B" w:rsidRPr="00976BFF">
        <w:rPr>
          <w:lang w:val="es-ES_tradnl"/>
        </w:rPr>
        <w:t xml:space="preserve"> </w:t>
      </w:r>
      <w:r w:rsidRPr="00976BFF">
        <w:rPr>
          <w:lang w:val="es-ES_tradnl"/>
        </w:rPr>
        <w:t>y aumento</w:t>
      </w:r>
      <w:r w:rsidR="008743EA" w:rsidRPr="00976BFF">
        <w:rPr>
          <w:lang w:val="es-ES_tradnl"/>
        </w:rPr>
        <w:t>s</w:t>
      </w:r>
      <w:r w:rsidRPr="00976BFF">
        <w:rPr>
          <w:lang w:val="es-ES_tradnl"/>
        </w:rPr>
        <w:t xml:space="preserve"> de</w:t>
      </w:r>
      <w:r w:rsidR="008743EA" w:rsidRPr="00976BFF">
        <w:rPr>
          <w:lang w:val="es-ES_tradnl"/>
        </w:rPr>
        <w:t xml:space="preserve"> la eficiencia</w:t>
      </w:r>
      <w:r w:rsidR="000D255B" w:rsidRPr="00976BFF">
        <w:rPr>
          <w:lang w:val="es-ES_tradnl"/>
        </w:rPr>
        <w:t>.</w:t>
      </w:r>
      <w:r w:rsidR="00C646D1" w:rsidRPr="00976BFF">
        <w:rPr>
          <w:lang w:val="es-ES_tradnl"/>
        </w:rPr>
        <w:t xml:space="preserve"> </w:t>
      </w:r>
    </w:p>
    <w:p w:rsidR="00A764A2" w:rsidRPr="00976BFF" w:rsidRDefault="008743EA" w:rsidP="00EB3076">
      <w:pPr>
        <w:pStyle w:val="Annexmain"/>
        <w:ind w:firstLine="0"/>
        <w:rPr>
          <w:lang w:val="es-ES_tradnl"/>
        </w:rPr>
      </w:pPr>
      <w:r w:rsidRPr="00976BFF">
        <w:rPr>
          <w:lang w:val="es-ES_tradnl"/>
        </w:rPr>
        <w:t xml:space="preserve">Los beneficios derivados de las inversiones en rehabilitación o reconstrucción vial se estiman usando el </w:t>
      </w:r>
      <w:r w:rsidR="00E63409" w:rsidRPr="00976BFF">
        <w:rPr>
          <w:lang w:val="es-ES_tradnl"/>
        </w:rPr>
        <w:t xml:space="preserve">modelo de desarrollo y gestión vial </w:t>
      </w:r>
      <w:r w:rsidR="0072760C" w:rsidRPr="00976BFF">
        <w:rPr>
          <w:lang w:val="es-ES_tradnl"/>
        </w:rPr>
        <w:t xml:space="preserve">(HDM-4), </w:t>
      </w:r>
      <w:r w:rsidR="00E63409" w:rsidRPr="00976BFF">
        <w:rPr>
          <w:lang w:val="es-ES_tradnl"/>
        </w:rPr>
        <w:t xml:space="preserve">que permite simular la vida útil de las carreteras y las condiciones y los costos de operación de vehículos para múltiples diseños y alternativas de mantenimiento vial. Para analizar las obras de rehabilitación y mantenimiento periódico, se evaluó </w:t>
      </w:r>
      <w:r w:rsidR="00F12F64" w:rsidRPr="00976BFF">
        <w:rPr>
          <w:lang w:val="es-ES_tradnl"/>
        </w:rPr>
        <w:t xml:space="preserve">el caudal de beneficios </w:t>
      </w:r>
      <w:r w:rsidR="00AC1BF4" w:rsidRPr="00976BFF">
        <w:rPr>
          <w:lang w:val="es-ES_tradnl"/>
        </w:rPr>
        <w:t>para los usuarios viales y el ahorro en costos de mantenimiento una vez deducidos los costos de las obras viales propuestas. Los principales beneficios derivados de</w:t>
      </w:r>
      <w:r w:rsidR="00DA00F2">
        <w:rPr>
          <w:lang w:val="es-ES_tradnl"/>
        </w:rPr>
        <w:t xml:space="preserve"> </w:t>
      </w:r>
      <w:r w:rsidR="00AC1BF4" w:rsidRPr="00976BFF">
        <w:rPr>
          <w:lang w:val="es-ES_tradnl"/>
        </w:rPr>
        <w:t xml:space="preserve">las inversiones </w:t>
      </w:r>
      <w:r w:rsidR="004A26E3" w:rsidRPr="00976BFF">
        <w:rPr>
          <w:lang w:val="es-ES_tradnl"/>
        </w:rPr>
        <w:t>incluidas en</w:t>
      </w:r>
      <w:r w:rsidR="00AC1BF4" w:rsidRPr="00976BFF">
        <w:rPr>
          <w:lang w:val="es-ES_tradnl"/>
        </w:rPr>
        <w:t xml:space="preserve"> el </w:t>
      </w:r>
      <w:r w:rsidR="008A1019">
        <w:rPr>
          <w:lang w:val="es-ES_tradnl"/>
        </w:rPr>
        <w:t>programa</w:t>
      </w:r>
      <w:r w:rsidR="00AC1BF4" w:rsidRPr="00976BFF">
        <w:rPr>
          <w:lang w:val="es-ES_tradnl"/>
        </w:rPr>
        <w:t xml:space="preserve"> son los ahorros </w:t>
      </w:r>
      <w:r w:rsidR="00C27815" w:rsidRPr="00976BFF">
        <w:rPr>
          <w:lang w:val="es-ES_tradnl"/>
        </w:rPr>
        <w:t xml:space="preserve">que realizarán los usuarios viales en materia de costos de operación de vehículos, y los ahorros que realizará la DNV con respecto a los costos de reconstrucción vial y el tiempo de viaje de pasajeros y carga. Existen otros beneficios para los usuarios viales, que no se han cuantificado, entre ellos el menor número de accidentes (que con el tiempo tendrá el efecto de reducir los costos de los seguros) y un mayor grado de comodidad para </w:t>
      </w:r>
      <w:r w:rsidR="00DA00F2">
        <w:rPr>
          <w:lang w:val="es-ES_tradnl"/>
        </w:rPr>
        <w:t>circular</w:t>
      </w:r>
      <w:r w:rsidR="00C27815" w:rsidRPr="00976BFF">
        <w:rPr>
          <w:lang w:val="es-ES_tradnl"/>
        </w:rPr>
        <w:t xml:space="preserve"> y viajar. </w:t>
      </w:r>
      <w:r w:rsidR="00473CAE" w:rsidRPr="00976BFF">
        <w:rPr>
          <w:lang w:val="es-ES_tradnl"/>
        </w:rPr>
        <w:t>Los costos que asume la DNV son los costos de las obras</w:t>
      </w:r>
      <w:r w:rsidR="0072760C" w:rsidRPr="00976BFF">
        <w:rPr>
          <w:lang w:val="es-ES_tradnl"/>
        </w:rPr>
        <w:t>.</w:t>
      </w:r>
    </w:p>
    <w:p w:rsidR="00A764A2" w:rsidRPr="00976BFF" w:rsidRDefault="00EF0655" w:rsidP="00EB3076">
      <w:pPr>
        <w:pStyle w:val="Heading3"/>
        <w:rPr>
          <w:lang w:val="es-ES_tradnl"/>
        </w:rPr>
      </w:pPr>
      <w:bookmarkStart w:id="64" w:name="_Toc344927193"/>
      <w:r w:rsidRPr="00976BFF">
        <w:rPr>
          <w:lang w:val="es-ES_tradnl"/>
        </w:rPr>
        <w:t>Result</w:t>
      </w:r>
      <w:r w:rsidR="00473CAE" w:rsidRPr="00976BFF">
        <w:rPr>
          <w:lang w:val="es-ES_tradnl"/>
        </w:rPr>
        <w:t>ado</w:t>
      </w:r>
      <w:r w:rsidRPr="00976BFF">
        <w:rPr>
          <w:lang w:val="es-ES_tradnl"/>
        </w:rPr>
        <w:t xml:space="preserve">s </w:t>
      </w:r>
      <w:r w:rsidR="00473CAE" w:rsidRPr="00976BFF">
        <w:rPr>
          <w:lang w:val="es-ES_tradnl"/>
        </w:rPr>
        <w:t>de la evaluación económica</w:t>
      </w:r>
      <w:bookmarkEnd w:id="64"/>
    </w:p>
    <w:p w:rsidR="00A764A2" w:rsidRPr="00976BFF" w:rsidRDefault="00473CAE" w:rsidP="00EB3076">
      <w:pPr>
        <w:pStyle w:val="Annexmain"/>
        <w:ind w:firstLine="0"/>
        <w:rPr>
          <w:lang w:val="es-ES_tradnl"/>
        </w:rPr>
      </w:pPr>
      <w:r w:rsidRPr="00976BFF">
        <w:rPr>
          <w:lang w:val="es-ES_tradnl"/>
        </w:rPr>
        <w:t xml:space="preserve">Los resultados de la evaluación económica, </w:t>
      </w:r>
      <w:r w:rsidR="00DA00F2">
        <w:rPr>
          <w:lang w:val="es-ES_tradnl"/>
        </w:rPr>
        <w:t xml:space="preserve">que abarcó un período de </w:t>
      </w:r>
      <w:r w:rsidRPr="00976BFF">
        <w:rPr>
          <w:lang w:val="es-ES_tradnl"/>
        </w:rPr>
        <w:t xml:space="preserve">15 años, se describen en el cuadro </w:t>
      </w:r>
      <w:r w:rsidR="00693EBB" w:rsidRPr="00976BFF">
        <w:rPr>
          <w:lang w:val="es-ES_tradnl"/>
        </w:rPr>
        <w:t>A4</w:t>
      </w:r>
      <w:r w:rsidR="00AC5830" w:rsidRPr="00976BFF">
        <w:rPr>
          <w:lang w:val="es-ES_tradnl"/>
        </w:rPr>
        <w:t>.4</w:t>
      </w:r>
      <w:r w:rsidR="008007A9" w:rsidRPr="00976BFF">
        <w:rPr>
          <w:lang w:val="es-ES_tradnl"/>
        </w:rPr>
        <w:t>.</w:t>
      </w:r>
    </w:p>
    <w:tbl>
      <w:tblPr>
        <w:tblStyle w:val="TableGrid"/>
        <w:tblW w:w="0" w:type="auto"/>
        <w:tblLook w:val="04A0" w:firstRow="1" w:lastRow="0" w:firstColumn="1" w:lastColumn="0" w:noHBand="0" w:noVBand="1"/>
      </w:tblPr>
      <w:tblGrid>
        <w:gridCol w:w="2394"/>
        <w:gridCol w:w="2394"/>
        <w:gridCol w:w="2394"/>
        <w:gridCol w:w="2394"/>
      </w:tblGrid>
      <w:tr w:rsidR="00693EBB" w:rsidRPr="001E1C20">
        <w:tc>
          <w:tcPr>
            <w:tcW w:w="9576" w:type="dxa"/>
            <w:gridSpan w:val="4"/>
            <w:tcBorders>
              <w:top w:val="nil"/>
              <w:left w:val="nil"/>
              <w:right w:val="nil"/>
            </w:tcBorders>
          </w:tcPr>
          <w:p w:rsidR="00A764A2" w:rsidRPr="00976BFF" w:rsidRDefault="00473CAE" w:rsidP="00473CAE">
            <w:pPr>
              <w:jc w:val="center"/>
              <w:rPr>
                <w:b/>
                <w:lang w:val="es-ES_tradnl"/>
              </w:rPr>
            </w:pPr>
            <w:r w:rsidRPr="00976BFF">
              <w:rPr>
                <w:rFonts w:ascii="Times New Roman" w:hAnsi="Times New Roman" w:cs="Times New Roman"/>
                <w:b/>
                <w:lang w:val="es-ES_tradnl"/>
              </w:rPr>
              <w:t>Cuadro</w:t>
            </w:r>
            <w:r w:rsidR="00C41F5D" w:rsidRPr="00976BFF">
              <w:rPr>
                <w:rFonts w:ascii="Times New Roman" w:hAnsi="Times New Roman" w:cs="Times New Roman"/>
                <w:b/>
                <w:lang w:val="es-ES_tradnl"/>
              </w:rPr>
              <w:t xml:space="preserve"> A4.4.</w:t>
            </w:r>
            <w:r w:rsidR="00AC5830" w:rsidRPr="00976BFF">
              <w:rPr>
                <w:rFonts w:ascii="Times New Roman" w:hAnsi="Times New Roman" w:cs="Times New Roman"/>
                <w:b/>
                <w:lang w:val="es-ES_tradnl"/>
              </w:rPr>
              <w:t xml:space="preserve"> Result</w:t>
            </w:r>
            <w:r w:rsidRPr="00976BFF">
              <w:rPr>
                <w:rFonts w:ascii="Times New Roman" w:hAnsi="Times New Roman" w:cs="Times New Roman"/>
                <w:b/>
                <w:lang w:val="es-ES_tradnl"/>
              </w:rPr>
              <w:t>ados de la evaluación económica del</w:t>
            </w:r>
            <w:r w:rsidR="00AC5830" w:rsidRPr="00976BFF">
              <w:rPr>
                <w:rFonts w:ascii="Times New Roman" w:hAnsi="Times New Roman" w:cs="Times New Roman"/>
                <w:b/>
                <w:lang w:val="es-ES_tradnl"/>
              </w:rPr>
              <w:t xml:space="preserve"> </w:t>
            </w:r>
            <w:r w:rsidR="008A1019">
              <w:rPr>
                <w:rFonts w:ascii="Times New Roman" w:hAnsi="Times New Roman" w:cs="Times New Roman"/>
                <w:b/>
                <w:lang w:val="es-ES_tradnl"/>
              </w:rPr>
              <w:t>programa</w:t>
            </w:r>
          </w:p>
        </w:tc>
      </w:tr>
      <w:tr w:rsidR="008007A9" w:rsidRPr="001E1C20">
        <w:tc>
          <w:tcPr>
            <w:tcW w:w="4788" w:type="dxa"/>
            <w:gridSpan w:val="2"/>
          </w:tcPr>
          <w:p w:rsidR="00A764A2" w:rsidRPr="00976BFF" w:rsidRDefault="00C41F5D" w:rsidP="00473CAE">
            <w:pPr>
              <w:jc w:val="center"/>
              <w:rPr>
                <w:lang w:val="es-ES_tradnl"/>
              </w:rPr>
            </w:pPr>
            <w:r w:rsidRPr="00976BFF">
              <w:rPr>
                <w:rFonts w:ascii="Times New Roman" w:hAnsi="Times New Roman" w:cs="Times New Roman"/>
                <w:lang w:val="es-ES_tradnl"/>
              </w:rPr>
              <w:t>Program</w:t>
            </w:r>
            <w:r w:rsidR="00473CAE" w:rsidRPr="00976BFF">
              <w:rPr>
                <w:rFonts w:ascii="Times New Roman" w:hAnsi="Times New Roman" w:cs="Times New Roman"/>
                <w:lang w:val="es-ES_tradnl"/>
              </w:rPr>
              <w:t>a sin financiamiento del Banco</w:t>
            </w:r>
          </w:p>
        </w:tc>
        <w:tc>
          <w:tcPr>
            <w:tcW w:w="4788" w:type="dxa"/>
            <w:gridSpan w:val="2"/>
          </w:tcPr>
          <w:p w:rsidR="00A764A2" w:rsidRPr="00976BFF" w:rsidRDefault="00C41F5D" w:rsidP="00473CAE">
            <w:pPr>
              <w:jc w:val="center"/>
              <w:rPr>
                <w:lang w:val="es-ES_tradnl"/>
              </w:rPr>
            </w:pPr>
            <w:r w:rsidRPr="00976BFF">
              <w:rPr>
                <w:rFonts w:ascii="Times New Roman" w:hAnsi="Times New Roman" w:cs="Times New Roman"/>
                <w:lang w:val="es-ES_tradnl"/>
              </w:rPr>
              <w:t>Program</w:t>
            </w:r>
            <w:r w:rsidR="00473CAE" w:rsidRPr="00976BFF">
              <w:rPr>
                <w:rFonts w:ascii="Times New Roman" w:hAnsi="Times New Roman" w:cs="Times New Roman"/>
                <w:lang w:val="es-ES_tradnl"/>
              </w:rPr>
              <w:t>a con financiamiento del Banco</w:t>
            </w:r>
          </w:p>
        </w:tc>
      </w:tr>
      <w:tr w:rsidR="008007A9" w:rsidRPr="00976BFF">
        <w:tc>
          <w:tcPr>
            <w:tcW w:w="2394" w:type="dxa"/>
          </w:tcPr>
          <w:p w:rsidR="00A764A2" w:rsidRPr="00976BFF" w:rsidRDefault="00473CAE" w:rsidP="00A22658">
            <w:pPr>
              <w:autoSpaceDE w:val="0"/>
              <w:jc w:val="center"/>
              <w:rPr>
                <w:lang w:val="es-ES_tradnl"/>
              </w:rPr>
            </w:pPr>
            <w:r w:rsidRPr="00976BFF">
              <w:rPr>
                <w:rFonts w:ascii="Times New Roman" w:hAnsi="Times New Roman" w:cs="Times New Roman"/>
                <w:lang w:val="es-ES_tradnl"/>
              </w:rPr>
              <w:t>Valor neto actualizado</w:t>
            </w:r>
            <w:r w:rsidR="00C41F5D" w:rsidRPr="00976BFF">
              <w:rPr>
                <w:rStyle w:val="FootnoteReference"/>
                <w:rFonts w:ascii="Times New Roman" w:hAnsi="Times New Roman" w:cs="Times New Roman"/>
                <w:lang w:val="es-ES_tradnl"/>
              </w:rPr>
              <w:footnoteReference w:id="23"/>
            </w:r>
          </w:p>
        </w:tc>
        <w:tc>
          <w:tcPr>
            <w:tcW w:w="2394" w:type="dxa"/>
          </w:tcPr>
          <w:p w:rsidR="00A764A2" w:rsidRPr="00976BFF" w:rsidRDefault="00473CAE">
            <w:pPr>
              <w:jc w:val="center"/>
              <w:rPr>
                <w:lang w:val="es-ES_tradnl"/>
              </w:rPr>
            </w:pPr>
            <w:r w:rsidRPr="00976BFF">
              <w:rPr>
                <w:rFonts w:ascii="Times New Roman" w:hAnsi="Times New Roman" w:cs="Times New Roman"/>
                <w:lang w:val="es-ES_tradnl"/>
              </w:rPr>
              <w:t>Tasa de rentabilidad interna</w:t>
            </w:r>
          </w:p>
        </w:tc>
        <w:tc>
          <w:tcPr>
            <w:tcW w:w="2394" w:type="dxa"/>
          </w:tcPr>
          <w:p w:rsidR="00A764A2" w:rsidRPr="00976BFF" w:rsidRDefault="00473CAE">
            <w:pPr>
              <w:jc w:val="center"/>
              <w:rPr>
                <w:lang w:val="es-ES_tradnl"/>
              </w:rPr>
            </w:pPr>
            <w:r w:rsidRPr="00976BFF">
              <w:rPr>
                <w:rFonts w:ascii="Times New Roman" w:hAnsi="Times New Roman" w:cs="Times New Roman"/>
                <w:lang w:val="es-ES_tradnl"/>
              </w:rPr>
              <w:t>Valor neto actualizado</w:t>
            </w:r>
          </w:p>
        </w:tc>
        <w:tc>
          <w:tcPr>
            <w:tcW w:w="2394" w:type="dxa"/>
          </w:tcPr>
          <w:p w:rsidR="00A764A2" w:rsidRPr="00976BFF" w:rsidRDefault="00473CAE">
            <w:pPr>
              <w:jc w:val="center"/>
              <w:rPr>
                <w:lang w:val="es-ES_tradnl"/>
              </w:rPr>
            </w:pPr>
            <w:r w:rsidRPr="00976BFF">
              <w:rPr>
                <w:rFonts w:ascii="Times New Roman" w:hAnsi="Times New Roman" w:cs="Times New Roman"/>
                <w:lang w:val="es-ES_tradnl"/>
              </w:rPr>
              <w:t>Tasa de rentabilidad interna</w:t>
            </w:r>
          </w:p>
        </w:tc>
      </w:tr>
      <w:tr w:rsidR="008007A9" w:rsidRPr="00976BFF">
        <w:tc>
          <w:tcPr>
            <w:tcW w:w="2394" w:type="dxa"/>
          </w:tcPr>
          <w:p w:rsidR="00A764A2" w:rsidRPr="00976BFF" w:rsidRDefault="00C41F5D" w:rsidP="00473CAE">
            <w:pPr>
              <w:jc w:val="center"/>
              <w:rPr>
                <w:lang w:val="es-ES_tradnl"/>
              </w:rPr>
            </w:pPr>
            <w:r w:rsidRPr="00976BFF">
              <w:rPr>
                <w:rFonts w:ascii="Times New Roman" w:hAnsi="Times New Roman" w:cs="Times New Roman"/>
                <w:lang w:val="es-ES_tradnl"/>
              </w:rPr>
              <w:t>US$1</w:t>
            </w:r>
            <w:r w:rsidR="00E13F26" w:rsidRPr="00976BFF">
              <w:rPr>
                <w:rFonts w:ascii="Times New Roman" w:hAnsi="Times New Roman" w:cs="Times New Roman"/>
                <w:lang w:val="es-ES_tradnl"/>
              </w:rPr>
              <w:t>13</w:t>
            </w:r>
            <w:r w:rsidRPr="00976BFF">
              <w:rPr>
                <w:rFonts w:ascii="Times New Roman" w:hAnsi="Times New Roman" w:cs="Times New Roman"/>
                <w:lang w:val="es-ES_tradnl"/>
              </w:rPr>
              <w:t xml:space="preserve"> millon</w:t>
            </w:r>
            <w:r w:rsidR="00473CAE" w:rsidRPr="00976BFF">
              <w:rPr>
                <w:rFonts w:ascii="Times New Roman" w:hAnsi="Times New Roman" w:cs="Times New Roman"/>
                <w:lang w:val="es-ES_tradnl"/>
              </w:rPr>
              <w:t>es</w:t>
            </w:r>
          </w:p>
        </w:tc>
        <w:tc>
          <w:tcPr>
            <w:tcW w:w="2394" w:type="dxa"/>
          </w:tcPr>
          <w:p w:rsidR="00A764A2" w:rsidRPr="00976BFF" w:rsidRDefault="00C41F5D">
            <w:pPr>
              <w:jc w:val="center"/>
              <w:rPr>
                <w:lang w:val="es-ES_tradnl"/>
              </w:rPr>
            </w:pPr>
            <w:r w:rsidRPr="00976BFF">
              <w:rPr>
                <w:rFonts w:ascii="Times New Roman" w:hAnsi="Times New Roman" w:cs="Times New Roman"/>
                <w:lang w:val="es-ES_tradnl"/>
              </w:rPr>
              <w:t>29%</w:t>
            </w:r>
          </w:p>
        </w:tc>
        <w:tc>
          <w:tcPr>
            <w:tcW w:w="2394" w:type="dxa"/>
          </w:tcPr>
          <w:p w:rsidR="00A764A2" w:rsidRPr="00976BFF" w:rsidRDefault="00C41F5D" w:rsidP="00473CAE">
            <w:pPr>
              <w:jc w:val="center"/>
              <w:rPr>
                <w:lang w:val="es-ES_tradnl"/>
              </w:rPr>
            </w:pPr>
            <w:r w:rsidRPr="00976BFF">
              <w:rPr>
                <w:rFonts w:ascii="Times New Roman" w:hAnsi="Times New Roman" w:cs="Times New Roman"/>
                <w:lang w:val="es-ES_tradnl"/>
              </w:rPr>
              <w:t>US$1</w:t>
            </w:r>
            <w:r w:rsidR="00E13F26" w:rsidRPr="00976BFF">
              <w:rPr>
                <w:rFonts w:ascii="Times New Roman" w:hAnsi="Times New Roman" w:cs="Times New Roman"/>
                <w:lang w:val="es-ES_tradnl"/>
              </w:rPr>
              <w:t>44</w:t>
            </w:r>
            <w:r w:rsidRPr="00976BFF">
              <w:rPr>
                <w:rFonts w:ascii="Times New Roman" w:hAnsi="Times New Roman" w:cs="Times New Roman"/>
                <w:lang w:val="es-ES_tradnl"/>
              </w:rPr>
              <w:t xml:space="preserve"> millon</w:t>
            </w:r>
            <w:r w:rsidR="00473CAE" w:rsidRPr="00976BFF">
              <w:rPr>
                <w:rFonts w:ascii="Times New Roman" w:hAnsi="Times New Roman" w:cs="Times New Roman"/>
                <w:lang w:val="es-ES_tradnl"/>
              </w:rPr>
              <w:t>es</w:t>
            </w:r>
          </w:p>
        </w:tc>
        <w:tc>
          <w:tcPr>
            <w:tcW w:w="2394" w:type="dxa"/>
          </w:tcPr>
          <w:p w:rsidR="00A764A2" w:rsidRPr="00976BFF" w:rsidRDefault="00C41F5D">
            <w:pPr>
              <w:jc w:val="center"/>
              <w:rPr>
                <w:lang w:val="es-ES_tradnl"/>
              </w:rPr>
            </w:pPr>
            <w:r w:rsidRPr="00976BFF">
              <w:rPr>
                <w:rFonts w:ascii="Times New Roman" w:hAnsi="Times New Roman" w:cs="Times New Roman"/>
                <w:lang w:val="es-ES_tradnl"/>
              </w:rPr>
              <w:t>29%</w:t>
            </w:r>
          </w:p>
        </w:tc>
      </w:tr>
    </w:tbl>
    <w:p w:rsidR="0039661E" w:rsidRPr="00976BFF" w:rsidRDefault="0039661E">
      <w:pPr>
        <w:rPr>
          <w:lang w:val="es-ES_tradnl"/>
        </w:rPr>
      </w:pPr>
      <w:r w:rsidRPr="00976BFF">
        <w:rPr>
          <w:lang w:val="es-ES_tradnl"/>
        </w:rPr>
        <w:br w:type="page"/>
      </w:r>
    </w:p>
    <w:p w:rsidR="00A764A2" w:rsidRPr="00976BFF" w:rsidRDefault="00473CAE" w:rsidP="00EB3076">
      <w:pPr>
        <w:pStyle w:val="Annexmain"/>
        <w:ind w:left="0" w:firstLine="0"/>
        <w:rPr>
          <w:lang w:val="es-ES_tradnl"/>
        </w:rPr>
      </w:pPr>
      <w:r w:rsidRPr="00976BFF">
        <w:rPr>
          <w:lang w:val="es-ES_tradnl"/>
        </w:rPr>
        <w:t>El gráfico</w:t>
      </w:r>
      <w:r w:rsidR="003835A6" w:rsidRPr="00976BFF">
        <w:rPr>
          <w:lang w:val="es-ES_tradnl"/>
        </w:rPr>
        <w:t xml:space="preserve"> A4.4</w:t>
      </w:r>
      <w:r w:rsidR="008007A9" w:rsidRPr="00976BFF">
        <w:rPr>
          <w:lang w:val="es-ES_tradnl"/>
        </w:rPr>
        <w:t xml:space="preserve"> </w:t>
      </w:r>
      <w:r w:rsidRPr="00976BFF">
        <w:rPr>
          <w:lang w:val="es-ES_tradnl"/>
        </w:rPr>
        <w:t xml:space="preserve">muestra la evolución de las condiciones de la red vial nacional de Uruguay, en el marco de </w:t>
      </w:r>
      <w:r w:rsidR="0050779D" w:rsidRPr="00976BFF">
        <w:rPr>
          <w:lang w:val="es-ES_tradnl"/>
        </w:rPr>
        <w:t>l</w:t>
      </w:r>
      <w:r w:rsidR="0050779D">
        <w:rPr>
          <w:lang w:val="es-ES_tradnl"/>
        </w:rPr>
        <w:t>a</w:t>
      </w:r>
      <w:r w:rsidR="0050779D" w:rsidRPr="00976BFF">
        <w:rPr>
          <w:lang w:val="es-ES_tradnl"/>
        </w:rPr>
        <w:t xml:space="preserve">s </w:t>
      </w:r>
      <w:r w:rsidRPr="00976BFF">
        <w:rPr>
          <w:lang w:val="es-ES_tradnl"/>
        </w:rPr>
        <w:t xml:space="preserve">tres </w:t>
      </w:r>
      <w:r w:rsidR="0050779D">
        <w:rPr>
          <w:lang w:val="es-ES_tradnl"/>
        </w:rPr>
        <w:t>situaciones hipotéticas</w:t>
      </w:r>
      <w:r w:rsidR="008007A9" w:rsidRPr="00976BFF">
        <w:rPr>
          <w:lang w:val="es-ES_tradnl"/>
        </w:rPr>
        <w:t>.</w:t>
      </w:r>
    </w:p>
    <w:p w:rsidR="00172190" w:rsidRPr="00976BFF" w:rsidRDefault="00172190">
      <w:pPr>
        <w:rPr>
          <w:rFonts w:ascii="Times New Roman" w:hAnsi="Times New Roman" w:cs="Times New Roman"/>
          <w:lang w:val="es-ES_tradnl"/>
        </w:rPr>
      </w:pPr>
    </w:p>
    <w:tbl>
      <w:tblPr>
        <w:tblStyle w:val="TableGrid"/>
        <w:tblW w:w="0" w:type="auto"/>
        <w:tblInd w:w="18" w:type="dxa"/>
        <w:tblLook w:val="04A0" w:firstRow="1" w:lastRow="0" w:firstColumn="1" w:lastColumn="0" w:noHBand="0" w:noVBand="1"/>
      </w:tblPr>
      <w:tblGrid>
        <w:gridCol w:w="9526"/>
      </w:tblGrid>
      <w:tr w:rsidR="00F17451" w:rsidRPr="001E1C20">
        <w:trPr>
          <w:trHeight w:val="420"/>
        </w:trPr>
        <w:tc>
          <w:tcPr>
            <w:tcW w:w="9526" w:type="dxa"/>
            <w:tcBorders>
              <w:top w:val="nil"/>
              <w:left w:val="nil"/>
              <w:bottom w:val="nil"/>
              <w:right w:val="nil"/>
            </w:tcBorders>
          </w:tcPr>
          <w:p w:rsidR="00A764A2" w:rsidRPr="00976BFF" w:rsidRDefault="00473CAE">
            <w:pPr>
              <w:jc w:val="center"/>
              <w:rPr>
                <w:b/>
                <w:lang w:val="es-ES_tradnl"/>
              </w:rPr>
            </w:pPr>
            <w:r w:rsidRPr="00976BFF">
              <w:rPr>
                <w:rFonts w:ascii="Times New Roman" w:hAnsi="Times New Roman" w:cs="Times New Roman"/>
                <w:b/>
                <w:lang w:val="es-ES_tradnl"/>
              </w:rPr>
              <w:t>Gráfico</w:t>
            </w:r>
            <w:r w:rsidR="00C41F5D" w:rsidRPr="00976BFF">
              <w:rPr>
                <w:rFonts w:ascii="Times New Roman" w:hAnsi="Times New Roman" w:cs="Times New Roman"/>
                <w:b/>
                <w:lang w:val="es-ES_tradnl"/>
              </w:rPr>
              <w:t xml:space="preserve"> A4.4. </w:t>
            </w:r>
            <w:r w:rsidRPr="00976BFF">
              <w:rPr>
                <w:rFonts w:ascii="Times New Roman" w:hAnsi="Times New Roman" w:cs="Times New Roman"/>
                <w:b/>
                <w:lang w:val="es-ES_tradnl"/>
              </w:rPr>
              <w:t xml:space="preserve">Evolución prevista de la red vial nacional de </w:t>
            </w:r>
            <w:r w:rsidR="00C41F5D" w:rsidRPr="00976BFF">
              <w:rPr>
                <w:rFonts w:ascii="Times New Roman" w:hAnsi="Times New Roman" w:cs="Times New Roman"/>
                <w:b/>
                <w:lang w:val="es-ES_tradnl"/>
              </w:rPr>
              <w:t>Uruguay</w:t>
            </w:r>
            <w:r w:rsidRPr="00976BFF">
              <w:rPr>
                <w:rFonts w:ascii="Times New Roman" w:hAnsi="Times New Roman" w:cs="Times New Roman"/>
                <w:b/>
                <w:lang w:val="es-ES_tradnl"/>
              </w:rPr>
              <w:t xml:space="preserve">, en el marco de </w:t>
            </w:r>
            <w:r w:rsidR="00B032B8" w:rsidRPr="00976BFF">
              <w:rPr>
                <w:rFonts w:ascii="Times New Roman" w:hAnsi="Times New Roman" w:cs="Times New Roman"/>
                <w:b/>
                <w:lang w:val="es-ES_tradnl"/>
              </w:rPr>
              <w:t>l</w:t>
            </w:r>
            <w:r w:rsidR="00B032B8">
              <w:rPr>
                <w:rFonts w:ascii="Times New Roman" w:hAnsi="Times New Roman" w:cs="Times New Roman"/>
                <w:b/>
                <w:lang w:val="es-ES_tradnl"/>
              </w:rPr>
              <w:t>a</w:t>
            </w:r>
            <w:r w:rsidR="00B032B8" w:rsidRPr="00976BFF">
              <w:rPr>
                <w:rFonts w:ascii="Times New Roman" w:hAnsi="Times New Roman" w:cs="Times New Roman"/>
                <w:b/>
                <w:lang w:val="es-ES_tradnl"/>
              </w:rPr>
              <w:t xml:space="preserve">s </w:t>
            </w:r>
            <w:r w:rsidRPr="00976BFF">
              <w:rPr>
                <w:rFonts w:ascii="Times New Roman" w:hAnsi="Times New Roman" w:cs="Times New Roman"/>
                <w:b/>
                <w:lang w:val="es-ES_tradnl"/>
              </w:rPr>
              <w:t xml:space="preserve">tres </w:t>
            </w:r>
            <w:r w:rsidR="00B032B8">
              <w:rPr>
                <w:rFonts w:ascii="Times New Roman" w:hAnsi="Times New Roman" w:cs="Times New Roman"/>
                <w:b/>
                <w:lang w:val="es-ES_tradnl"/>
              </w:rPr>
              <w:t>situaciones hipotéticas</w:t>
            </w:r>
          </w:p>
          <w:p w:rsidR="00A764A2" w:rsidRPr="00976BFF" w:rsidRDefault="00C41F5D" w:rsidP="00473CAE">
            <w:pPr>
              <w:jc w:val="center"/>
              <w:rPr>
                <w:b/>
                <w:lang w:val="es-ES_tradnl"/>
              </w:rPr>
            </w:pPr>
            <w:r w:rsidRPr="00976BFF">
              <w:rPr>
                <w:rFonts w:ascii="Times New Roman" w:hAnsi="Times New Roman" w:cs="Times New Roman"/>
                <w:b/>
                <w:lang w:val="es-ES_tradnl"/>
              </w:rPr>
              <w:t>(</w:t>
            </w:r>
            <w:r w:rsidR="00377DE4" w:rsidRPr="00976BFF">
              <w:rPr>
                <w:rFonts w:ascii="Times New Roman" w:hAnsi="Times New Roman" w:cs="Times New Roman"/>
                <w:b/>
                <w:lang w:val="es-ES_tradnl"/>
              </w:rPr>
              <w:t>P</w:t>
            </w:r>
            <w:r w:rsidR="00473CAE" w:rsidRPr="00976BFF">
              <w:rPr>
                <w:rFonts w:ascii="Times New Roman" w:hAnsi="Times New Roman" w:cs="Times New Roman"/>
                <w:b/>
                <w:lang w:val="es-ES_tradnl"/>
              </w:rPr>
              <w:t>orcentaje de la red en buenas y muy buenas condiciones</w:t>
            </w:r>
            <w:r w:rsidRPr="00976BFF">
              <w:rPr>
                <w:rFonts w:ascii="Times New Roman" w:hAnsi="Times New Roman" w:cs="Times New Roman"/>
                <w:b/>
                <w:lang w:val="es-ES_tradnl"/>
              </w:rPr>
              <w:t>)</w:t>
            </w:r>
          </w:p>
        </w:tc>
      </w:tr>
      <w:tr w:rsidR="00F17451" w:rsidRPr="00976BFF">
        <w:tblPrEx>
          <w:tblCellMar>
            <w:left w:w="70" w:type="dxa"/>
            <w:right w:w="70" w:type="dxa"/>
          </w:tblCellMar>
        </w:tblPrEx>
        <w:trPr>
          <w:trHeight w:val="5158"/>
        </w:trPr>
        <w:tc>
          <w:tcPr>
            <w:tcW w:w="9526" w:type="dxa"/>
            <w:tcBorders>
              <w:top w:val="nil"/>
              <w:left w:val="nil"/>
              <w:bottom w:val="nil"/>
              <w:right w:val="nil"/>
            </w:tcBorders>
          </w:tcPr>
          <w:p w:rsidR="00A764A2" w:rsidRPr="00976BFF" w:rsidRDefault="00BA42A7" w:rsidP="00BA42A7">
            <w:pPr>
              <w:jc w:val="center"/>
              <w:rPr>
                <w:lang w:val="es-ES_tradnl"/>
              </w:rPr>
            </w:pPr>
            <w:r>
              <w:rPr>
                <w:noProof/>
              </w:rPr>
              <w:drawing>
                <wp:inline distT="0" distB="0" distL="0" distR="0">
                  <wp:extent cx="5245100" cy="3352800"/>
                  <wp:effectExtent l="0" t="0" r="1270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A764A2" w:rsidRPr="00976BFF" w:rsidRDefault="00A764A2">
      <w:pPr>
        <w:rPr>
          <w:lang w:val="es-ES_tradnl"/>
        </w:rPr>
      </w:pPr>
    </w:p>
    <w:p w:rsidR="003D6DF4" w:rsidRPr="00976BFF" w:rsidRDefault="00473CAE" w:rsidP="00D2000A">
      <w:pPr>
        <w:pStyle w:val="Heading2"/>
        <w:numPr>
          <w:ilvl w:val="1"/>
          <w:numId w:val="6"/>
        </w:numPr>
        <w:rPr>
          <w:rFonts w:ascii="Times New Roman" w:hAnsi="Times New Roman"/>
          <w:b/>
          <w:sz w:val="22"/>
          <w:lang w:val="es-ES_tradnl"/>
        </w:rPr>
      </w:pPr>
      <w:bookmarkStart w:id="65" w:name="_Toc327540004"/>
      <w:bookmarkStart w:id="66" w:name="_Toc344927194"/>
      <w:r w:rsidRPr="00976BFF">
        <w:rPr>
          <w:rFonts w:ascii="Times New Roman" w:hAnsi="Times New Roman"/>
          <w:b/>
          <w:sz w:val="22"/>
          <w:lang w:val="es-ES_tradnl"/>
        </w:rPr>
        <w:t>Determinación de la capacidad de seguimiento y evaluación</w:t>
      </w:r>
      <w:bookmarkEnd w:id="65"/>
      <w:bookmarkEnd w:id="66"/>
    </w:p>
    <w:p w:rsidR="00A764A2" w:rsidRPr="00976BFF" w:rsidRDefault="002821B6" w:rsidP="00EB3076">
      <w:pPr>
        <w:pStyle w:val="Annexmain"/>
        <w:ind w:firstLine="0"/>
        <w:rPr>
          <w:lang w:val="es-ES_tradnl"/>
        </w:rPr>
      </w:pPr>
      <w:r w:rsidRPr="00976BFF">
        <w:rPr>
          <w:lang w:val="es-ES_tradnl"/>
        </w:rPr>
        <w:t xml:space="preserve">En general, se considera que los sistemas de seguimiento y evaluación de la DNV y CVU permiten realizar un seguimiento satisfactorio de las actividades y los resultados del </w:t>
      </w:r>
      <w:r w:rsidR="008A1019">
        <w:rPr>
          <w:lang w:val="es-ES_tradnl"/>
        </w:rPr>
        <w:t>programa</w:t>
      </w:r>
      <w:r w:rsidRPr="00976BFF">
        <w:rPr>
          <w:lang w:val="es-ES_tradnl"/>
        </w:rPr>
        <w:t xml:space="preserve">. En comparación con la práctica estándar, no se ha identificado ninguna deficiencia importante; por el contrario, como se describe más adelante, se considera que algunos aspectos son prácticas óptimas. La DNV realiza un seguimiento </w:t>
      </w:r>
      <w:r w:rsidR="00A34D98" w:rsidRPr="00976BFF">
        <w:rPr>
          <w:lang w:val="es-ES_tradnl"/>
        </w:rPr>
        <w:t xml:space="preserve">y </w:t>
      </w:r>
      <w:r w:rsidR="002C4800" w:rsidRPr="00976BFF">
        <w:rPr>
          <w:lang w:val="es-ES_tradnl"/>
        </w:rPr>
        <w:t>prepara un informe</w:t>
      </w:r>
      <w:r w:rsidR="00A34D98" w:rsidRPr="00976BFF">
        <w:rPr>
          <w:lang w:val="es-ES_tradnl"/>
        </w:rPr>
        <w:t xml:space="preserve"> en función</w:t>
      </w:r>
      <w:r w:rsidRPr="00976BFF">
        <w:rPr>
          <w:lang w:val="es-ES_tradnl"/>
        </w:rPr>
        <w:t xml:space="preserve"> </w:t>
      </w:r>
      <w:r w:rsidR="00A34D98" w:rsidRPr="00976BFF">
        <w:rPr>
          <w:lang w:val="es-ES_tradnl"/>
        </w:rPr>
        <w:t>d</w:t>
      </w:r>
      <w:r w:rsidRPr="00976BFF">
        <w:rPr>
          <w:lang w:val="es-ES_tradnl"/>
        </w:rPr>
        <w:t>el marco de seguimiento y evaluación de la Ley de Presupuesto</w:t>
      </w:r>
      <w:r w:rsidR="00A34D98" w:rsidRPr="00976BFF">
        <w:rPr>
          <w:lang w:val="es-ES_tradnl"/>
        </w:rPr>
        <w:t xml:space="preserve">. Como se mencionó en la sección </w:t>
      </w:r>
      <w:r w:rsidR="00DC4CF7" w:rsidRPr="00976BFF">
        <w:rPr>
          <w:lang w:val="es-ES_tradnl"/>
        </w:rPr>
        <w:t xml:space="preserve">II-A, </w:t>
      </w:r>
      <w:r w:rsidR="00A34D98" w:rsidRPr="00976BFF">
        <w:rPr>
          <w:lang w:val="es-ES_tradnl"/>
        </w:rPr>
        <w:t xml:space="preserve">y se describió en detalle en el anexo </w:t>
      </w:r>
      <w:r w:rsidR="00DC4CF7" w:rsidRPr="00976BFF">
        <w:rPr>
          <w:lang w:val="es-ES_tradnl"/>
        </w:rPr>
        <w:t xml:space="preserve">1, </w:t>
      </w:r>
      <w:r w:rsidR="00A34D98" w:rsidRPr="00976BFF">
        <w:rPr>
          <w:lang w:val="es-ES_tradnl"/>
        </w:rPr>
        <w:t xml:space="preserve">la Ley de Presupuesto está estructurada en torno a </w:t>
      </w:r>
      <w:r w:rsidR="006D44FB">
        <w:rPr>
          <w:lang w:val="es-ES_tradnl"/>
        </w:rPr>
        <w:t>programas</w:t>
      </w:r>
      <w:r w:rsidR="00A34D98" w:rsidRPr="00976BFF">
        <w:rPr>
          <w:lang w:val="es-ES_tradnl"/>
        </w:rPr>
        <w:t xml:space="preserve">, que en cada caso tienen un objetivo e indicadores cuantitativos para medir los avances en su consecución. Por lo tanto, </w:t>
      </w:r>
      <w:r w:rsidR="002C4800" w:rsidRPr="00976BFF">
        <w:rPr>
          <w:lang w:val="es-ES_tradnl"/>
        </w:rPr>
        <w:t xml:space="preserve">el informe se prepara en forma anual teniendo en cuenta </w:t>
      </w:r>
      <w:r w:rsidR="00A34D98" w:rsidRPr="00976BFF">
        <w:rPr>
          <w:lang w:val="es-ES_tradnl"/>
        </w:rPr>
        <w:t>los resultados establecidos en la Ley de Presupuesto, a través del proceso de r</w:t>
      </w:r>
      <w:r w:rsidR="00C41F5D" w:rsidRPr="00976BFF">
        <w:rPr>
          <w:lang w:val="es-ES_tradnl"/>
        </w:rPr>
        <w:t>endición de cuentas</w:t>
      </w:r>
      <w:r w:rsidR="00A34D98" w:rsidRPr="00976BFF">
        <w:rPr>
          <w:lang w:val="es-ES_tradnl"/>
        </w:rPr>
        <w:t xml:space="preserve">. </w:t>
      </w:r>
      <w:r w:rsidR="002C4800" w:rsidRPr="00976BFF">
        <w:rPr>
          <w:lang w:val="es-ES_tradnl"/>
        </w:rPr>
        <w:t xml:space="preserve">En el marco de este proceso, se hace un inventario de todas las actividades y los resultados logrados durante el año, incluido el seguimiento de los indicadores de resultados establecidos en la Ley de Presupuesto, y también se indica el grado de implementación de la estrategia del ministerio. Estos informes se publican en el sitio web de la CGN. Aunque se trata de un nuevo enfoque, que se puso en marcha en 2010, la </w:t>
      </w:r>
      <w:r w:rsidR="004A26E3" w:rsidRPr="00976BFF">
        <w:rPr>
          <w:lang w:val="es-ES_tradnl"/>
        </w:rPr>
        <w:t>DNV</w:t>
      </w:r>
      <w:r w:rsidR="002C4800" w:rsidRPr="00976BFF">
        <w:rPr>
          <w:lang w:val="es-ES_tradnl"/>
        </w:rPr>
        <w:t xml:space="preserve"> ha logrado establecer con éxito procesos de seguimiento que le permiten cumplir con este nuevo requisito (estos procesos dependen de la Gerencia de Programación de la DNV). Asimismo, </w:t>
      </w:r>
      <w:r w:rsidR="00527F56" w:rsidRPr="00976BFF">
        <w:rPr>
          <w:lang w:val="es-ES_tradnl"/>
        </w:rPr>
        <w:t xml:space="preserve">la implementación de las actividades de seguimiento y evaluación en </w:t>
      </w:r>
      <w:r w:rsidR="002C4800" w:rsidRPr="00976BFF">
        <w:rPr>
          <w:lang w:val="es-ES_tradnl"/>
        </w:rPr>
        <w:t xml:space="preserve">proyectos </w:t>
      </w:r>
      <w:r w:rsidR="00527F56" w:rsidRPr="00976BFF">
        <w:rPr>
          <w:lang w:val="es-ES_tradnl"/>
        </w:rPr>
        <w:t>anteriores del Banco con el MTOP, incluido el más reciente cuyo cierre operó en julio de 2011, fue altamente satisfactoria</w:t>
      </w:r>
      <w:r w:rsidR="003561D0" w:rsidRPr="00976BFF">
        <w:rPr>
          <w:lang w:val="es-ES_tradnl"/>
        </w:rPr>
        <w:t>.</w:t>
      </w:r>
    </w:p>
    <w:p w:rsidR="00E263EF" w:rsidRPr="00976BFF" w:rsidRDefault="00D35847" w:rsidP="00EB3076">
      <w:pPr>
        <w:pStyle w:val="Annexmain"/>
        <w:ind w:firstLine="0"/>
        <w:rPr>
          <w:lang w:val="es-ES_tradnl"/>
        </w:rPr>
      </w:pPr>
      <w:r w:rsidRPr="00976BFF">
        <w:rPr>
          <w:lang w:val="es-ES_tradnl"/>
        </w:rPr>
        <w:t xml:space="preserve">En el ámbito interno, tanto del </w:t>
      </w:r>
      <w:r w:rsidR="003D6DF4" w:rsidRPr="00976BFF">
        <w:rPr>
          <w:lang w:val="es-ES_tradnl"/>
        </w:rPr>
        <w:t xml:space="preserve">MTOP </w:t>
      </w:r>
      <w:r w:rsidRPr="00976BFF">
        <w:rPr>
          <w:lang w:val="es-ES_tradnl"/>
        </w:rPr>
        <w:t>como de la</w:t>
      </w:r>
      <w:r w:rsidR="003D6DF4" w:rsidRPr="00976BFF">
        <w:rPr>
          <w:lang w:val="es-ES_tradnl"/>
        </w:rPr>
        <w:t xml:space="preserve"> DNV, </w:t>
      </w:r>
      <w:r w:rsidRPr="00976BFF">
        <w:rPr>
          <w:lang w:val="es-ES_tradnl"/>
        </w:rPr>
        <w:t xml:space="preserve">no se ha identificado ningún proceso sistemático de presentación de informes </w:t>
      </w:r>
      <w:r w:rsidR="00B032B8" w:rsidRPr="00976BFF">
        <w:rPr>
          <w:lang w:val="es-ES_tradnl"/>
        </w:rPr>
        <w:t xml:space="preserve">a la administración superior del MTOP </w:t>
      </w:r>
      <w:r w:rsidRPr="00976BFF">
        <w:rPr>
          <w:lang w:val="es-ES_tradnl"/>
        </w:rPr>
        <w:t xml:space="preserve">sobre la ejecución de los contratos o la </w:t>
      </w:r>
      <w:r w:rsidR="003C761F">
        <w:rPr>
          <w:lang w:val="es-ES_tradnl"/>
        </w:rPr>
        <w:t>ejecución</w:t>
      </w:r>
      <w:r w:rsidR="003C761F" w:rsidRPr="00976BFF">
        <w:rPr>
          <w:lang w:val="es-ES_tradnl"/>
        </w:rPr>
        <w:t xml:space="preserve"> </w:t>
      </w:r>
      <w:r w:rsidRPr="00976BFF">
        <w:rPr>
          <w:lang w:val="es-ES_tradnl"/>
        </w:rPr>
        <w:t xml:space="preserve">del </w:t>
      </w:r>
      <w:r w:rsidR="008A1019">
        <w:rPr>
          <w:lang w:val="es-ES_tradnl"/>
        </w:rPr>
        <w:t>programa</w:t>
      </w:r>
      <w:r w:rsidRPr="00976BFF">
        <w:rPr>
          <w:lang w:val="es-ES_tradnl"/>
        </w:rPr>
        <w:t xml:space="preserve">. Por lo tanto, se considera que los informes se preparan sobre una base </w:t>
      </w:r>
      <w:r w:rsidR="00852D76" w:rsidRPr="00976BFF">
        <w:rPr>
          <w:i/>
          <w:lang w:val="es-ES_tradnl"/>
        </w:rPr>
        <w:t>ad hoc</w:t>
      </w:r>
      <w:r w:rsidR="003D6DF4" w:rsidRPr="00976BFF">
        <w:rPr>
          <w:lang w:val="es-ES_tradnl"/>
        </w:rPr>
        <w:t xml:space="preserve"> o</w:t>
      </w:r>
      <w:r w:rsidRPr="00976BFF">
        <w:rPr>
          <w:lang w:val="es-ES_tradnl"/>
        </w:rPr>
        <w:t xml:space="preserve"> a pedido</w:t>
      </w:r>
      <w:r w:rsidR="003D6DF4" w:rsidRPr="00976BFF">
        <w:rPr>
          <w:lang w:val="es-ES_tradnl"/>
        </w:rPr>
        <w:t xml:space="preserve">. </w:t>
      </w:r>
      <w:r w:rsidRPr="00976BFF">
        <w:rPr>
          <w:lang w:val="es-ES_tradnl"/>
        </w:rPr>
        <w:t>Aunque este sistema aparentemente cubre las necesidades (se está</w:t>
      </w:r>
      <w:r w:rsidR="000159EA" w:rsidRPr="00976BFF">
        <w:rPr>
          <w:lang w:val="es-ES_tradnl"/>
        </w:rPr>
        <w:t>n</w:t>
      </w:r>
      <w:r w:rsidRPr="00976BFF">
        <w:rPr>
          <w:lang w:val="es-ES_tradnl"/>
        </w:rPr>
        <w:t xml:space="preserve"> ejecutando muy pocos contratos de rehabilitación y mantenimiento: en promedio alrededor de 30) y no sería un obstáculo para que el marco de resultados del </w:t>
      </w:r>
      <w:r w:rsidR="008A1019">
        <w:rPr>
          <w:lang w:val="es-ES_tradnl"/>
        </w:rPr>
        <w:t>programa</w:t>
      </w:r>
      <w:r w:rsidRPr="00976BFF">
        <w:rPr>
          <w:lang w:val="es-ES_tradnl"/>
        </w:rPr>
        <w:t xml:space="preserve"> sea adecuado, una mejor integración de los sistemas </w:t>
      </w:r>
      <w:r w:rsidR="000159EA" w:rsidRPr="00976BFF">
        <w:rPr>
          <w:lang w:val="es-ES_tradnl"/>
        </w:rPr>
        <w:t>permitiría proporcionar información a la administración del MTOP de una manera más sistemática</w:t>
      </w:r>
      <w:r w:rsidR="003D6DF4" w:rsidRPr="00976BFF">
        <w:rPr>
          <w:lang w:val="es-ES_tradnl"/>
        </w:rPr>
        <w:t>.</w:t>
      </w:r>
      <w:r w:rsidR="001B71CB" w:rsidRPr="00976BFF">
        <w:rPr>
          <w:lang w:val="es-ES_tradnl"/>
        </w:rPr>
        <w:t xml:space="preserve"> </w:t>
      </w:r>
    </w:p>
    <w:p w:rsidR="00A764A2" w:rsidRPr="00976BFF" w:rsidRDefault="000159EA" w:rsidP="00EB3076">
      <w:pPr>
        <w:pStyle w:val="Annexmain"/>
        <w:ind w:firstLine="0"/>
        <w:rPr>
          <w:lang w:val="es-ES_tradnl"/>
        </w:rPr>
      </w:pPr>
      <w:r w:rsidRPr="00976BFF">
        <w:rPr>
          <w:lang w:val="es-ES_tradnl"/>
        </w:rPr>
        <w:t xml:space="preserve">El </w:t>
      </w:r>
      <w:r w:rsidR="00240EFC" w:rsidRPr="00976BFF">
        <w:rPr>
          <w:lang w:val="es-ES_tradnl"/>
        </w:rPr>
        <w:t xml:space="preserve">MTOP </w:t>
      </w:r>
      <w:r w:rsidRPr="00976BFF">
        <w:rPr>
          <w:lang w:val="es-ES_tradnl"/>
        </w:rPr>
        <w:t xml:space="preserve">controla regularmente las condiciones de la red vial nacional en lo que respecta al estado del pavimento, los volúmenes de tráfico y la carga por ejes. Esta información se incorpora </w:t>
      </w:r>
      <w:r w:rsidR="000D312B" w:rsidRPr="00976BFF">
        <w:rPr>
          <w:lang w:val="es-ES_tradnl"/>
        </w:rPr>
        <w:t xml:space="preserve">al ejercicio de planificación de obras viales que se lleva a cabo al inicio de cada Ley de Presupuesto quinquenal. La cantidad y la calidad de los datos es excepcional en comparación con los datos de otros países de la región. Muchos de los indicadores incluidos en el marco de resultados del </w:t>
      </w:r>
      <w:r w:rsidR="008A1019">
        <w:rPr>
          <w:lang w:val="es-ES_tradnl"/>
        </w:rPr>
        <w:t>programa</w:t>
      </w:r>
      <w:r w:rsidR="000D312B" w:rsidRPr="00976BFF">
        <w:rPr>
          <w:lang w:val="es-ES_tradnl"/>
        </w:rPr>
        <w:t xml:space="preserve"> se basarán en los datos del sistema de información de la DNV</w:t>
      </w:r>
      <w:r w:rsidR="00B15E73" w:rsidRPr="00976BFF">
        <w:rPr>
          <w:lang w:val="es-ES_tradnl"/>
        </w:rPr>
        <w:t>.</w:t>
      </w:r>
    </w:p>
    <w:p w:rsidR="001862EE" w:rsidRPr="00976BFF" w:rsidRDefault="000D312B" w:rsidP="00EB3076">
      <w:pPr>
        <w:pStyle w:val="Annexmain"/>
        <w:ind w:firstLine="0"/>
        <w:rPr>
          <w:lang w:val="es-ES_tradnl"/>
        </w:rPr>
      </w:pPr>
      <w:r w:rsidRPr="00976BFF">
        <w:rPr>
          <w:lang w:val="es-ES_tradnl"/>
        </w:rPr>
        <w:t xml:space="preserve">Por último, el área de financiamiento exterior del MTOP preparará informes sobre la marcha del </w:t>
      </w:r>
      <w:r w:rsidR="008A1019">
        <w:rPr>
          <w:lang w:val="es-ES_tradnl"/>
        </w:rPr>
        <w:t>programa</w:t>
      </w:r>
      <w:r w:rsidRPr="00976BFF">
        <w:rPr>
          <w:lang w:val="es-ES_tradnl"/>
        </w:rPr>
        <w:t xml:space="preserve"> en forma semestral y los presentará al Banco Mundial para su examen</w:t>
      </w:r>
      <w:r w:rsidR="001862EE" w:rsidRPr="00976BFF">
        <w:rPr>
          <w:lang w:val="es-ES_tradnl"/>
        </w:rPr>
        <w:t xml:space="preserve">. </w:t>
      </w:r>
      <w:r w:rsidRPr="00976BFF">
        <w:rPr>
          <w:lang w:val="es-ES_tradnl"/>
        </w:rPr>
        <w:t xml:space="preserve">Estos informes contendrán una síntesis de todas las actividades financiadas en el marco del </w:t>
      </w:r>
      <w:r w:rsidR="008A1019">
        <w:rPr>
          <w:lang w:val="es-ES_tradnl"/>
        </w:rPr>
        <w:t>programa</w:t>
      </w:r>
      <w:r w:rsidRPr="00976BFF">
        <w:rPr>
          <w:lang w:val="es-ES_tradnl"/>
        </w:rPr>
        <w:t xml:space="preserve">, </w:t>
      </w:r>
      <w:r w:rsidR="009914EF" w:rsidRPr="00976BFF">
        <w:rPr>
          <w:lang w:val="es-ES_tradnl"/>
        </w:rPr>
        <w:t>incluidos</w:t>
      </w:r>
      <w:r w:rsidRPr="00976BFF">
        <w:rPr>
          <w:lang w:val="es-ES_tradnl"/>
        </w:rPr>
        <w:t xml:space="preserve"> los contratos financiados por el BID y el FONPLATA. No obstante, teniendo en cuenta que otros donantes establecen requisitos específicos para préstamos, esto no impedirá que otras </w:t>
      </w:r>
      <w:r w:rsidR="00DA00F2">
        <w:rPr>
          <w:lang w:val="es-ES_tradnl"/>
        </w:rPr>
        <w:t>instituciones</w:t>
      </w:r>
      <w:r w:rsidRPr="00976BFF">
        <w:rPr>
          <w:lang w:val="es-ES_tradnl"/>
        </w:rPr>
        <w:t xml:space="preserve"> financieras tengan, si corresponde, sistemas independientes de presentación de informes</w:t>
      </w:r>
      <w:r w:rsidR="001862EE" w:rsidRPr="00976BFF">
        <w:rPr>
          <w:lang w:val="es-ES_tradnl"/>
        </w:rPr>
        <w:t>.</w:t>
      </w:r>
    </w:p>
    <w:p w:rsidR="00A764A2" w:rsidRPr="00976BFF" w:rsidRDefault="00A764A2" w:rsidP="00EB3076">
      <w:pPr>
        <w:rPr>
          <w:lang w:val="es-ES_tradnl"/>
        </w:rPr>
      </w:pPr>
    </w:p>
    <w:p w:rsidR="003D6DF4" w:rsidRPr="00976BFF" w:rsidRDefault="000D312B" w:rsidP="00EB3076">
      <w:pPr>
        <w:pStyle w:val="Heading2"/>
        <w:numPr>
          <w:ilvl w:val="1"/>
          <w:numId w:val="6"/>
        </w:numPr>
        <w:ind w:firstLine="0"/>
        <w:rPr>
          <w:rFonts w:ascii="Times New Roman" w:hAnsi="Times New Roman"/>
          <w:b/>
          <w:sz w:val="22"/>
          <w:lang w:val="es-ES_tradnl"/>
        </w:rPr>
      </w:pPr>
      <w:bookmarkStart w:id="67" w:name="_Toc327540005"/>
      <w:bookmarkStart w:id="68" w:name="_Toc344927195"/>
      <w:r w:rsidRPr="00976BFF">
        <w:rPr>
          <w:rFonts w:ascii="Times New Roman" w:hAnsi="Times New Roman"/>
          <w:b/>
          <w:sz w:val="22"/>
          <w:lang w:val="es-ES_tradnl"/>
        </w:rPr>
        <w:t xml:space="preserve">Evaluación de los procesos técnicos del </w:t>
      </w:r>
      <w:bookmarkEnd w:id="67"/>
      <w:bookmarkEnd w:id="68"/>
      <w:r w:rsidR="008A1019">
        <w:rPr>
          <w:rFonts w:ascii="Times New Roman" w:hAnsi="Times New Roman"/>
          <w:b/>
          <w:sz w:val="22"/>
          <w:lang w:val="es-ES_tradnl"/>
        </w:rPr>
        <w:t>programa</w:t>
      </w:r>
    </w:p>
    <w:p w:rsidR="00A764A2" w:rsidRPr="00976BFF" w:rsidRDefault="00DA4730" w:rsidP="00EB3076">
      <w:pPr>
        <w:pStyle w:val="Annexmain"/>
        <w:ind w:firstLine="0"/>
        <w:rPr>
          <w:lang w:val="es-ES_tradnl"/>
        </w:rPr>
      </w:pPr>
      <w:r w:rsidRPr="00976BFF">
        <w:rPr>
          <w:lang w:val="es-ES_tradnl"/>
        </w:rPr>
        <w:t>La</w:t>
      </w:r>
      <w:r w:rsidR="00E521B9" w:rsidRPr="00976BFF">
        <w:rPr>
          <w:lang w:val="es-ES_tradnl"/>
        </w:rPr>
        <w:t xml:space="preserve"> DNV </w:t>
      </w:r>
      <w:r w:rsidRPr="00976BFF">
        <w:rPr>
          <w:lang w:val="es-ES_tradnl"/>
        </w:rPr>
        <w:t xml:space="preserve">posee todas las funciones técnicas necesarias para ejecutar adecuadamente el </w:t>
      </w:r>
      <w:r w:rsidR="008A1019">
        <w:rPr>
          <w:lang w:val="es-ES_tradnl"/>
        </w:rPr>
        <w:t>programa</w:t>
      </w:r>
      <w:r w:rsidRPr="00976BFF">
        <w:rPr>
          <w:lang w:val="es-ES_tradnl"/>
        </w:rPr>
        <w:t>. En las siguientes subsecciones se describen en detalle las evaluaciones de cada etapa del ciclo de</w:t>
      </w:r>
      <w:r w:rsidR="00DA00F2">
        <w:rPr>
          <w:lang w:val="es-ES_tradnl"/>
        </w:rPr>
        <w:t xml:space="preserve"> </w:t>
      </w:r>
      <w:r w:rsidRPr="00976BFF">
        <w:rPr>
          <w:lang w:val="es-ES_tradnl"/>
        </w:rPr>
        <w:t>l</w:t>
      </w:r>
      <w:r w:rsidR="00DA00F2">
        <w:rPr>
          <w:lang w:val="es-ES_tradnl"/>
        </w:rPr>
        <w:t>os</w:t>
      </w:r>
      <w:r w:rsidRPr="00976BFF">
        <w:rPr>
          <w:lang w:val="es-ES_tradnl"/>
        </w:rPr>
        <w:t xml:space="preserve"> proyecto</w:t>
      </w:r>
      <w:r w:rsidR="00DA00F2">
        <w:rPr>
          <w:lang w:val="es-ES_tradnl"/>
        </w:rPr>
        <w:t>s</w:t>
      </w:r>
      <w:r w:rsidRPr="00976BFF">
        <w:rPr>
          <w:lang w:val="es-ES_tradnl"/>
        </w:rPr>
        <w:t xml:space="preserve"> en la DNV</w:t>
      </w:r>
      <w:r w:rsidR="003D6DF4" w:rsidRPr="00976BFF">
        <w:rPr>
          <w:lang w:val="es-ES_tradnl"/>
        </w:rPr>
        <w:t xml:space="preserve">: i) </w:t>
      </w:r>
      <w:r w:rsidRPr="00976BFF">
        <w:rPr>
          <w:lang w:val="es-ES_tradnl"/>
        </w:rPr>
        <w:t>planificación</w:t>
      </w:r>
      <w:r w:rsidR="00B032B8">
        <w:rPr>
          <w:lang w:val="es-ES_tradnl"/>
        </w:rPr>
        <w:t>;</w:t>
      </w:r>
      <w:r w:rsidR="00B032B8" w:rsidRPr="00976BFF">
        <w:rPr>
          <w:lang w:val="es-ES_tradnl"/>
        </w:rPr>
        <w:t xml:space="preserve"> </w:t>
      </w:r>
      <w:r w:rsidR="003D6DF4" w:rsidRPr="00976BFF">
        <w:rPr>
          <w:lang w:val="es-ES_tradnl"/>
        </w:rPr>
        <w:t>ii) d</w:t>
      </w:r>
      <w:r w:rsidRPr="00976BFF">
        <w:rPr>
          <w:lang w:val="es-ES_tradnl"/>
        </w:rPr>
        <w:t>iseño</w:t>
      </w:r>
      <w:r w:rsidR="00B032B8">
        <w:rPr>
          <w:lang w:val="es-ES_tradnl"/>
        </w:rPr>
        <w:t>;</w:t>
      </w:r>
      <w:r w:rsidR="00B032B8" w:rsidRPr="00976BFF">
        <w:rPr>
          <w:lang w:val="es-ES_tradnl"/>
        </w:rPr>
        <w:t xml:space="preserve"> </w:t>
      </w:r>
      <w:r w:rsidR="003D6DF4" w:rsidRPr="00976BFF">
        <w:rPr>
          <w:lang w:val="es-ES_tradnl"/>
        </w:rPr>
        <w:t>iii) e</w:t>
      </w:r>
      <w:r w:rsidRPr="00976BFF">
        <w:rPr>
          <w:lang w:val="es-ES_tradnl"/>
        </w:rPr>
        <w:t>jecución, y</w:t>
      </w:r>
      <w:r w:rsidR="003D6DF4" w:rsidRPr="00976BFF">
        <w:rPr>
          <w:lang w:val="es-ES_tradnl"/>
        </w:rPr>
        <w:t xml:space="preserve"> iv) supervisi</w:t>
      </w:r>
      <w:r w:rsidRPr="00976BFF">
        <w:rPr>
          <w:lang w:val="es-ES_tradnl"/>
        </w:rPr>
        <w:t>ó</w:t>
      </w:r>
      <w:r w:rsidR="003D6DF4" w:rsidRPr="00976BFF">
        <w:rPr>
          <w:lang w:val="es-ES_tradnl"/>
        </w:rPr>
        <w:t>n.</w:t>
      </w:r>
      <w:r w:rsidR="00C440AC" w:rsidRPr="00976BFF">
        <w:rPr>
          <w:lang w:val="es-ES_tradnl"/>
        </w:rPr>
        <w:t xml:space="preserve"> </w:t>
      </w:r>
      <w:r w:rsidR="00634786" w:rsidRPr="00976BFF">
        <w:rPr>
          <w:lang w:val="es-ES_tradnl"/>
        </w:rPr>
        <w:t xml:space="preserve">En el marco del acuerdo de asistencia técnica celebrado entre el </w:t>
      </w:r>
      <w:r w:rsidR="00C440AC" w:rsidRPr="00976BFF">
        <w:rPr>
          <w:lang w:val="es-ES_tradnl"/>
        </w:rPr>
        <w:t xml:space="preserve">MTOP </w:t>
      </w:r>
      <w:r w:rsidR="00634786" w:rsidRPr="00976BFF">
        <w:rPr>
          <w:lang w:val="es-ES_tradnl"/>
        </w:rPr>
        <w:t>y la</w:t>
      </w:r>
      <w:r w:rsidR="00C440AC" w:rsidRPr="00976BFF">
        <w:rPr>
          <w:lang w:val="es-ES_tradnl"/>
        </w:rPr>
        <w:t xml:space="preserve"> CND, </w:t>
      </w:r>
      <w:r w:rsidR="00634786" w:rsidRPr="00976BFF">
        <w:rPr>
          <w:lang w:val="es-ES_tradnl"/>
        </w:rPr>
        <w:t xml:space="preserve">las obligaciones de la </w:t>
      </w:r>
      <w:r w:rsidR="00C440AC" w:rsidRPr="00976BFF">
        <w:rPr>
          <w:lang w:val="es-ES_tradnl"/>
        </w:rPr>
        <w:t>DNV</w:t>
      </w:r>
      <w:r w:rsidR="00634786" w:rsidRPr="00976BFF">
        <w:rPr>
          <w:lang w:val="es-ES_tradnl"/>
        </w:rPr>
        <w:t xml:space="preserve"> incluyen proporcionar apoyo en cuestiones técnicas a </w:t>
      </w:r>
      <w:r w:rsidR="00C440AC" w:rsidRPr="00976BFF">
        <w:rPr>
          <w:lang w:val="es-ES_tradnl"/>
        </w:rPr>
        <w:t>CVU</w:t>
      </w:r>
      <w:r w:rsidR="00634786" w:rsidRPr="00976BFF">
        <w:rPr>
          <w:lang w:val="es-ES_tradnl"/>
        </w:rPr>
        <w:t xml:space="preserve">; en particular, el diseño de las obras de rehabilitación y la supervisión de las obras que lleva a cabo la DNV. Salvo la planificación (CVU no realiza </w:t>
      </w:r>
      <w:r w:rsidR="004A26E3" w:rsidRPr="00976BFF">
        <w:rPr>
          <w:lang w:val="es-ES_tradnl"/>
        </w:rPr>
        <w:t>planificaciones</w:t>
      </w:r>
      <w:r w:rsidR="00634786" w:rsidRPr="00976BFF">
        <w:rPr>
          <w:lang w:val="es-ES_tradnl"/>
        </w:rPr>
        <w:t xml:space="preserve"> </w:t>
      </w:r>
      <w:r w:rsidR="002D6A0B" w:rsidRPr="00976BFF">
        <w:rPr>
          <w:i/>
          <w:lang w:val="es-ES_tradnl"/>
        </w:rPr>
        <w:t>per se</w:t>
      </w:r>
      <w:r w:rsidR="002D6A0B" w:rsidRPr="00976BFF">
        <w:rPr>
          <w:lang w:val="es-ES_tradnl"/>
        </w:rPr>
        <w:t>,</w:t>
      </w:r>
      <w:r w:rsidR="00634786" w:rsidRPr="00976BFF">
        <w:rPr>
          <w:lang w:val="es-ES_tradnl"/>
        </w:rPr>
        <w:t xml:space="preserve"> </w:t>
      </w:r>
      <w:r w:rsidR="001F6651">
        <w:rPr>
          <w:lang w:val="es-ES_tradnl"/>
        </w:rPr>
        <w:t>solo</w:t>
      </w:r>
      <w:r w:rsidR="001F6651" w:rsidRPr="00976BFF">
        <w:rPr>
          <w:lang w:val="es-ES_tradnl"/>
        </w:rPr>
        <w:t xml:space="preserve"> </w:t>
      </w:r>
      <w:r w:rsidR="00634786" w:rsidRPr="00976BFF">
        <w:rPr>
          <w:lang w:val="es-ES_tradnl"/>
        </w:rPr>
        <w:t>implementa su contrato de concesión) y las actividades de mantenimiento que se realizan internamente (CVU</w:t>
      </w:r>
      <w:r w:rsidR="00A5226A" w:rsidRPr="00976BFF">
        <w:rPr>
          <w:lang w:val="es-ES_tradnl"/>
        </w:rPr>
        <w:t xml:space="preserve"> </w:t>
      </w:r>
      <w:r w:rsidR="00DA00F2">
        <w:rPr>
          <w:lang w:val="es-ES_tradnl"/>
        </w:rPr>
        <w:t>sub</w:t>
      </w:r>
      <w:r w:rsidR="00A5226A" w:rsidRPr="00976BFF">
        <w:rPr>
          <w:lang w:val="es-ES_tradnl"/>
        </w:rPr>
        <w:t xml:space="preserve">contrata sus obras), las conclusiones de la evaluación son válidas para la DNV y para </w:t>
      </w:r>
      <w:r w:rsidR="002D6A0B" w:rsidRPr="00976BFF">
        <w:rPr>
          <w:lang w:val="es-ES_tradnl"/>
        </w:rPr>
        <w:t xml:space="preserve">CVU. </w:t>
      </w:r>
      <w:r w:rsidR="00A5226A" w:rsidRPr="00976BFF">
        <w:rPr>
          <w:lang w:val="es-ES_tradnl"/>
        </w:rPr>
        <w:t xml:space="preserve">En las actividades financiadas por el Gobierno de Uruguay, el BID, el </w:t>
      </w:r>
      <w:r w:rsidR="00DE315E" w:rsidRPr="00976BFF">
        <w:rPr>
          <w:lang w:val="es-ES_tradnl"/>
        </w:rPr>
        <w:t xml:space="preserve">FONPLATA </w:t>
      </w:r>
      <w:r w:rsidR="00A5226A" w:rsidRPr="00976BFF">
        <w:rPr>
          <w:lang w:val="es-ES_tradnl"/>
        </w:rPr>
        <w:t xml:space="preserve">y el Banco Mundial se utilizarán los mismos sistemas y procesos técnicos del </w:t>
      </w:r>
      <w:r w:rsidR="008A1019">
        <w:rPr>
          <w:lang w:val="es-ES_tradnl"/>
        </w:rPr>
        <w:t>programa</w:t>
      </w:r>
      <w:r w:rsidR="00A5226A" w:rsidRPr="00976BFF">
        <w:rPr>
          <w:lang w:val="es-ES_tradnl"/>
        </w:rPr>
        <w:t xml:space="preserve">, que se describen y analizan </w:t>
      </w:r>
      <w:r w:rsidR="00766354" w:rsidRPr="00766354">
        <w:rPr>
          <w:lang w:val="es-ES_tradnl"/>
        </w:rPr>
        <w:t>más adelante</w:t>
      </w:r>
      <w:r w:rsidR="00A5226A" w:rsidRPr="00766354">
        <w:rPr>
          <w:lang w:val="es-ES_tradnl"/>
        </w:rPr>
        <w:t>.</w:t>
      </w:r>
      <w:r w:rsidR="00A5226A" w:rsidRPr="00976BFF">
        <w:rPr>
          <w:lang w:val="es-ES_tradnl"/>
        </w:rPr>
        <w:t xml:space="preserve"> Las obras financiadas por el BID se ajustarán a sus procedimientos internos para el financiamiento de proyectos de inversión, en cuyo marco</w:t>
      </w:r>
      <w:r w:rsidR="00634262" w:rsidRPr="00976BFF">
        <w:rPr>
          <w:lang w:val="es-ES_tradnl"/>
        </w:rPr>
        <w:t xml:space="preserve"> las</w:t>
      </w:r>
      <w:r w:rsidR="00A5226A" w:rsidRPr="00976BFF">
        <w:rPr>
          <w:lang w:val="es-ES_tradnl"/>
        </w:rPr>
        <w:t xml:space="preserve"> </w:t>
      </w:r>
      <w:r w:rsidR="00634262" w:rsidRPr="00976BFF">
        <w:rPr>
          <w:lang w:val="es-ES_tradnl"/>
        </w:rPr>
        <w:t xml:space="preserve">actividades de </w:t>
      </w:r>
      <w:r w:rsidR="00A5226A" w:rsidRPr="00976BFF">
        <w:rPr>
          <w:lang w:val="es-ES_tradnl"/>
        </w:rPr>
        <w:t>diseño y supervisión generalmente s</w:t>
      </w:r>
      <w:r w:rsidR="00634262" w:rsidRPr="00976BFF">
        <w:rPr>
          <w:lang w:val="es-ES_tradnl"/>
        </w:rPr>
        <w:t xml:space="preserve">e </w:t>
      </w:r>
      <w:r w:rsidR="00DA00F2">
        <w:rPr>
          <w:lang w:val="es-ES_tradnl"/>
        </w:rPr>
        <w:t>sub</w:t>
      </w:r>
      <w:r w:rsidR="00634262" w:rsidRPr="00976BFF">
        <w:rPr>
          <w:lang w:val="es-ES_tradnl"/>
        </w:rPr>
        <w:t>contratan con el sector privado</w:t>
      </w:r>
      <w:r w:rsidR="00103E4D" w:rsidRPr="00976BFF">
        <w:rPr>
          <w:lang w:val="es-ES_tradnl"/>
        </w:rPr>
        <w:t>, con lo cual se reduce la carga de trabajo de la DNV en estas áreas</w:t>
      </w:r>
      <w:r w:rsidR="00634262" w:rsidRPr="00976BFF">
        <w:rPr>
          <w:lang w:val="es-ES_tradnl"/>
        </w:rPr>
        <w:t>.</w:t>
      </w:r>
    </w:p>
    <w:p w:rsidR="00A764A2" w:rsidRPr="00976BFF" w:rsidRDefault="003D6DF4" w:rsidP="00EB3076">
      <w:pPr>
        <w:pStyle w:val="Heading3"/>
        <w:rPr>
          <w:lang w:val="es-ES_tradnl"/>
        </w:rPr>
      </w:pPr>
      <w:bookmarkStart w:id="69" w:name="_Toc344927196"/>
      <w:r w:rsidRPr="00976BFF">
        <w:rPr>
          <w:lang w:val="es-ES_tradnl"/>
        </w:rPr>
        <w:t>Plani</w:t>
      </w:r>
      <w:r w:rsidR="00103E4D" w:rsidRPr="00976BFF">
        <w:rPr>
          <w:lang w:val="es-ES_tradnl"/>
        </w:rPr>
        <w:t>ficación</w:t>
      </w:r>
      <w:bookmarkEnd w:id="69"/>
    </w:p>
    <w:p w:rsidR="00A764A2" w:rsidRPr="00976BFF" w:rsidRDefault="00103E4D" w:rsidP="00EB3076">
      <w:pPr>
        <w:pStyle w:val="Annexmain"/>
        <w:ind w:firstLine="0"/>
        <w:rPr>
          <w:lang w:val="es-ES_tradnl"/>
        </w:rPr>
      </w:pPr>
      <w:r w:rsidRPr="00976BFF">
        <w:rPr>
          <w:lang w:val="es-ES_tradnl"/>
        </w:rPr>
        <w:t xml:space="preserve">Los procesos de planificación funcionan razonablemente bien, con sólida capacidad </w:t>
      </w:r>
      <w:r w:rsidR="00555AD0" w:rsidRPr="00976BFF">
        <w:rPr>
          <w:lang w:val="es-ES_tradnl"/>
        </w:rPr>
        <w:t>para la aplicación d</w:t>
      </w:r>
      <w:r w:rsidRPr="00976BFF">
        <w:rPr>
          <w:lang w:val="es-ES_tradnl"/>
        </w:rPr>
        <w:t>el modelo de desarrollo vial</w:t>
      </w:r>
      <w:r w:rsidR="00555AD0" w:rsidRPr="00976BFF">
        <w:rPr>
          <w:lang w:val="es-ES_tradnl"/>
        </w:rPr>
        <w:t xml:space="preserve"> (HDM)</w:t>
      </w:r>
      <w:r w:rsidRPr="00976BFF">
        <w:rPr>
          <w:lang w:val="es-ES_tradnl"/>
        </w:rPr>
        <w:t xml:space="preserve"> y una base de datos completa y actualizada del estado de los pavimentos, los volúmenes de tráfico y las cargas por eje, algo poco común en los países de la región.</w:t>
      </w:r>
      <w:r w:rsidR="00555AD0" w:rsidRPr="00976BFF">
        <w:rPr>
          <w:lang w:val="es-ES_tradnl"/>
        </w:rPr>
        <w:t xml:space="preserve"> </w:t>
      </w:r>
      <w:r w:rsidR="00773824" w:rsidRPr="00976BFF">
        <w:rPr>
          <w:lang w:val="es-ES_tradnl"/>
        </w:rPr>
        <w:t xml:space="preserve">Para que este modelo sea sostenible, se debería ampliar la capacidad para aplicarlo no solo dentro de la DNV sino también en otras entidades </w:t>
      </w:r>
      <w:r w:rsidR="00DA00F2">
        <w:rPr>
          <w:lang w:val="es-ES_tradnl"/>
        </w:rPr>
        <w:t xml:space="preserve">de planificación </w:t>
      </w:r>
      <w:r w:rsidR="00773824" w:rsidRPr="00976BFF">
        <w:rPr>
          <w:lang w:val="es-ES_tradnl"/>
        </w:rPr>
        <w:t xml:space="preserve">que intervienen en el mantenimiento vial (por ejemplo, la </w:t>
      </w:r>
      <w:r w:rsidR="00742C6F" w:rsidRPr="00976BFF">
        <w:rPr>
          <w:lang w:val="es-ES_tradnl"/>
        </w:rPr>
        <w:t>DINA</w:t>
      </w:r>
      <w:r w:rsidR="003C5D82" w:rsidRPr="00976BFF">
        <w:rPr>
          <w:lang w:val="es-ES_tradnl"/>
        </w:rPr>
        <w:t>PLO</w:t>
      </w:r>
      <w:r w:rsidR="003D6DF4" w:rsidRPr="00976BFF">
        <w:rPr>
          <w:lang w:val="es-ES_tradnl"/>
        </w:rPr>
        <w:t xml:space="preserve">, CVU). </w:t>
      </w:r>
      <w:r w:rsidR="00773824" w:rsidRPr="00976BFF">
        <w:rPr>
          <w:lang w:val="es-ES_tradnl"/>
        </w:rPr>
        <w:t xml:space="preserve">De todos modos, el proceso de planificación debería ser más dinámico e incluir: i) </w:t>
      </w:r>
      <w:r w:rsidR="000F2F07" w:rsidRPr="00976BFF">
        <w:rPr>
          <w:lang w:val="es-ES_tradnl"/>
        </w:rPr>
        <w:t xml:space="preserve">la actualización con regularidad, por ejemplo en forma anual, del análisis económico </w:t>
      </w:r>
      <w:r w:rsidR="000F2F07" w:rsidRPr="00976BFF">
        <w:rPr>
          <w:i/>
          <w:lang w:val="es-ES_tradnl"/>
        </w:rPr>
        <w:t>ex post</w:t>
      </w:r>
      <w:r w:rsidR="000F2F07" w:rsidRPr="00976BFF">
        <w:rPr>
          <w:lang w:val="es-ES_tradnl"/>
        </w:rPr>
        <w:t xml:space="preserve"> realizado para formular el plan de obras, con el objeto de ajustar la planificación a las necesidades y los recursos reales; ii) la realización de un análisis económico </w:t>
      </w:r>
      <w:r w:rsidR="000F2F07" w:rsidRPr="00976BFF">
        <w:rPr>
          <w:i/>
          <w:lang w:val="es-ES_tradnl"/>
        </w:rPr>
        <w:t>ex post</w:t>
      </w:r>
      <w:r w:rsidR="000F2F07" w:rsidRPr="00976BFF">
        <w:rPr>
          <w:lang w:val="es-ES_tradnl"/>
        </w:rPr>
        <w:t xml:space="preserve"> de proyectos seleccionados, como parte de la función de rendición de cuentas del MTOP. Por último, como se describe en la próxima sección, se podría mejorar la </w:t>
      </w:r>
      <w:r w:rsidR="004A26E3" w:rsidRPr="00976BFF">
        <w:rPr>
          <w:lang w:val="es-ES_tradnl"/>
        </w:rPr>
        <w:t>eficiencia</w:t>
      </w:r>
      <w:r w:rsidR="000F2F07" w:rsidRPr="00976BFF">
        <w:rPr>
          <w:lang w:val="es-ES_tradnl"/>
        </w:rPr>
        <w:t xml:space="preserve"> económica mediante una mayor integración entre el proceso de planificación y el proceso de diseño, con respecto al diseño de pavimentos</w:t>
      </w:r>
      <w:r w:rsidR="003D6DF4" w:rsidRPr="00976BFF">
        <w:rPr>
          <w:lang w:val="es-ES_tradnl"/>
        </w:rPr>
        <w:t>.</w:t>
      </w:r>
    </w:p>
    <w:p w:rsidR="00A764A2" w:rsidRPr="00976BFF" w:rsidRDefault="003D6DF4" w:rsidP="00EB3076">
      <w:pPr>
        <w:pStyle w:val="Heading3"/>
        <w:rPr>
          <w:lang w:val="es-ES_tradnl"/>
        </w:rPr>
      </w:pPr>
      <w:bookmarkStart w:id="70" w:name="_Toc344927197"/>
      <w:r w:rsidRPr="00976BFF">
        <w:rPr>
          <w:lang w:val="es-ES_tradnl"/>
        </w:rPr>
        <w:t>D</w:t>
      </w:r>
      <w:r w:rsidR="000F2F07" w:rsidRPr="00976BFF">
        <w:rPr>
          <w:lang w:val="es-ES_tradnl"/>
        </w:rPr>
        <w:t>iseño</w:t>
      </w:r>
      <w:bookmarkEnd w:id="70"/>
    </w:p>
    <w:p w:rsidR="00A764A2" w:rsidRPr="00976BFF" w:rsidRDefault="000F2F07" w:rsidP="00EB3076">
      <w:pPr>
        <w:pStyle w:val="Annexmain"/>
        <w:ind w:firstLine="0"/>
        <w:rPr>
          <w:lang w:val="es-ES_tradnl"/>
        </w:rPr>
      </w:pPr>
      <w:r w:rsidRPr="00976BFF">
        <w:rPr>
          <w:lang w:val="es-ES_tradnl"/>
        </w:rPr>
        <w:t xml:space="preserve">La gerencia de la </w:t>
      </w:r>
      <w:r w:rsidR="003D6DF4" w:rsidRPr="00976BFF">
        <w:rPr>
          <w:lang w:val="es-ES_tradnl"/>
        </w:rPr>
        <w:t>DNV</w:t>
      </w:r>
      <w:r w:rsidRPr="00976BFF">
        <w:rPr>
          <w:lang w:val="es-ES_tradnl"/>
        </w:rPr>
        <w:t xml:space="preserve"> encargada de los diseños cuenta con ingenieros </w:t>
      </w:r>
      <w:r w:rsidR="00A546A7">
        <w:rPr>
          <w:lang w:val="es-ES_tradnl"/>
        </w:rPr>
        <w:t xml:space="preserve">con </w:t>
      </w:r>
      <w:r w:rsidRPr="00976BFF">
        <w:rPr>
          <w:lang w:val="es-ES_tradnl"/>
        </w:rPr>
        <w:t>experiencia y una adecuada combinación de conocimientos técnicos pero, sobre la base de la información recabada, carece de personal profesional</w:t>
      </w:r>
      <w:r w:rsidR="00C97D77" w:rsidRPr="00976BFF">
        <w:rPr>
          <w:lang w:val="es-ES_tradnl"/>
        </w:rPr>
        <w:t xml:space="preserve"> (ingenieros) para cumplir sus obligaciones en el momento oportuno. A raíz de ello, el proceso de diseño suele </w:t>
      </w:r>
      <w:r w:rsidR="007E51C7" w:rsidRPr="00976BFF">
        <w:rPr>
          <w:lang w:val="es-ES_tradnl"/>
        </w:rPr>
        <w:t>ser bastante largo</w:t>
      </w:r>
      <w:r w:rsidR="00C97D77" w:rsidRPr="00976BFF">
        <w:rPr>
          <w:lang w:val="es-ES_tradnl"/>
        </w:rPr>
        <w:t>,</w:t>
      </w:r>
      <w:r w:rsidR="007E51C7" w:rsidRPr="00976BFF">
        <w:rPr>
          <w:lang w:val="es-ES_tradnl"/>
        </w:rPr>
        <w:t xml:space="preserve"> problema este que se agrava debido a que con frecuencia es preciso revisar los diseños </w:t>
      </w:r>
      <w:r w:rsidR="00433646" w:rsidRPr="00976BFF">
        <w:rPr>
          <w:lang w:val="es-ES_tradnl"/>
        </w:rPr>
        <w:t xml:space="preserve">en razón de los prolongados procesos de adquisiciones. Una posible solución sería </w:t>
      </w:r>
      <w:r w:rsidR="00DA00F2">
        <w:rPr>
          <w:lang w:val="es-ES_tradnl"/>
        </w:rPr>
        <w:t>sub</w:t>
      </w:r>
      <w:r w:rsidR="00433646" w:rsidRPr="00976BFF">
        <w:rPr>
          <w:lang w:val="es-ES_tradnl"/>
        </w:rPr>
        <w:t xml:space="preserve">contratar los servicios de diseño, especialmente cuando se producen picos de demanda; </w:t>
      </w:r>
      <w:r w:rsidR="00A546A7">
        <w:rPr>
          <w:lang w:val="es-ES_tradnl"/>
        </w:rPr>
        <w:t>así</w:t>
      </w:r>
      <w:r w:rsidR="00433646" w:rsidRPr="00976BFF">
        <w:rPr>
          <w:lang w:val="es-ES_tradnl"/>
        </w:rPr>
        <w:t xml:space="preserve">, también se contribuiría a desarrollar la capacidad del sector privado en este campo. Este enfoque implicaría i) la reorientación de </w:t>
      </w:r>
      <w:r w:rsidR="00DA00F2">
        <w:rPr>
          <w:lang w:val="es-ES_tradnl"/>
        </w:rPr>
        <w:t xml:space="preserve">una parte de </w:t>
      </w:r>
      <w:r w:rsidR="00433646" w:rsidRPr="00976BFF">
        <w:rPr>
          <w:lang w:val="es-ES_tradnl"/>
        </w:rPr>
        <w:t xml:space="preserve">la labor de la Gerencia de Estudios y Proyectos hacia actividades de supervisión y control en vez de actividades de diseño, como ya sucede en el caso de los puentes, y ii) la necesidad de formalizar </w:t>
      </w:r>
      <w:r w:rsidR="00DA00F2">
        <w:rPr>
          <w:lang w:val="es-ES_tradnl"/>
        </w:rPr>
        <w:t xml:space="preserve">pautas y </w:t>
      </w:r>
      <w:r w:rsidR="00433646" w:rsidRPr="00976BFF">
        <w:rPr>
          <w:lang w:val="es-ES_tradnl"/>
        </w:rPr>
        <w:t>normas mínimas de diseño</w:t>
      </w:r>
      <w:r w:rsidR="00DA00F2">
        <w:rPr>
          <w:lang w:val="es-ES_tradnl"/>
        </w:rPr>
        <w:t>,</w:t>
      </w:r>
      <w:r w:rsidR="00433646" w:rsidRPr="00976BFF">
        <w:rPr>
          <w:lang w:val="es-ES_tradnl"/>
        </w:rPr>
        <w:t xml:space="preserve"> por categoría de carreteras. Esta última medida se adoptaría, especialmente, a través de la primera actividad del </w:t>
      </w:r>
      <w:r w:rsidR="007A653A" w:rsidRPr="00976BFF">
        <w:rPr>
          <w:lang w:val="es-ES_tradnl"/>
        </w:rPr>
        <w:t xml:space="preserve">Plan de Acción del </w:t>
      </w:r>
      <w:r w:rsidR="008A1019">
        <w:rPr>
          <w:lang w:val="es-ES_tradnl"/>
        </w:rPr>
        <w:t>programa</w:t>
      </w:r>
      <w:r w:rsidR="00433646" w:rsidRPr="00976BFF">
        <w:rPr>
          <w:lang w:val="es-ES_tradnl"/>
        </w:rPr>
        <w:t>.</w:t>
      </w:r>
    </w:p>
    <w:p w:rsidR="00A764A2" w:rsidRPr="00976BFF" w:rsidRDefault="008D4A8E" w:rsidP="00EB3076">
      <w:pPr>
        <w:pStyle w:val="Annexmain"/>
        <w:ind w:firstLine="0"/>
        <w:rPr>
          <w:lang w:val="es-ES_tradnl"/>
        </w:rPr>
      </w:pPr>
      <w:r w:rsidRPr="00976BFF">
        <w:rPr>
          <w:lang w:val="es-ES_tradnl"/>
        </w:rPr>
        <w:t xml:space="preserve">Las normas que usa la DNV para los diseños de rehabilitación vial son normas internacionales. Sin embargo, se considera con preocupación que la </w:t>
      </w:r>
      <w:r w:rsidR="006A3A7D" w:rsidRPr="00976BFF">
        <w:rPr>
          <w:lang w:val="es-ES_tradnl"/>
        </w:rPr>
        <w:t xml:space="preserve">reconstrucción de pavimentos podría estar sobredimensionada, lo que ocasionaría ineficiencias económicas. En el catálogo de soluciones de rehabilitación de pavimentos, cuya preparación se incluye en el </w:t>
      </w:r>
      <w:r w:rsidR="007A653A" w:rsidRPr="00976BFF">
        <w:rPr>
          <w:lang w:val="es-ES_tradnl"/>
        </w:rPr>
        <w:t xml:space="preserve">Plan de Acción del </w:t>
      </w:r>
      <w:r w:rsidR="008A1019">
        <w:rPr>
          <w:lang w:val="es-ES_tradnl"/>
        </w:rPr>
        <w:t>programa</w:t>
      </w:r>
      <w:r w:rsidR="006A3A7D" w:rsidRPr="00976BFF">
        <w:rPr>
          <w:lang w:val="es-ES_tradnl"/>
        </w:rPr>
        <w:t>, se abordarán ambas cuestiones: el ahorro de tiempo (en los diseños) y la eficacia en función de los costos (en la construcción). Este catálogo también contribuirá a una mejor integración de los procesos de planificación y de diseño</w:t>
      </w:r>
      <w:r w:rsidR="002B2812" w:rsidRPr="00976BFF">
        <w:rPr>
          <w:lang w:val="es-ES_tradnl"/>
        </w:rPr>
        <w:t>.</w:t>
      </w:r>
    </w:p>
    <w:p w:rsidR="00A764A2" w:rsidRPr="00976BFF" w:rsidRDefault="003D6DF4" w:rsidP="00EB3076">
      <w:pPr>
        <w:pStyle w:val="Heading3"/>
        <w:rPr>
          <w:lang w:val="es-ES_tradnl"/>
        </w:rPr>
      </w:pPr>
      <w:bookmarkStart w:id="71" w:name="_Toc344927198"/>
      <w:r w:rsidRPr="00976BFF">
        <w:rPr>
          <w:lang w:val="es-ES_tradnl"/>
        </w:rPr>
        <w:t>E</w:t>
      </w:r>
      <w:r w:rsidR="006A3A7D" w:rsidRPr="00976BFF">
        <w:rPr>
          <w:lang w:val="es-ES_tradnl"/>
        </w:rPr>
        <w:t>jecución</w:t>
      </w:r>
      <w:r w:rsidRPr="00976BFF">
        <w:rPr>
          <w:lang w:val="es-ES_tradnl"/>
        </w:rPr>
        <w:t xml:space="preserve"> (</w:t>
      </w:r>
      <w:r w:rsidR="006A3A7D" w:rsidRPr="00976BFF">
        <w:rPr>
          <w:lang w:val="es-ES_tradnl"/>
        </w:rPr>
        <w:t xml:space="preserve">obras de mantenimiento realizadas por la </w:t>
      </w:r>
      <w:r w:rsidR="003C4AB4" w:rsidRPr="00976BFF">
        <w:rPr>
          <w:lang w:val="es-ES_tradnl"/>
        </w:rPr>
        <w:t>DNV</w:t>
      </w:r>
      <w:r w:rsidR="00176DA5" w:rsidRPr="00976BFF">
        <w:rPr>
          <w:lang w:val="es-ES_tradnl"/>
        </w:rPr>
        <w:t>)</w:t>
      </w:r>
      <w:bookmarkEnd w:id="71"/>
    </w:p>
    <w:p w:rsidR="00A764A2" w:rsidRPr="00976BFF" w:rsidRDefault="006A3A7D" w:rsidP="00EB3076">
      <w:pPr>
        <w:pStyle w:val="Annexmain"/>
        <w:ind w:firstLine="0"/>
        <w:rPr>
          <w:lang w:val="es-ES_tradnl"/>
        </w:rPr>
      </w:pPr>
      <w:r w:rsidRPr="00976BFF">
        <w:rPr>
          <w:lang w:val="es-ES_tradnl"/>
        </w:rPr>
        <w:t xml:space="preserve">En base a las visitas sobre el terreno y la supervisión de proyectos viales en el pasado, se observó que la calidad final de las obras de mantenimiento vial ejecutadas por la DNV es en general aceptable, </w:t>
      </w:r>
      <w:r w:rsidR="002C1F88" w:rsidRPr="00976BFF">
        <w:rPr>
          <w:lang w:val="es-ES_tradnl"/>
        </w:rPr>
        <w:t>aunque con grandes variaciones entre regiones y cuadrillas. No obstante, las obras de mantenimiento de rutina ejecutadas por la DNV tienden a ser deficientes en comparación con los contratos basados en el desempeño, aunque se concentran principalmente en carreteras de poco tráfico, lo que limita este impacto negativo</w:t>
      </w:r>
      <w:r w:rsidR="00176DA5" w:rsidRPr="00976BFF">
        <w:rPr>
          <w:lang w:val="es-ES_tradnl"/>
        </w:rPr>
        <w:t>.</w:t>
      </w:r>
      <w:r w:rsidR="003D6DF4" w:rsidRPr="00976BFF">
        <w:rPr>
          <w:lang w:val="es-ES_tradnl"/>
        </w:rPr>
        <w:t xml:space="preserve"> </w:t>
      </w:r>
    </w:p>
    <w:p w:rsidR="00A764A2" w:rsidRPr="00976BFF" w:rsidRDefault="002C1F88" w:rsidP="00EB3076">
      <w:pPr>
        <w:pStyle w:val="Annexmain"/>
        <w:ind w:firstLine="0"/>
        <w:rPr>
          <w:lang w:val="es-ES_tradnl"/>
        </w:rPr>
      </w:pPr>
      <w:r w:rsidRPr="00976BFF">
        <w:rPr>
          <w:lang w:val="es-ES_tradnl"/>
        </w:rPr>
        <w:t xml:space="preserve">Para realizar obras de mantenimiento con su propio personal, la DNV debe adquirir equipos y materiales. Estos equipos y materiales están sujetos a las mismas reglas, procesos, procedimientos, planificación, supervisión y divulgación que otros procesos de adquisiciones. En otras palabras, no existe un conjunto diferente de procesos y procedimientos cuando la DNV adquiere equipos y materiales </w:t>
      </w:r>
      <w:r w:rsidR="00BB5156" w:rsidRPr="00976BFF">
        <w:rPr>
          <w:lang w:val="es-ES_tradnl"/>
        </w:rPr>
        <w:t>que serán usados por su propio personal para actividades de construcción</w:t>
      </w:r>
      <w:r w:rsidR="009C0703" w:rsidRPr="00976BFF">
        <w:rPr>
          <w:lang w:val="es-ES_tradnl"/>
        </w:rPr>
        <w:t>.</w:t>
      </w:r>
    </w:p>
    <w:p w:rsidR="00A764A2" w:rsidRPr="00976BFF" w:rsidRDefault="00BB5156" w:rsidP="00EB3076">
      <w:pPr>
        <w:pStyle w:val="Heading3"/>
        <w:rPr>
          <w:lang w:val="es-ES_tradnl"/>
        </w:rPr>
      </w:pPr>
      <w:bookmarkStart w:id="72" w:name="_Toc344927199"/>
      <w:r w:rsidRPr="00976BFF">
        <w:rPr>
          <w:lang w:val="es-ES_tradnl"/>
        </w:rPr>
        <w:t>Supervisión de las obras</w:t>
      </w:r>
      <w:bookmarkEnd w:id="72"/>
    </w:p>
    <w:p w:rsidR="00A764A2" w:rsidRPr="00976BFF" w:rsidRDefault="00BB5156" w:rsidP="00EB3076">
      <w:pPr>
        <w:pStyle w:val="Annexmain"/>
        <w:ind w:firstLine="0"/>
        <w:rPr>
          <w:lang w:val="es-ES_tradnl"/>
        </w:rPr>
      </w:pPr>
      <w:r w:rsidRPr="00976BFF">
        <w:rPr>
          <w:lang w:val="es-ES_tradnl"/>
        </w:rPr>
        <w:t>Aunque la ejecución y supervisión de las obras no han planteado grandes problemas durante los últimos años (incluidos los proyectos financiados por el Banco en el pasado), se considera en forma global que los equipos de supervisión no cuentan con personal suficiente, especialmente ingenieros. La mayor parte de la labor diaria de supervisión recae efectivamente en los asistentes técnicos sobre el terreno, que no poseen el mismo grado de conocimientos y capacidades, con cierto apoyo de los directores de obra en cuestiones puntuales. Es posible que para solucionar este problema se requiera un enfoque dual: primero, fortalecer cuantitativamente (ingenieros) y cualitativamente (asistentes técnicos) a los equipo</w:t>
      </w:r>
      <w:r w:rsidR="001C47AE">
        <w:rPr>
          <w:lang w:val="es-ES_tradnl"/>
        </w:rPr>
        <w:t xml:space="preserve">s de supervisión de obras; ii) </w:t>
      </w:r>
      <w:r w:rsidRPr="00976BFF">
        <w:rPr>
          <w:lang w:val="es-ES_tradnl"/>
        </w:rPr>
        <w:t>recurrir al sector privado para la supervisión de las obras</w:t>
      </w:r>
      <w:r w:rsidR="008435DA" w:rsidRPr="00976BFF">
        <w:rPr>
          <w:lang w:val="es-ES_tradnl"/>
        </w:rPr>
        <w:t xml:space="preserve">, toda vez que la DNV no pueda realizarla con su personal. Este cambio debería ser gradual, dado que el sector privado </w:t>
      </w:r>
      <w:r w:rsidR="004A26E3" w:rsidRPr="00976BFF">
        <w:rPr>
          <w:lang w:val="es-ES_tradnl"/>
        </w:rPr>
        <w:t>prácticamente</w:t>
      </w:r>
      <w:r w:rsidR="008435DA" w:rsidRPr="00976BFF">
        <w:rPr>
          <w:lang w:val="es-ES_tradnl"/>
        </w:rPr>
        <w:t xml:space="preserve"> no interviene en este </w:t>
      </w:r>
      <w:r w:rsidR="00F702D0">
        <w:rPr>
          <w:lang w:val="es-ES_tradnl"/>
        </w:rPr>
        <w:t>campo</w:t>
      </w:r>
      <w:r w:rsidR="008435DA" w:rsidRPr="00976BFF">
        <w:rPr>
          <w:lang w:val="es-ES_tradnl"/>
        </w:rPr>
        <w:t>, y también se debería incorporar la mutación de responsabilidades de la DNV</w:t>
      </w:r>
      <w:r w:rsidR="003D6DF4" w:rsidRPr="00976BFF">
        <w:rPr>
          <w:lang w:val="es-ES_tradnl"/>
        </w:rPr>
        <w:t>.</w:t>
      </w:r>
    </w:p>
    <w:p w:rsidR="00A764A2" w:rsidRPr="00976BFF" w:rsidRDefault="008435DA" w:rsidP="00EB3076">
      <w:pPr>
        <w:pStyle w:val="Annexmain"/>
        <w:ind w:firstLine="0"/>
        <w:rPr>
          <w:lang w:val="es-ES_tradnl"/>
        </w:rPr>
      </w:pPr>
      <w:r w:rsidRPr="00976BFF">
        <w:rPr>
          <w:lang w:val="es-ES_tradnl"/>
        </w:rPr>
        <w:t xml:space="preserve">Dicho esto, los procesos de supervisión de las obras son en general sólidos y la supervisión se lleva a cabo en forma profesional, especialmente teniendo en cuenta la escasa complejidad y la pequeña magnitud de los contratos de obras. Además de la cuestión relativa a la dotación de personal, el principal aspecto a mejorar es la actualización de los documentos técnicos (especificaciones técnicas, procedimientos de construcción, procedimientos de pruebas en laboratorios), así como la formalización de los procesos de supervisión. Por último, como se describió en la evaluación ambiental y social, la supervisión ambiental es mínima, aunque se considera que </w:t>
      </w:r>
      <w:r w:rsidR="0062337A" w:rsidRPr="00976BFF">
        <w:rPr>
          <w:lang w:val="es-ES_tradnl"/>
        </w:rPr>
        <w:t xml:space="preserve">las obras de rehabilitación del </w:t>
      </w:r>
      <w:r w:rsidR="008A1019">
        <w:rPr>
          <w:lang w:val="es-ES_tradnl"/>
        </w:rPr>
        <w:t>programa</w:t>
      </w:r>
      <w:r w:rsidR="0062337A" w:rsidRPr="00976BFF">
        <w:rPr>
          <w:lang w:val="es-ES_tradnl"/>
        </w:rPr>
        <w:t xml:space="preserve"> tienen escasos impactos sociales y ambientales negativos</w:t>
      </w:r>
      <w:r w:rsidR="003D6DF4" w:rsidRPr="00976BFF">
        <w:rPr>
          <w:lang w:val="es-ES_tradnl"/>
        </w:rPr>
        <w:t>.</w:t>
      </w:r>
    </w:p>
    <w:p w:rsidR="00A764A2" w:rsidRPr="00976BFF" w:rsidRDefault="00A764A2" w:rsidP="00EB3076">
      <w:pPr>
        <w:rPr>
          <w:lang w:val="es-ES_tradnl"/>
        </w:rPr>
      </w:pPr>
    </w:p>
    <w:p w:rsidR="003D6DF4" w:rsidRPr="00976BFF" w:rsidRDefault="0062337A" w:rsidP="00EB3076">
      <w:pPr>
        <w:pStyle w:val="Heading2"/>
        <w:numPr>
          <w:ilvl w:val="1"/>
          <w:numId w:val="6"/>
        </w:numPr>
        <w:ind w:firstLine="0"/>
        <w:rPr>
          <w:rFonts w:ascii="Times New Roman" w:hAnsi="Times New Roman"/>
          <w:b/>
          <w:sz w:val="22"/>
          <w:lang w:val="es-ES_tradnl"/>
        </w:rPr>
      </w:pPr>
      <w:bookmarkStart w:id="73" w:name="_Toc327540006"/>
      <w:bookmarkStart w:id="74" w:name="_Toc344927200"/>
      <w:r w:rsidRPr="00976BFF">
        <w:rPr>
          <w:rFonts w:ascii="Times New Roman" w:hAnsi="Times New Roman"/>
          <w:b/>
          <w:sz w:val="22"/>
          <w:lang w:val="es-ES_tradnl"/>
        </w:rPr>
        <w:t xml:space="preserve">Evaluación del desempeño y los riesgos del </w:t>
      </w:r>
      <w:bookmarkEnd w:id="73"/>
      <w:bookmarkEnd w:id="74"/>
      <w:r w:rsidR="008A1019">
        <w:rPr>
          <w:rFonts w:ascii="Times New Roman" w:hAnsi="Times New Roman"/>
          <w:b/>
          <w:sz w:val="22"/>
          <w:lang w:val="es-ES_tradnl"/>
        </w:rPr>
        <w:t>programa</w:t>
      </w:r>
    </w:p>
    <w:p w:rsidR="00A764A2" w:rsidRPr="00976BFF" w:rsidRDefault="0062337A" w:rsidP="00EB3076">
      <w:pPr>
        <w:pStyle w:val="Heading3"/>
        <w:rPr>
          <w:lang w:val="es-ES_tradnl"/>
        </w:rPr>
      </w:pPr>
      <w:bookmarkStart w:id="75" w:name="_Toc344927201"/>
      <w:r w:rsidRPr="00976BFF">
        <w:rPr>
          <w:lang w:val="es-ES_tradnl"/>
        </w:rPr>
        <w:t>Desempeño</w:t>
      </w:r>
      <w:bookmarkEnd w:id="75"/>
    </w:p>
    <w:p w:rsidR="00A764A2" w:rsidRPr="00976BFF" w:rsidRDefault="00FB4EC1" w:rsidP="00EB3076">
      <w:pPr>
        <w:pStyle w:val="Annexmain"/>
        <w:ind w:firstLine="0"/>
        <w:rPr>
          <w:lang w:val="es-ES_tradnl"/>
        </w:rPr>
      </w:pPr>
      <w:r w:rsidRPr="00976BFF">
        <w:rPr>
          <w:b/>
          <w:lang w:val="es-ES_tradnl"/>
        </w:rPr>
        <w:t>Indicadores incluidos en la Ley de Presupuesto</w:t>
      </w:r>
      <w:r w:rsidR="003D6DF4" w:rsidRPr="000B5989">
        <w:rPr>
          <w:b/>
          <w:lang w:val="es-ES_tradnl"/>
        </w:rPr>
        <w:t>.</w:t>
      </w:r>
      <w:r w:rsidR="003D6DF4" w:rsidRPr="00976BFF">
        <w:rPr>
          <w:lang w:val="es-ES_tradnl"/>
        </w:rPr>
        <w:t xml:space="preserve"> </w:t>
      </w:r>
      <w:r w:rsidRPr="00976BFF">
        <w:rPr>
          <w:lang w:val="es-ES_tradnl"/>
        </w:rPr>
        <w:t xml:space="preserve">Aunque la Ley de Presupuesto contiene indicadores y </w:t>
      </w:r>
      <w:r w:rsidR="00AF1281">
        <w:rPr>
          <w:lang w:val="es-ES_tradnl"/>
        </w:rPr>
        <w:t>objetivos</w:t>
      </w:r>
      <w:r w:rsidRPr="00976BFF">
        <w:rPr>
          <w:lang w:val="es-ES_tradnl"/>
        </w:rPr>
        <w:t xml:space="preserve"> físicos para supervisar el desempeño de los </w:t>
      </w:r>
      <w:r w:rsidR="006D44FB">
        <w:rPr>
          <w:lang w:val="es-ES_tradnl"/>
        </w:rPr>
        <w:t>programas</w:t>
      </w:r>
      <w:r w:rsidRPr="00976BFF">
        <w:rPr>
          <w:lang w:val="es-ES_tradnl"/>
        </w:rPr>
        <w:t xml:space="preserve"> del Gobierno, por el momento existen pocos antecedentes. </w:t>
      </w:r>
      <w:r w:rsidR="00900F7C" w:rsidRPr="00976BFF">
        <w:rPr>
          <w:lang w:val="es-ES_tradnl"/>
        </w:rPr>
        <w:t xml:space="preserve">Solo se dispone de las cifras correspondientes a 2010 y en la mayoría de los casos los valores de los indicadores no alcanzan las metas establecidas para ese año. </w:t>
      </w:r>
      <w:r w:rsidR="00D97BD8" w:rsidRPr="00976BFF">
        <w:rPr>
          <w:lang w:val="es-ES_tradnl"/>
        </w:rPr>
        <w:t xml:space="preserve">Sin embargo, es preciso poner esos resultados en perspectiva debido a la falta de concordancia entre los créditos (en los que se basan las metas) y los topes (los recursos para el </w:t>
      </w:r>
      <w:r w:rsidR="00F702D0">
        <w:rPr>
          <w:lang w:val="es-ES_tradnl"/>
        </w:rPr>
        <w:t>p</w:t>
      </w:r>
      <w:r w:rsidR="009B073D" w:rsidRPr="00976BFF">
        <w:rPr>
          <w:lang w:val="es-ES_tradnl"/>
        </w:rPr>
        <w:t>rograma</w:t>
      </w:r>
      <w:r w:rsidR="00D97BD8" w:rsidRPr="00976BFF">
        <w:rPr>
          <w:lang w:val="es-ES_tradnl"/>
        </w:rPr>
        <w:t xml:space="preserve"> y sus </w:t>
      </w:r>
      <w:r w:rsidR="00F702D0">
        <w:rPr>
          <w:lang w:val="es-ES_tradnl"/>
        </w:rPr>
        <w:t>resultados</w:t>
      </w:r>
      <w:r w:rsidR="00D97BD8" w:rsidRPr="00976BFF">
        <w:rPr>
          <w:lang w:val="es-ES_tradnl"/>
        </w:rPr>
        <w:t xml:space="preserve"> previst</w:t>
      </w:r>
      <w:r w:rsidR="00F702D0">
        <w:rPr>
          <w:lang w:val="es-ES_tradnl"/>
        </w:rPr>
        <w:t>o</w:t>
      </w:r>
      <w:r w:rsidR="00D97BD8" w:rsidRPr="00976BFF">
        <w:rPr>
          <w:lang w:val="es-ES_tradnl"/>
        </w:rPr>
        <w:t xml:space="preserve">s, como se </w:t>
      </w:r>
      <w:r w:rsidR="003219C4" w:rsidRPr="00976BFF">
        <w:rPr>
          <w:lang w:val="es-ES_tradnl"/>
        </w:rPr>
        <w:t>definen en la Ley de Presupuesto)</w:t>
      </w:r>
      <w:r w:rsidR="003D6DF4" w:rsidRPr="00976BFF">
        <w:rPr>
          <w:lang w:val="es-ES_tradnl"/>
        </w:rPr>
        <w:t>.</w:t>
      </w:r>
    </w:p>
    <w:p w:rsidR="00A764A2" w:rsidRPr="00976BFF" w:rsidRDefault="003219C4" w:rsidP="00EB3076">
      <w:pPr>
        <w:pStyle w:val="Annexmain"/>
        <w:ind w:firstLine="0"/>
        <w:rPr>
          <w:lang w:val="es-ES_tradnl"/>
        </w:rPr>
      </w:pPr>
      <w:r w:rsidRPr="00976BFF">
        <w:rPr>
          <w:b/>
          <w:lang w:val="es-ES_tradnl"/>
        </w:rPr>
        <w:t>Ejecución del presupuesto</w:t>
      </w:r>
      <w:r w:rsidR="003D6DF4" w:rsidRPr="000B5989">
        <w:rPr>
          <w:b/>
          <w:lang w:val="es-ES_tradnl"/>
        </w:rPr>
        <w:t>.</w:t>
      </w:r>
      <w:r w:rsidR="003D6DF4" w:rsidRPr="00976BFF">
        <w:rPr>
          <w:lang w:val="es-ES_tradnl"/>
        </w:rPr>
        <w:t xml:space="preserve"> </w:t>
      </w:r>
      <w:r w:rsidRPr="00976BFF">
        <w:rPr>
          <w:lang w:val="es-ES_tradnl"/>
        </w:rPr>
        <w:t xml:space="preserve">Como se pone de relieve en el análisis del marco de gastos del </w:t>
      </w:r>
      <w:r w:rsidR="008A1019">
        <w:rPr>
          <w:lang w:val="es-ES_tradnl"/>
        </w:rPr>
        <w:t>programa</w:t>
      </w:r>
      <w:r w:rsidRPr="00976BFF">
        <w:rPr>
          <w:lang w:val="es-ES_tradnl"/>
        </w:rPr>
        <w:t xml:space="preserve">, la ejecución del presupuesto, dentro de los topes de gasto del </w:t>
      </w:r>
      <w:r w:rsidR="008A1019">
        <w:rPr>
          <w:lang w:val="es-ES_tradnl"/>
        </w:rPr>
        <w:t>programa</w:t>
      </w:r>
      <w:r w:rsidRPr="00976BFF">
        <w:rPr>
          <w:lang w:val="es-ES_tradnl"/>
        </w:rPr>
        <w:t xml:space="preserve">, es muy buena: todos los recursos efectivamente asignados al </w:t>
      </w:r>
      <w:r w:rsidR="008A1019">
        <w:rPr>
          <w:lang w:val="es-ES_tradnl"/>
        </w:rPr>
        <w:t>programa</w:t>
      </w:r>
      <w:r w:rsidRPr="00976BFF">
        <w:rPr>
          <w:lang w:val="es-ES_tradnl"/>
        </w:rPr>
        <w:t xml:space="preserve"> se liberan y aplican realmente. En consecuencia, la DNV puede ejecutar su </w:t>
      </w:r>
      <w:r w:rsidR="00F702D0">
        <w:rPr>
          <w:lang w:val="es-ES_tradnl"/>
        </w:rPr>
        <w:t>p</w:t>
      </w:r>
      <w:r w:rsidR="009B073D" w:rsidRPr="00976BFF">
        <w:rPr>
          <w:lang w:val="es-ES_tradnl"/>
        </w:rPr>
        <w:t>rograma</w:t>
      </w:r>
      <w:r w:rsidRPr="00976BFF">
        <w:rPr>
          <w:lang w:val="es-ES_tradnl"/>
        </w:rPr>
        <w:t xml:space="preserve"> de trabajo en forma oportuna</w:t>
      </w:r>
      <w:r w:rsidR="003D6DF4" w:rsidRPr="00976BFF">
        <w:rPr>
          <w:lang w:val="es-ES_tradnl"/>
        </w:rPr>
        <w:t>.</w:t>
      </w:r>
    </w:p>
    <w:p w:rsidR="00A764A2" w:rsidRPr="00976BFF" w:rsidRDefault="003219C4" w:rsidP="00EB3076">
      <w:pPr>
        <w:pStyle w:val="Annexmain"/>
        <w:ind w:firstLine="0"/>
        <w:rPr>
          <w:lang w:val="es-ES_tradnl"/>
        </w:rPr>
      </w:pPr>
      <w:r w:rsidRPr="00976BFF">
        <w:rPr>
          <w:b/>
          <w:lang w:val="es-ES_tradnl"/>
        </w:rPr>
        <w:t>Calidad de la red vial</w:t>
      </w:r>
      <w:r w:rsidR="003D6DF4" w:rsidRPr="000B5989">
        <w:rPr>
          <w:b/>
          <w:lang w:val="es-ES_tradnl"/>
        </w:rPr>
        <w:t>.</w:t>
      </w:r>
      <w:r w:rsidR="003D6DF4" w:rsidRPr="00976BFF">
        <w:rPr>
          <w:lang w:val="es-ES_tradnl"/>
        </w:rPr>
        <w:t xml:space="preserve"> </w:t>
      </w:r>
      <w:r w:rsidRPr="00976BFF">
        <w:rPr>
          <w:lang w:val="es-ES_tradnl"/>
        </w:rPr>
        <w:t xml:space="preserve">Aunque el estado de los corredores internacionales y la red primaria ha mejorado considerablemente durante los últimos años, las condiciones de la red vial nacional, en su conjunto, se han deteriorado y, sobre la base de un escenario de referencia, se estima que esta tendencia persistirá. De todos modos, se </w:t>
      </w:r>
      <w:r w:rsidR="00EC0B84" w:rsidRPr="00976BFF">
        <w:rPr>
          <w:lang w:val="es-ES_tradnl"/>
        </w:rPr>
        <w:t>considera</w:t>
      </w:r>
      <w:r w:rsidRPr="00976BFF">
        <w:rPr>
          <w:lang w:val="es-ES_tradnl"/>
        </w:rPr>
        <w:t xml:space="preserve"> que</w:t>
      </w:r>
      <w:r w:rsidR="00EC0B84" w:rsidRPr="00976BFF">
        <w:rPr>
          <w:lang w:val="es-ES_tradnl"/>
        </w:rPr>
        <w:t xml:space="preserve"> la ejecución del </w:t>
      </w:r>
      <w:r w:rsidR="008A1019">
        <w:rPr>
          <w:lang w:val="es-ES_tradnl"/>
        </w:rPr>
        <w:t>programa</w:t>
      </w:r>
      <w:r w:rsidR="00EC0B84" w:rsidRPr="00976BFF">
        <w:rPr>
          <w:lang w:val="es-ES_tradnl"/>
        </w:rPr>
        <w:t xml:space="preserve"> permitirá frenar este deterioro y estabilizar las condiciones de la red en el nivel fijado como meta</w:t>
      </w:r>
      <w:r w:rsidR="00D87373" w:rsidRPr="00976BFF">
        <w:rPr>
          <w:lang w:val="es-ES_tradnl"/>
        </w:rPr>
        <w:t xml:space="preserve">. </w:t>
      </w:r>
    </w:p>
    <w:p w:rsidR="00A764A2" w:rsidRPr="00976BFF" w:rsidRDefault="00EC0B84" w:rsidP="00EB3076">
      <w:pPr>
        <w:pStyle w:val="Annexmain"/>
        <w:ind w:firstLine="0"/>
        <w:rPr>
          <w:lang w:val="es-ES_tradnl"/>
        </w:rPr>
      </w:pPr>
      <w:r w:rsidRPr="00976BFF">
        <w:rPr>
          <w:b/>
          <w:lang w:val="es-ES_tradnl"/>
        </w:rPr>
        <w:t>Experiencia del Banco en el pasado</w:t>
      </w:r>
      <w:r w:rsidR="003D6DF4" w:rsidRPr="000B5989">
        <w:rPr>
          <w:b/>
          <w:lang w:val="es-ES_tradnl"/>
        </w:rPr>
        <w:t>.</w:t>
      </w:r>
      <w:r w:rsidR="003D6DF4" w:rsidRPr="00976BFF">
        <w:rPr>
          <w:lang w:val="es-ES_tradnl"/>
        </w:rPr>
        <w:t xml:space="preserve"> </w:t>
      </w:r>
      <w:r w:rsidRPr="00976BFF">
        <w:rPr>
          <w:lang w:val="es-ES_tradnl"/>
        </w:rPr>
        <w:t xml:space="preserve">El </w:t>
      </w:r>
      <w:r w:rsidR="003D6DF4" w:rsidRPr="00976BFF">
        <w:rPr>
          <w:lang w:val="es-ES_tradnl"/>
        </w:rPr>
        <w:t xml:space="preserve">MTOP </w:t>
      </w:r>
      <w:r w:rsidRPr="00976BFF">
        <w:rPr>
          <w:lang w:val="es-ES_tradnl"/>
        </w:rPr>
        <w:t xml:space="preserve">y el Banco colaboran en proyectos de rehabilitación y mantenimiento vial desde hace más de 15 años. El proyecto más reciente </w:t>
      </w:r>
      <w:r w:rsidR="003D6DF4" w:rsidRPr="00976BFF">
        <w:rPr>
          <w:lang w:val="es-ES_tradnl"/>
        </w:rPr>
        <w:t xml:space="preserve">(P057481, </w:t>
      </w:r>
      <w:r w:rsidRPr="00976BFF">
        <w:rPr>
          <w:lang w:val="es-ES_tradnl"/>
        </w:rPr>
        <w:t xml:space="preserve">por un total de </w:t>
      </w:r>
      <w:r w:rsidR="003D6DF4" w:rsidRPr="00976BFF">
        <w:rPr>
          <w:lang w:val="es-ES_tradnl"/>
        </w:rPr>
        <w:t>US$100 millon</w:t>
      </w:r>
      <w:r w:rsidRPr="00976BFF">
        <w:rPr>
          <w:lang w:val="es-ES_tradnl"/>
        </w:rPr>
        <w:t>es</w:t>
      </w:r>
      <w:r w:rsidR="00A546A7">
        <w:rPr>
          <w:lang w:val="es-ES_tradnl"/>
        </w:rPr>
        <w:t>,</w:t>
      </w:r>
      <w:r w:rsidRPr="00976BFF">
        <w:rPr>
          <w:lang w:val="es-ES_tradnl"/>
        </w:rPr>
        <w:t xml:space="preserve"> que incluyó un préstamo de </w:t>
      </w:r>
      <w:r w:rsidR="003D6DF4" w:rsidRPr="00976BFF">
        <w:rPr>
          <w:lang w:val="es-ES_tradnl"/>
        </w:rPr>
        <w:t>US$70 millon</w:t>
      </w:r>
      <w:r w:rsidRPr="00976BFF">
        <w:rPr>
          <w:lang w:val="es-ES_tradnl"/>
        </w:rPr>
        <w:t>es</w:t>
      </w:r>
      <w:r w:rsidR="003D6DF4" w:rsidRPr="00976BFF">
        <w:rPr>
          <w:lang w:val="es-ES_tradnl"/>
        </w:rPr>
        <w:t xml:space="preserve">) </w:t>
      </w:r>
      <w:r w:rsidRPr="00976BFF">
        <w:rPr>
          <w:lang w:val="es-ES_tradnl"/>
        </w:rPr>
        <w:t xml:space="preserve">finalizó en julio de </w:t>
      </w:r>
      <w:r w:rsidR="003D6DF4" w:rsidRPr="00976BFF">
        <w:rPr>
          <w:lang w:val="es-ES_tradnl"/>
        </w:rPr>
        <w:t xml:space="preserve">2011. </w:t>
      </w:r>
      <w:r w:rsidR="0091311A" w:rsidRPr="00976BFF">
        <w:rPr>
          <w:lang w:val="es-ES_tradnl"/>
        </w:rPr>
        <w:t>De acuerdo con l</w:t>
      </w:r>
      <w:r w:rsidRPr="00976BFF">
        <w:rPr>
          <w:lang w:val="es-ES_tradnl"/>
        </w:rPr>
        <w:t xml:space="preserve">as principales conclusiones formuladas en el </w:t>
      </w:r>
      <w:r w:rsidR="00A546A7">
        <w:rPr>
          <w:lang w:val="es-ES_tradnl"/>
        </w:rPr>
        <w:t>i</w:t>
      </w:r>
      <w:r w:rsidR="00A546A7" w:rsidRPr="00976BFF">
        <w:rPr>
          <w:lang w:val="es-ES_tradnl"/>
        </w:rPr>
        <w:t xml:space="preserve">nforme </w:t>
      </w:r>
      <w:r w:rsidR="00A546A7">
        <w:rPr>
          <w:lang w:val="es-ES_tradnl"/>
        </w:rPr>
        <w:t>f</w:t>
      </w:r>
      <w:r w:rsidR="00A546A7" w:rsidRPr="00976BFF">
        <w:rPr>
          <w:lang w:val="es-ES_tradnl"/>
        </w:rPr>
        <w:t xml:space="preserve">inal </w:t>
      </w:r>
      <w:r w:rsidRPr="00976BFF">
        <w:rPr>
          <w:lang w:val="es-ES_tradnl"/>
        </w:rPr>
        <w:t xml:space="preserve">de </w:t>
      </w:r>
      <w:r w:rsidR="00A546A7">
        <w:rPr>
          <w:lang w:val="es-ES_tradnl"/>
        </w:rPr>
        <w:t>e</w:t>
      </w:r>
      <w:r w:rsidR="00A546A7" w:rsidRPr="00976BFF">
        <w:rPr>
          <w:lang w:val="es-ES_tradnl"/>
        </w:rPr>
        <w:t>jecución</w:t>
      </w:r>
      <w:r w:rsidRPr="00976BFF">
        <w:rPr>
          <w:lang w:val="es-ES_tradnl"/>
        </w:rPr>
        <w:t>: i) el desempeño del organismo de ejecución, especialmente de la DNV</w:t>
      </w:r>
      <w:r w:rsidR="0091311A" w:rsidRPr="00976BFF">
        <w:rPr>
          <w:lang w:val="es-ES_tradnl"/>
        </w:rPr>
        <w:t>, fue satisfactorio</w:t>
      </w:r>
      <w:r w:rsidRPr="00976BFF">
        <w:rPr>
          <w:lang w:val="es-ES_tradnl"/>
        </w:rPr>
        <w:t xml:space="preserve">, y ii) </w:t>
      </w:r>
      <w:r w:rsidR="0091311A" w:rsidRPr="00976BFF">
        <w:rPr>
          <w:lang w:val="es-ES_tradnl"/>
        </w:rPr>
        <w:t>los resultados del proyecto fueron moderadamente satisfactorios, debido básicamente a un marco de resultados excesivamente ambicioso</w:t>
      </w:r>
      <w:r w:rsidR="003D6DF4" w:rsidRPr="00976BFF">
        <w:rPr>
          <w:lang w:val="es-ES_tradnl"/>
        </w:rPr>
        <w:t>.</w:t>
      </w:r>
    </w:p>
    <w:p w:rsidR="00A764A2" w:rsidRPr="00976BFF" w:rsidRDefault="003D6DF4" w:rsidP="00EB3076">
      <w:pPr>
        <w:pStyle w:val="Heading3"/>
        <w:rPr>
          <w:lang w:val="es-ES_tradnl"/>
        </w:rPr>
      </w:pPr>
      <w:bookmarkStart w:id="76" w:name="_Toc344927202"/>
      <w:r w:rsidRPr="00976BFF">
        <w:rPr>
          <w:lang w:val="es-ES_tradnl"/>
        </w:rPr>
        <w:t>Ri</w:t>
      </w:r>
      <w:r w:rsidR="0091311A" w:rsidRPr="00976BFF">
        <w:rPr>
          <w:lang w:val="es-ES_tradnl"/>
        </w:rPr>
        <w:t>esgo</w:t>
      </w:r>
      <w:r w:rsidRPr="00976BFF">
        <w:rPr>
          <w:lang w:val="es-ES_tradnl"/>
        </w:rPr>
        <w:t>s</w:t>
      </w:r>
      <w:bookmarkEnd w:id="76"/>
    </w:p>
    <w:p w:rsidR="00A764A2" w:rsidRPr="00976BFF" w:rsidRDefault="00C80747" w:rsidP="00EB3076">
      <w:pPr>
        <w:pStyle w:val="Annexmain"/>
        <w:ind w:firstLine="0"/>
        <w:rPr>
          <w:lang w:val="es-ES_tradnl"/>
        </w:rPr>
      </w:pPr>
      <w:r w:rsidRPr="00976BFF">
        <w:rPr>
          <w:lang w:val="es-ES_tradnl"/>
        </w:rPr>
        <w:t xml:space="preserve">Los principales riesgos identificados en el marco de la evaluación técnica están relacionados con lo siguiente: el financiamiento del </w:t>
      </w:r>
      <w:r w:rsidR="008A1019">
        <w:rPr>
          <w:lang w:val="es-ES_tradnl"/>
        </w:rPr>
        <w:t>programa</w:t>
      </w:r>
      <w:r w:rsidRPr="00976BFF">
        <w:rPr>
          <w:lang w:val="es-ES_tradnl"/>
        </w:rPr>
        <w:t xml:space="preserve">, la calidad de la ejecución del </w:t>
      </w:r>
      <w:r w:rsidR="008A1019">
        <w:rPr>
          <w:lang w:val="es-ES_tradnl"/>
        </w:rPr>
        <w:t>programa</w:t>
      </w:r>
      <w:r w:rsidRPr="00976BFF">
        <w:rPr>
          <w:lang w:val="es-ES_tradnl"/>
        </w:rPr>
        <w:t xml:space="preserve"> y la falta de personal para cubrir funciones clave dentro del </w:t>
      </w:r>
      <w:r w:rsidR="001862EE" w:rsidRPr="00976BFF">
        <w:rPr>
          <w:lang w:val="es-ES_tradnl"/>
        </w:rPr>
        <w:t>MTOP</w:t>
      </w:r>
      <w:r w:rsidRPr="00976BFF">
        <w:rPr>
          <w:lang w:val="es-ES_tradnl"/>
        </w:rPr>
        <w:t xml:space="preserve"> y la </w:t>
      </w:r>
      <w:r w:rsidR="001862EE" w:rsidRPr="00976BFF">
        <w:rPr>
          <w:lang w:val="es-ES_tradnl"/>
        </w:rPr>
        <w:t xml:space="preserve">DNV, </w:t>
      </w:r>
      <w:r w:rsidRPr="00976BFF">
        <w:rPr>
          <w:lang w:val="es-ES_tradnl"/>
        </w:rPr>
        <w:t xml:space="preserve">que es crucial para ejecutar el </w:t>
      </w:r>
      <w:r w:rsidR="008A1019">
        <w:rPr>
          <w:lang w:val="es-ES_tradnl"/>
        </w:rPr>
        <w:t>programa</w:t>
      </w:r>
      <w:r w:rsidRPr="00976BFF">
        <w:rPr>
          <w:lang w:val="es-ES_tradnl"/>
        </w:rPr>
        <w:t xml:space="preserve"> de manera puntual y eficaz. El marco de evaluación integrada de los riesgos incluye medidas de mitigación anticipadas</w:t>
      </w:r>
      <w:r w:rsidR="00991373" w:rsidRPr="00976BFF">
        <w:rPr>
          <w:lang w:val="es-ES_tradnl"/>
        </w:rPr>
        <w:t>.</w:t>
      </w:r>
    </w:p>
    <w:p w:rsidR="00A764A2" w:rsidRPr="00976BFF" w:rsidRDefault="00A764A2" w:rsidP="00EB3076">
      <w:pPr>
        <w:rPr>
          <w:lang w:val="es-ES_tradnl"/>
        </w:rPr>
      </w:pPr>
    </w:p>
    <w:p w:rsidR="003D6DF4" w:rsidRPr="00976BFF" w:rsidRDefault="00862FB8" w:rsidP="00EB3076">
      <w:pPr>
        <w:pStyle w:val="Heading2"/>
        <w:numPr>
          <w:ilvl w:val="1"/>
          <w:numId w:val="6"/>
        </w:numPr>
        <w:ind w:firstLine="0"/>
        <w:rPr>
          <w:rFonts w:ascii="Times New Roman" w:hAnsi="Times New Roman"/>
          <w:b/>
          <w:sz w:val="22"/>
          <w:szCs w:val="22"/>
          <w:lang w:val="es-ES_tradnl"/>
        </w:rPr>
      </w:pPr>
      <w:bookmarkStart w:id="77" w:name="_Toc344927203"/>
      <w:r w:rsidRPr="00976BFF">
        <w:rPr>
          <w:b/>
          <w:sz w:val="22"/>
          <w:szCs w:val="22"/>
          <w:lang w:val="es-ES_tradnl"/>
        </w:rPr>
        <w:t xml:space="preserve">Mejoramiento del desempeño de los sistemas técnicos del </w:t>
      </w:r>
      <w:bookmarkEnd w:id="77"/>
      <w:r w:rsidR="008A1019">
        <w:rPr>
          <w:b/>
          <w:sz w:val="22"/>
          <w:szCs w:val="22"/>
          <w:lang w:val="es-ES_tradnl"/>
        </w:rPr>
        <w:t>programa</w:t>
      </w:r>
    </w:p>
    <w:p w:rsidR="00A764A2" w:rsidRPr="00976BFF" w:rsidRDefault="00991373" w:rsidP="00EB3076">
      <w:pPr>
        <w:pStyle w:val="Annexmain"/>
        <w:ind w:firstLine="0"/>
        <w:rPr>
          <w:lang w:val="es-ES_tradnl"/>
        </w:rPr>
      </w:pPr>
      <w:r w:rsidRPr="00976BFF">
        <w:rPr>
          <w:lang w:val="es-ES_tradnl"/>
        </w:rPr>
        <w:t>Dur</w:t>
      </w:r>
      <w:r w:rsidR="0066583B" w:rsidRPr="00976BFF">
        <w:rPr>
          <w:lang w:val="es-ES_tradnl"/>
        </w:rPr>
        <w:t xml:space="preserve">ante la etapa de preparación, se analizaron varios conjuntos de medidas con el </w:t>
      </w:r>
      <w:r w:rsidRPr="00976BFF">
        <w:rPr>
          <w:lang w:val="es-ES_tradnl"/>
        </w:rPr>
        <w:t>MTOP (</w:t>
      </w:r>
      <w:r w:rsidR="0066583B" w:rsidRPr="00976BFF">
        <w:rPr>
          <w:lang w:val="es-ES_tradnl"/>
        </w:rPr>
        <w:t>principalmente con la</w:t>
      </w:r>
      <w:r w:rsidRPr="00976BFF">
        <w:rPr>
          <w:lang w:val="es-ES_tradnl"/>
        </w:rPr>
        <w:t xml:space="preserve"> DNV, </w:t>
      </w:r>
      <w:r w:rsidR="0066583B" w:rsidRPr="00976BFF">
        <w:rPr>
          <w:lang w:val="es-ES_tradnl"/>
        </w:rPr>
        <w:t xml:space="preserve">la </w:t>
      </w:r>
      <w:r w:rsidRPr="00976BFF">
        <w:rPr>
          <w:lang w:val="es-ES_tradnl"/>
        </w:rPr>
        <w:t xml:space="preserve">DNTop </w:t>
      </w:r>
      <w:r w:rsidR="0066583B" w:rsidRPr="00976BFF">
        <w:rPr>
          <w:lang w:val="es-ES_tradnl"/>
        </w:rPr>
        <w:t>y la</w:t>
      </w:r>
      <w:r w:rsidRPr="00976BFF">
        <w:rPr>
          <w:lang w:val="es-ES_tradnl"/>
        </w:rPr>
        <w:t xml:space="preserve"> DINAPLO) </w:t>
      </w:r>
      <w:r w:rsidR="00A546A7">
        <w:rPr>
          <w:lang w:val="es-ES_tradnl"/>
        </w:rPr>
        <w:t xml:space="preserve">para </w:t>
      </w:r>
      <w:r w:rsidR="0066583B" w:rsidRPr="00976BFF">
        <w:rPr>
          <w:lang w:val="es-ES_tradnl"/>
        </w:rPr>
        <w:t xml:space="preserve">mejorar el desempeño de los sistemas del </w:t>
      </w:r>
      <w:r w:rsidR="008A1019">
        <w:rPr>
          <w:lang w:val="es-ES_tradnl"/>
        </w:rPr>
        <w:t>programa</w:t>
      </w:r>
      <w:r w:rsidR="0066583B" w:rsidRPr="00976BFF">
        <w:rPr>
          <w:lang w:val="es-ES_tradnl"/>
        </w:rPr>
        <w:t xml:space="preserve"> </w:t>
      </w:r>
      <w:r w:rsidR="007B13ED" w:rsidRPr="00976BFF">
        <w:rPr>
          <w:lang w:val="es-ES_tradnl"/>
        </w:rPr>
        <w:t xml:space="preserve">así como la gestión del sector vial y mitigar los riesgos técnicos enunciados </w:t>
      </w:r>
      <w:r w:rsidR="007B13ED" w:rsidRPr="00F702D0">
        <w:rPr>
          <w:i/>
          <w:lang w:val="es-ES_tradnl"/>
        </w:rPr>
        <w:t>supra</w:t>
      </w:r>
      <w:r w:rsidR="007B13ED" w:rsidRPr="00976BFF">
        <w:rPr>
          <w:lang w:val="es-ES_tradnl"/>
        </w:rPr>
        <w:t>. La lista de medidas se incluye a continuación (“</w:t>
      </w:r>
      <w:r w:rsidR="00F702D0">
        <w:rPr>
          <w:lang w:val="es-ES_tradnl"/>
        </w:rPr>
        <w:t>Actividades incorporadas</w:t>
      </w:r>
      <w:r w:rsidR="007B13ED" w:rsidRPr="00976BFF">
        <w:rPr>
          <w:lang w:val="es-ES_tradnl"/>
        </w:rPr>
        <w:t xml:space="preserve"> al </w:t>
      </w:r>
      <w:r w:rsidR="007A653A" w:rsidRPr="00976BFF">
        <w:rPr>
          <w:lang w:val="es-ES_tradnl"/>
        </w:rPr>
        <w:t xml:space="preserve">Plan de Acción del </w:t>
      </w:r>
      <w:r w:rsidR="008A1019">
        <w:rPr>
          <w:lang w:val="es-ES_tradnl"/>
        </w:rPr>
        <w:t>programa</w:t>
      </w:r>
      <w:r w:rsidR="007B13ED" w:rsidRPr="00976BFF">
        <w:rPr>
          <w:lang w:val="es-ES_tradnl"/>
        </w:rPr>
        <w:t xml:space="preserve">”). </w:t>
      </w:r>
      <w:r w:rsidR="00217686" w:rsidRPr="00976BFF">
        <w:rPr>
          <w:lang w:val="es-ES_tradnl"/>
        </w:rPr>
        <w:t>En la etapa de evaluación inicial, se asignó prioridad a las actividades propuestas y solo se mantuvieron</w:t>
      </w:r>
      <w:r w:rsidR="00F702D0">
        <w:rPr>
          <w:lang w:val="es-ES_tradnl"/>
        </w:rPr>
        <w:t xml:space="preserve"> en el </w:t>
      </w:r>
      <w:r w:rsidR="00F702D0" w:rsidRPr="00976BFF">
        <w:rPr>
          <w:lang w:val="es-ES_tradnl"/>
        </w:rPr>
        <w:t xml:space="preserve">Plan de Acción del </w:t>
      </w:r>
      <w:r w:rsidR="008A1019">
        <w:rPr>
          <w:lang w:val="es-ES_tradnl"/>
        </w:rPr>
        <w:t>programa</w:t>
      </w:r>
      <w:r w:rsidR="00F702D0" w:rsidRPr="00976BFF">
        <w:rPr>
          <w:lang w:val="es-ES_tradnl"/>
        </w:rPr>
        <w:t xml:space="preserve"> o los indicadores vinculados </w:t>
      </w:r>
      <w:r w:rsidR="00E57E6E">
        <w:rPr>
          <w:lang w:val="es-ES_tradnl"/>
        </w:rPr>
        <w:t>con</w:t>
      </w:r>
      <w:r w:rsidR="00E57E6E" w:rsidRPr="00976BFF">
        <w:rPr>
          <w:lang w:val="es-ES_tradnl"/>
        </w:rPr>
        <w:t xml:space="preserve"> </w:t>
      </w:r>
      <w:r w:rsidR="00F702D0" w:rsidRPr="00976BFF">
        <w:rPr>
          <w:lang w:val="es-ES_tradnl"/>
        </w:rPr>
        <w:t>los desembolsos</w:t>
      </w:r>
      <w:r w:rsidR="00F702D0">
        <w:rPr>
          <w:lang w:val="es-ES_tradnl"/>
        </w:rPr>
        <w:t xml:space="preserve"> las que eran</w:t>
      </w:r>
      <w:r w:rsidR="00217686" w:rsidRPr="00976BFF">
        <w:rPr>
          <w:lang w:val="es-ES_tradnl"/>
        </w:rPr>
        <w:t xml:space="preserve"> fundamentales </w:t>
      </w:r>
      <w:r w:rsidR="00F702D0">
        <w:rPr>
          <w:lang w:val="es-ES_tradnl"/>
        </w:rPr>
        <w:t>y</w:t>
      </w:r>
      <w:r w:rsidR="00217686" w:rsidRPr="00976BFF">
        <w:rPr>
          <w:lang w:val="es-ES_tradnl"/>
        </w:rPr>
        <w:t xml:space="preserve"> podían llevarse a cabo durante la vigencia del </w:t>
      </w:r>
      <w:r w:rsidR="008A1019">
        <w:rPr>
          <w:lang w:val="es-ES_tradnl"/>
        </w:rPr>
        <w:t>programa</w:t>
      </w:r>
      <w:r w:rsidRPr="00976BFF">
        <w:rPr>
          <w:lang w:val="es-ES_tradnl"/>
        </w:rPr>
        <w:t xml:space="preserve">. </w:t>
      </w:r>
    </w:p>
    <w:p w:rsidR="00A764A2" w:rsidRPr="00976BFF" w:rsidRDefault="00217686" w:rsidP="00EB3076">
      <w:pPr>
        <w:pStyle w:val="Heading3"/>
        <w:rPr>
          <w:lang w:val="es-ES_tradnl"/>
        </w:rPr>
      </w:pPr>
      <w:bookmarkStart w:id="78" w:name="_Toc344927204"/>
      <w:r w:rsidRPr="00976BFF">
        <w:rPr>
          <w:lang w:val="es-ES_tradnl"/>
        </w:rPr>
        <w:t xml:space="preserve">Financiamiento y sostenibilidad del </w:t>
      </w:r>
      <w:bookmarkEnd w:id="78"/>
      <w:r w:rsidR="008A1019">
        <w:rPr>
          <w:lang w:val="es-ES_tradnl"/>
        </w:rPr>
        <w:t>programa</w:t>
      </w:r>
      <w:r w:rsidR="003D6DF4" w:rsidRPr="00976BFF">
        <w:rPr>
          <w:lang w:val="es-ES_tradnl"/>
        </w:rPr>
        <w:t xml:space="preserve"> </w:t>
      </w:r>
    </w:p>
    <w:p w:rsidR="00D85477" w:rsidRPr="00976BFF" w:rsidRDefault="00217686" w:rsidP="00EB3076">
      <w:pPr>
        <w:pStyle w:val="Annexmain"/>
        <w:ind w:firstLine="0"/>
        <w:rPr>
          <w:lang w:val="es-ES_tradnl"/>
        </w:rPr>
      </w:pPr>
      <w:r w:rsidRPr="00976BFF">
        <w:rPr>
          <w:lang w:val="es-ES_tradnl"/>
        </w:rPr>
        <w:t xml:space="preserve">Apoyo al </w:t>
      </w:r>
      <w:r w:rsidR="00D85477" w:rsidRPr="00976BFF">
        <w:rPr>
          <w:lang w:val="es-ES_tradnl"/>
        </w:rPr>
        <w:t>MTOP</w:t>
      </w:r>
      <w:r w:rsidRPr="00976BFF">
        <w:rPr>
          <w:lang w:val="es-ES_tradnl"/>
        </w:rPr>
        <w:t xml:space="preserve"> para reclasificar la red vial nacional, teniendo en cuenta los recursos financieros en el mediano </w:t>
      </w:r>
      <w:r w:rsidR="00F702D0">
        <w:rPr>
          <w:lang w:val="es-ES_tradnl"/>
        </w:rPr>
        <w:t>y</w:t>
      </w:r>
      <w:r w:rsidRPr="00976BFF">
        <w:rPr>
          <w:lang w:val="es-ES_tradnl"/>
        </w:rPr>
        <w:t xml:space="preserve"> largo plazo. Esta actividad tendría por objeto lograr una mayor convergencia entre las necesidades de mantenimiento y los recursos financieros. Esta actividad se incluye en el </w:t>
      </w:r>
      <w:r w:rsidR="007A653A" w:rsidRPr="00976BFF">
        <w:rPr>
          <w:lang w:val="es-ES_tradnl"/>
        </w:rPr>
        <w:t xml:space="preserve">Plan de Acción del </w:t>
      </w:r>
      <w:r w:rsidR="008A1019">
        <w:rPr>
          <w:lang w:val="es-ES_tradnl"/>
        </w:rPr>
        <w:t>programa</w:t>
      </w:r>
      <w:r w:rsidR="00D85477" w:rsidRPr="00976BFF">
        <w:rPr>
          <w:lang w:val="es-ES_tradnl"/>
        </w:rPr>
        <w:t>.</w:t>
      </w:r>
    </w:p>
    <w:p w:rsidR="00D85477" w:rsidRPr="00976BFF" w:rsidRDefault="00A47497" w:rsidP="00EB3076">
      <w:pPr>
        <w:pStyle w:val="Annexmain"/>
        <w:ind w:firstLine="0"/>
        <w:rPr>
          <w:lang w:val="es-ES_tradnl"/>
        </w:rPr>
      </w:pPr>
      <w:r w:rsidRPr="00976BFF">
        <w:rPr>
          <w:lang w:val="es-ES_tradnl"/>
        </w:rPr>
        <w:t xml:space="preserve">Apoyo para la planificación a largo plazo, incluida la planificación multimodal y la elaboración de modelos de transporte, a fin de reducir la carga que soporta la red vial. Estas actividades se incluyen en el </w:t>
      </w:r>
      <w:r w:rsidR="007A653A" w:rsidRPr="00976BFF">
        <w:rPr>
          <w:lang w:val="es-ES_tradnl"/>
        </w:rPr>
        <w:t xml:space="preserve">Plan de Acción del </w:t>
      </w:r>
      <w:r w:rsidR="008A1019">
        <w:rPr>
          <w:lang w:val="es-ES_tradnl"/>
        </w:rPr>
        <w:t>programa</w:t>
      </w:r>
      <w:r w:rsidRPr="00976BFF">
        <w:rPr>
          <w:lang w:val="es-ES_tradnl"/>
        </w:rPr>
        <w:t xml:space="preserve"> y el marco de resultados.</w:t>
      </w:r>
    </w:p>
    <w:p w:rsidR="00A764A2" w:rsidRPr="00976BFF" w:rsidRDefault="00A47497" w:rsidP="00EB3076">
      <w:pPr>
        <w:pStyle w:val="Annexmain"/>
        <w:ind w:firstLine="0"/>
        <w:rPr>
          <w:lang w:val="es-ES_tradnl"/>
        </w:rPr>
      </w:pPr>
      <w:r w:rsidRPr="00976BFF">
        <w:rPr>
          <w:lang w:val="es-ES_tradnl"/>
        </w:rPr>
        <w:t xml:space="preserve">Apoyo al </w:t>
      </w:r>
      <w:r w:rsidR="00D85477" w:rsidRPr="00976BFF">
        <w:rPr>
          <w:lang w:val="es-ES_tradnl"/>
        </w:rPr>
        <w:t>M</w:t>
      </w:r>
      <w:r w:rsidRPr="00976BFF">
        <w:rPr>
          <w:lang w:val="es-ES_tradnl"/>
        </w:rPr>
        <w:t>T</w:t>
      </w:r>
      <w:r w:rsidR="00D85477" w:rsidRPr="00976BFF">
        <w:rPr>
          <w:lang w:val="es-ES_tradnl"/>
        </w:rPr>
        <w:t>OP</w:t>
      </w:r>
      <w:r w:rsidRPr="00976BFF">
        <w:rPr>
          <w:lang w:val="es-ES_tradnl"/>
        </w:rPr>
        <w:t xml:space="preserve"> y el </w:t>
      </w:r>
      <w:r w:rsidR="00D85477" w:rsidRPr="00976BFF">
        <w:rPr>
          <w:lang w:val="es-ES_tradnl"/>
        </w:rPr>
        <w:t xml:space="preserve">MEF </w:t>
      </w:r>
      <w:r w:rsidR="00A40FB5" w:rsidRPr="00976BFF">
        <w:rPr>
          <w:lang w:val="es-ES_tradnl"/>
        </w:rPr>
        <w:t xml:space="preserve">para analizar diferentes alternativas de financiamiento (entre otras, por ejemplo, impuestos específicos para este fin, fondos destinados a caminos y cobro </w:t>
      </w:r>
      <w:r w:rsidR="001C47AE">
        <w:rPr>
          <w:lang w:val="es-ES_tradnl"/>
        </w:rPr>
        <w:t xml:space="preserve">de </w:t>
      </w:r>
      <w:r w:rsidR="00A40FB5" w:rsidRPr="00976BFF">
        <w:rPr>
          <w:lang w:val="es-ES_tradnl"/>
        </w:rPr>
        <w:t>peaje a usuarios viales) y aumento de la participación del sector privado en la gestión vial para intensificar la eficiencia (asociaciones público-privadas, contratos basados en el desempeño). El Gobierno de Uruguay está analizando por separado esta línea de acción</w:t>
      </w:r>
      <w:r w:rsidR="00D85477" w:rsidRPr="00976BFF">
        <w:rPr>
          <w:lang w:val="es-ES_tradnl"/>
        </w:rPr>
        <w:t>.</w:t>
      </w:r>
    </w:p>
    <w:p w:rsidR="00A764A2" w:rsidRPr="00976BFF" w:rsidRDefault="006F7372" w:rsidP="00EB3076">
      <w:pPr>
        <w:pStyle w:val="Heading3"/>
        <w:rPr>
          <w:lang w:val="es-ES_tradnl"/>
        </w:rPr>
      </w:pPr>
      <w:bookmarkStart w:id="79" w:name="_Toc344927205"/>
      <w:r w:rsidRPr="00976BFF">
        <w:rPr>
          <w:lang w:val="es-ES_tradnl"/>
        </w:rPr>
        <w:t xml:space="preserve">Calidad de la ejecución del </w:t>
      </w:r>
      <w:bookmarkEnd w:id="79"/>
      <w:r w:rsidR="008A1019">
        <w:rPr>
          <w:lang w:val="es-ES_tradnl"/>
        </w:rPr>
        <w:t>programa</w:t>
      </w:r>
    </w:p>
    <w:p w:rsidR="00A764A2" w:rsidRPr="00976BFF" w:rsidRDefault="003D6DF4" w:rsidP="00EB3076">
      <w:pPr>
        <w:pStyle w:val="Annexmain"/>
        <w:ind w:firstLine="0"/>
        <w:rPr>
          <w:lang w:val="es-ES_tradnl"/>
        </w:rPr>
      </w:pPr>
      <w:r w:rsidRPr="00976BFF">
        <w:rPr>
          <w:b/>
          <w:lang w:val="es-ES_tradnl"/>
        </w:rPr>
        <w:t>P</w:t>
      </w:r>
      <w:r w:rsidR="006F7372" w:rsidRPr="00976BFF">
        <w:rPr>
          <w:b/>
          <w:lang w:val="es-ES_tradnl"/>
        </w:rPr>
        <w:t>roceso de planificación</w:t>
      </w:r>
      <w:r w:rsidRPr="000B5989">
        <w:rPr>
          <w:b/>
          <w:lang w:val="es-ES_tradnl"/>
        </w:rPr>
        <w:t>:</w:t>
      </w:r>
      <w:r w:rsidRPr="00976BFF">
        <w:rPr>
          <w:lang w:val="es-ES_tradnl"/>
        </w:rPr>
        <w:t xml:space="preserve"> i) </w:t>
      </w:r>
      <w:r w:rsidR="00216B32" w:rsidRPr="00976BFF">
        <w:rPr>
          <w:lang w:val="es-ES_tradnl"/>
        </w:rPr>
        <w:t xml:space="preserve">fortalecimiento del nexo entre los procesos de </w:t>
      </w:r>
      <w:r w:rsidR="00F702D0">
        <w:rPr>
          <w:lang w:val="es-ES_tradnl"/>
        </w:rPr>
        <w:t xml:space="preserve">planificación y </w:t>
      </w:r>
      <w:r w:rsidR="00216B32" w:rsidRPr="00976BFF">
        <w:rPr>
          <w:lang w:val="es-ES_tradnl"/>
        </w:rPr>
        <w:t xml:space="preserve">toma de decisiones en materia de asignación de recursos; </w:t>
      </w:r>
      <w:r w:rsidR="00383519" w:rsidRPr="00976BFF">
        <w:rPr>
          <w:lang w:val="es-ES_tradnl"/>
        </w:rPr>
        <w:t xml:space="preserve">ii) intercambio de información entre </w:t>
      </w:r>
      <w:r w:rsidR="00216B32" w:rsidRPr="00976BFF">
        <w:rPr>
          <w:lang w:val="es-ES_tradnl"/>
        </w:rPr>
        <w:t>los procesos</w:t>
      </w:r>
      <w:r w:rsidR="00383519" w:rsidRPr="00976BFF">
        <w:rPr>
          <w:lang w:val="es-ES_tradnl"/>
        </w:rPr>
        <w:t xml:space="preserve"> de diseño y planificación; iii) realización de una evaluación económica </w:t>
      </w:r>
      <w:r w:rsidR="00383519" w:rsidRPr="00976BFF">
        <w:rPr>
          <w:i/>
          <w:lang w:val="es-ES_tradnl"/>
        </w:rPr>
        <w:t>ex post</w:t>
      </w:r>
      <w:r w:rsidR="00383519" w:rsidRPr="00976BFF">
        <w:rPr>
          <w:lang w:val="es-ES_tradnl"/>
        </w:rPr>
        <w:t xml:space="preserve"> de cada proyecto. Este conjunto de actividades, incluida una planificación multimodal más adecuada, se incluye en el </w:t>
      </w:r>
      <w:r w:rsidR="007A653A" w:rsidRPr="00976BFF">
        <w:rPr>
          <w:lang w:val="es-ES_tradnl"/>
        </w:rPr>
        <w:t xml:space="preserve">Plan de Acción del </w:t>
      </w:r>
      <w:r w:rsidR="008A1019">
        <w:rPr>
          <w:lang w:val="es-ES_tradnl"/>
        </w:rPr>
        <w:t>programa</w:t>
      </w:r>
      <w:r w:rsidR="00383519" w:rsidRPr="00976BFF">
        <w:rPr>
          <w:lang w:val="es-ES_tradnl"/>
        </w:rPr>
        <w:t xml:space="preserve"> y el IVD-3</w:t>
      </w:r>
      <w:r w:rsidR="00F219C9" w:rsidRPr="00976BFF">
        <w:rPr>
          <w:lang w:val="es-ES_tradnl"/>
        </w:rPr>
        <w:t>.</w:t>
      </w:r>
    </w:p>
    <w:p w:rsidR="00A764A2" w:rsidRPr="00976BFF" w:rsidRDefault="00383519" w:rsidP="00EB3076">
      <w:pPr>
        <w:pStyle w:val="Annexmain"/>
        <w:ind w:firstLine="0"/>
        <w:rPr>
          <w:lang w:val="es-ES_tradnl"/>
        </w:rPr>
      </w:pPr>
      <w:r w:rsidRPr="00976BFF">
        <w:rPr>
          <w:b/>
          <w:lang w:val="es-ES_tradnl"/>
        </w:rPr>
        <w:t>Proceso de diseño</w:t>
      </w:r>
      <w:r w:rsidR="003D6DF4" w:rsidRPr="000B5989">
        <w:rPr>
          <w:b/>
          <w:lang w:val="es-ES_tradnl"/>
        </w:rPr>
        <w:t>:</w:t>
      </w:r>
      <w:r w:rsidR="003D6DF4" w:rsidRPr="00976BFF">
        <w:rPr>
          <w:lang w:val="es-ES_tradnl"/>
        </w:rPr>
        <w:t xml:space="preserve"> i) </w:t>
      </w:r>
      <w:r w:rsidRPr="00976BFF">
        <w:rPr>
          <w:lang w:val="es-ES_tradnl"/>
        </w:rPr>
        <w:t xml:space="preserve">apoyo a la </w:t>
      </w:r>
      <w:r w:rsidR="003D6DF4" w:rsidRPr="00976BFF">
        <w:rPr>
          <w:lang w:val="es-ES_tradnl"/>
        </w:rPr>
        <w:t xml:space="preserve">DNV </w:t>
      </w:r>
      <w:r w:rsidRPr="00976BFF">
        <w:rPr>
          <w:lang w:val="es-ES_tradnl"/>
        </w:rPr>
        <w:t>para normalizar el diseño para la rehabilitación de pavimentos</w:t>
      </w:r>
      <w:r w:rsidR="003D6DF4" w:rsidRPr="00976BFF">
        <w:rPr>
          <w:lang w:val="es-ES_tradnl"/>
        </w:rPr>
        <w:t>; ii)</w:t>
      </w:r>
      <w:r w:rsidRPr="00976BFF">
        <w:rPr>
          <w:lang w:val="es-ES_tradnl"/>
        </w:rPr>
        <w:t xml:space="preserve"> </w:t>
      </w:r>
      <w:r w:rsidR="00F702D0">
        <w:rPr>
          <w:lang w:val="es-ES_tradnl"/>
        </w:rPr>
        <w:t>sub</w:t>
      </w:r>
      <w:r w:rsidRPr="00976BFF">
        <w:rPr>
          <w:lang w:val="es-ES_tradnl"/>
        </w:rPr>
        <w:t>contratación de nuevos servicios de ingeniería y desarroll</w:t>
      </w:r>
      <w:r w:rsidR="00F702D0">
        <w:rPr>
          <w:lang w:val="es-ES_tradnl"/>
        </w:rPr>
        <w:t>o</w:t>
      </w:r>
      <w:r w:rsidRPr="00976BFF">
        <w:rPr>
          <w:lang w:val="es-ES_tradnl"/>
        </w:rPr>
        <w:t xml:space="preserve"> simultáne</w:t>
      </w:r>
      <w:r w:rsidR="001C47AE">
        <w:rPr>
          <w:lang w:val="es-ES_tradnl"/>
        </w:rPr>
        <w:t>o de</w:t>
      </w:r>
      <w:r w:rsidRPr="00976BFF">
        <w:rPr>
          <w:lang w:val="es-ES_tradnl"/>
        </w:rPr>
        <w:t xml:space="preserve"> procesos de control de calidad, y iii) optimización y normalización de soluciones técnicas para intersecciones de carreteras </w:t>
      </w:r>
      <w:r w:rsidR="00A546A7">
        <w:rPr>
          <w:lang w:val="es-ES_tradnl"/>
        </w:rPr>
        <w:t xml:space="preserve">donde </w:t>
      </w:r>
      <w:r w:rsidRPr="00976BFF">
        <w:rPr>
          <w:lang w:val="es-ES_tradnl"/>
        </w:rPr>
        <w:t xml:space="preserve">suelen producirse accidentes de tráfico. Estas actividades se incluyen en el </w:t>
      </w:r>
      <w:r w:rsidR="007A653A" w:rsidRPr="00976BFF">
        <w:rPr>
          <w:lang w:val="es-ES_tradnl"/>
        </w:rPr>
        <w:t xml:space="preserve">Plan de Acción del </w:t>
      </w:r>
      <w:r w:rsidR="008A1019">
        <w:rPr>
          <w:lang w:val="es-ES_tradnl"/>
        </w:rPr>
        <w:t>programa</w:t>
      </w:r>
      <w:r w:rsidRPr="00976BFF">
        <w:rPr>
          <w:lang w:val="es-ES_tradnl"/>
        </w:rPr>
        <w:t xml:space="preserve"> y el IVD-3</w:t>
      </w:r>
      <w:r w:rsidR="00F219C9" w:rsidRPr="00976BFF">
        <w:rPr>
          <w:lang w:val="es-ES_tradnl"/>
        </w:rPr>
        <w:t>.</w:t>
      </w:r>
    </w:p>
    <w:p w:rsidR="00A764A2" w:rsidRPr="00976BFF" w:rsidRDefault="00383519" w:rsidP="00EB3076">
      <w:pPr>
        <w:pStyle w:val="Annexmain"/>
        <w:ind w:firstLine="0"/>
        <w:rPr>
          <w:lang w:val="es-ES_tradnl"/>
        </w:rPr>
      </w:pPr>
      <w:r w:rsidRPr="00976BFF">
        <w:rPr>
          <w:b/>
          <w:lang w:val="es-ES_tradnl"/>
        </w:rPr>
        <w:t>Proceso de supervisión técnica</w:t>
      </w:r>
      <w:r w:rsidR="003D6DF4" w:rsidRPr="000B5989">
        <w:rPr>
          <w:b/>
          <w:lang w:val="es-ES_tradnl"/>
        </w:rPr>
        <w:t>:</w:t>
      </w:r>
      <w:r w:rsidR="003D6DF4" w:rsidRPr="00976BFF">
        <w:rPr>
          <w:lang w:val="es-ES_tradnl"/>
        </w:rPr>
        <w:t xml:space="preserve"> i) </w:t>
      </w:r>
      <w:r w:rsidR="002A1B62" w:rsidRPr="00976BFF">
        <w:rPr>
          <w:lang w:val="es-ES_tradnl"/>
        </w:rPr>
        <w:t xml:space="preserve">aumento del personal, a nivel de ingenieros, que </w:t>
      </w:r>
      <w:r w:rsidR="00F702D0">
        <w:rPr>
          <w:lang w:val="es-ES_tradnl"/>
        </w:rPr>
        <w:t xml:space="preserve">se encarga de </w:t>
      </w:r>
      <w:r w:rsidR="002A1B62" w:rsidRPr="00976BFF">
        <w:rPr>
          <w:lang w:val="es-ES_tradnl"/>
        </w:rPr>
        <w:t>supervisa</w:t>
      </w:r>
      <w:r w:rsidR="00F702D0">
        <w:rPr>
          <w:lang w:val="es-ES_tradnl"/>
        </w:rPr>
        <w:t>r</w:t>
      </w:r>
      <w:r w:rsidR="002A1B62" w:rsidRPr="00976BFF">
        <w:rPr>
          <w:lang w:val="es-ES_tradnl"/>
        </w:rPr>
        <w:t xml:space="preserve"> las obras; ii) mejora de los procesos de supervisión de obras, especialmente mediante un manual de prácticas óptimas de supervisión y fortalecimiento de la capacidad en materia de control y verificación (laboratorio) de obras; iii) actualización de las especificaciones técnicas de los contratos, los procedimientos de </w:t>
      </w:r>
      <w:r w:rsidR="004A26E3" w:rsidRPr="00976BFF">
        <w:rPr>
          <w:lang w:val="es-ES_tradnl"/>
        </w:rPr>
        <w:t>construcción</w:t>
      </w:r>
      <w:r w:rsidR="002A1B62" w:rsidRPr="00976BFF">
        <w:rPr>
          <w:lang w:val="es-ES_tradnl"/>
        </w:rPr>
        <w:t xml:space="preserve">, las pruebas y los procesos de laboratorio </w:t>
      </w:r>
      <w:r w:rsidR="00A546A7">
        <w:rPr>
          <w:lang w:val="es-ES_tradnl"/>
        </w:rPr>
        <w:t>para</w:t>
      </w:r>
      <w:r w:rsidR="002A1B62" w:rsidRPr="00976BFF">
        <w:rPr>
          <w:lang w:val="es-ES_tradnl"/>
        </w:rPr>
        <w:t xml:space="preserve"> aplicar las técnicas más recientes; iv) elaboración de catálogos </w:t>
      </w:r>
      <w:r w:rsidR="00C506C2" w:rsidRPr="00976BFF">
        <w:rPr>
          <w:lang w:val="es-ES_tradnl"/>
        </w:rPr>
        <w:t xml:space="preserve">de deterioro estándar, coherentes con los contratos basados en el desempeño, que sean útiles para la supervisión y la simplificación de la gestión de activos; v) capacitación de los asistentes técnicos que realizan tareas de supervisión; vi) </w:t>
      </w:r>
      <w:r w:rsidR="00F702D0">
        <w:rPr>
          <w:lang w:val="es-ES_tradnl"/>
        </w:rPr>
        <w:t>sub</w:t>
      </w:r>
      <w:r w:rsidR="00C506C2" w:rsidRPr="00976BFF">
        <w:rPr>
          <w:lang w:val="es-ES_tradnl"/>
        </w:rPr>
        <w:t xml:space="preserve">contratación de nuevos contratos basados en el desempeño, en cuyo marco los pagos basados en los resultados sean un incentivo para que los contratistas realicen mejor su trabajo; vii) </w:t>
      </w:r>
      <w:r w:rsidR="00F702D0">
        <w:rPr>
          <w:lang w:val="es-ES_tradnl"/>
        </w:rPr>
        <w:t>sub</w:t>
      </w:r>
      <w:r w:rsidR="00C506C2" w:rsidRPr="00976BFF">
        <w:rPr>
          <w:lang w:val="es-ES_tradnl"/>
        </w:rPr>
        <w:t xml:space="preserve">contratación de nuevos servicios de supervisión de obras. La </w:t>
      </w:r>
      <w:r w:rsidR="00C03A5E">
        <w:rPr>
          <w:lang w:val="es-ES_tradnl"/>
        </w:rPr>
        <w:t>elaboración</w:t>
      </w:r>
      <w:r w:rsidR="00C506C2" w:rsidRPr="00976BFF">
        <w:rPr>
          <w:lang w:val="es-ES_tradnl"/>
        </w:rPr>
        <w:t xml:space="preserve"> de</w:t>
      </w:r>
      <w:r w:rsidR="00C03A5E">
        <w:rPr>
          <w:lang w:val="es-ES_tradnl"/>
        </w:rPr>
        <w:t xml:space="preserve"> un</w:t>
      </w:r>
      <w:r w:rsidR="00C506C2" w:rsidRPr="00976BFF">
        <w:rPr>
          <w:lang w:val="es-ES_tradnl"/>
        </w:rPr>
        <w:t xml:space="preserve"> manual de supervisión de obras que </w:t>
      </w:r>
      <w:r w:rsidR="000E39CA" w:rsidRPr="00976BFF">
        <w:rPr>
          <w:lang w:val="es-ES_tradnl"/>
        </w:rPr>
        <w:t xml:space="preserve">reúna las prácticas óptimas en materia de supervisión vial se ha mantenido entre las actividades del </w:t>
      </w:r>
      <w:r w:rsidR="007A653A" w:rsidRPr="00976BFF">
        <w:rPr>
          <w:lang w:val="es-ES_tradnl"/>
        </w:rPr>
        <w:t xml:space="preserve">Plan de Acción del </w:t>
      </w:r>
      <w:r w:rsidR="008A1019">
        <w:rPr>
          <w:lang w:val="es-ES_tradnl"/>
        </w:rPr>
        <w:t>programa</w:t>
      </w:r>
      <w:r w:rsidR="00F219C9" w:rsidRPr="00976BFF">
        <w:rPr>
          <w:lang w:val="es-ES_tradnl"/>
        </w:rPr>
        <w:t>.</w:t>
      </w:r>
    </w:p>
    <w:p w:rsidR="00A764A2" w:rsidRPr="00976BFF" w:rsidRDefault="000E39CA" w:rsidP="00EB3076">
      <w:pPr>
        <w:pStyle w:val="Heading3"/>
        <w:rPr>
          <w:lang w:val="es-ES_tradnl"/>
        </w:rPr>
      </w:pPr>
      <w:bookmarkStart w:id="80" w:name="_Toc344927206"/>
      <w:r w:rsidRPr="00976BFF">
        <w:rPr>
          <w:lang w:val="es-ES_tradnl"/>
        </w:rPr>
        <w:t xml:space="preserve">Funciones transversales del </w:t>
      </w:r>
      <w:bookmarkEnd w:id="80"/>
      <w:r w:rsidR="008A1019">
        <w:rPr>
          <w:lang w:val="es-ES_tradnl"/>
        </w:rPr>
        <w:t>programa</w:t>
      </w:r>
    </w:p>
    <w:p w:rsidR="00A764A2" w:rsidRPr="00976BFF" w:rsidRDefault="000E39CA" w:rsidP="00EB3076">
      <w:pPr>
        <w:pStyle w:val="Annexmain"/>
        <w:ind w:firstLine="0"/>
        <w:rPr>
          <w:lang w:val="es-ES_tradnl"/>
        </w:rPr>
      </w:pPr>
      <w:r w:rsidRPr="00976BFF">
        <w:rPr>
          <w:lang w:val="es-ES_tradnl"/>
        </w:rPr>
        <w:t xml:space="preserve">Apoyo al </w:t>
      </w:r>
      <w:r w:rsidR="00D85477" w:rsidRPr="00976BFF">
        <w:rPr>
          <w:lang w:val="es-ES_tradnl"/>
        </w:rPr>
        <w:t xml:space="preserve">MTOP </w:t>
      </w:r>
      <w:r w:rsidRPr="00976BFF">
        <w:rPr>
          <w:lang w:val="es-ES_tradnl"/>
        </w:rPr>
        <w:t xml:space="preserve">para formular una estrategia y un plan de gestión en materia de recursos humanos, teniendo en cuenta las futuras misiones del </w:t>
      </w:r>
      <w:r w:rsidR="003D6DF4" w:rsidRPr="00976BFF">
        <w:rPr>
          <w:lang w:val="es-ES_tradnl"/>
        </w:rPr>
        <w:t>MTOP</w:t>
      </w:r>
      <w:r w:rsidRPr="00976BFF">
        <w:rPr>
          <w:lang w:val="es-ES_tradnl"/>
        </w:rPr>
        <w:t xml:space="preserve"> y en el marco de las políticas de administración pública</w:t>
      </w:r>
      <w:r w:rsidR="007E457C" w:rsidRPr="00976BFF">
        <w:rPr>
          <w:lang w:val="es-ES_tradnl"/>
        </w:rPr>
        <w:t xml:space="preserve">. Aunque esta medida es fundamental para el MTOP en el largo plazo, después de la ejecución del </w:t>
      </w:r>
      <w:r w:rsidR="008A1019">
        <w:rPr>
          <w:lang w:val="es-ES_tradnl"/>
        </w:rPr>
        <w:t>programa</w:t>
      </w:r>
      <w:r w:rsidR="007E457C" w:rsidRPr="00976BFF">
        <w:rPr>
          <w:lang w:val="es-ES_tradnl"/>
        </w:rPr>
        <w:t xml:space="preserve">, en la etapa de evaluación inicial se decidió no incluirla. Algunas actividades del </w:t>
      </w:r>
      <w:r w:rsidR="007A653A" w:rsidRPr="00976BFF">
        <w:rPr>
          <w:lang w:val="es-ES_tradnl"/>
        </w:rPr>
        <w:t xml:space="preserve">Plan de Acción del </w:t>
      </w:r>
      <w:r w:rsidR="008A1019">
        <w:rPr>
          <w:lang w:val="es-ES_tradnl"/>
        </w:rPr>
        <w:t>programa</w:t>
      </w:r>
      <w:r w:rsidR="007E457C" w:rsidRPr="00976BFF">
        <w:rPr>
          <w:lang w:val="es-ES_tradnl"/>
        </w:rPr>
        <w:t xml:space="preserve"> (por ejemplo las auditorías ambientales del </w:t>
      </w:r>
      <w:r w:rsidR="008A1019">
        <w:rPr>
          <w:lang w:val="es-ES_tradnl"/>
        </w:rPr>
        <w:t>programa</w:t>
      </w:r>
      <w:r w:rsidR="007E457C" w:rsidRPr="00976BFF">
        <w:rPr>
          <w:lang w:val="es-ES_tradnl"/>
        </w:rPr>
        <w:t>) incluyen la contratación puntual de personal de refuerzo</w:t>
      </w:r>
      <w:r w:rsidR="00C05F75" w:rsidRPr="00976BFF">
        <w:rPr>
          <w:lang w:val="es-ES_tradnl"/>
        </w:rPr>
        <w:t>.</w:t>
      </w:r>
    </w:p>
    <w:p w:rsidR="00A764A2" w:rsidRPr="00976BFF" w:rsidRDefault="007E457C" w:rsidP="00EB3076">
      <w:pPr>
        <w:pStyle w:val="Annexmain"/>
        <w:ind w:firstLine="0"/>
        <w:rPr>
          <w:lang w:val="es-ES_tradnl"/>
        </w:rPr>
      </w:pPr>
      <w:r w:rsidRPr="00976BFF">
        <w:rPr>
          <w:lang w:val="es-ES_tradnl"/>
        </w:rPr>
        <w:t xml:space="preserve">Apoyo a la </w:t>
      </w:r>
      <w:r w:rsidR="003D6DF4" w:rsidRPr="00976BFF">
        <w:rPr>
          <w:lang w:val="es-ES_tradnl"/>
        </w:rPr>
        <w:t>DNV</w:t>
      </w:r>
      <w:r w:rsidR="00D85477" w:rsidRPr="00976BFF">
        <w:rPr>
          <w:lang w:val="es-ES_tradnl"/>
        </w:rPr>
        <w:t xml:space="preserve"> </w:t>
      </w:r>
      <w:r w:rsidRPr="00976BFF">
        <w:rPr>
          <w:lang w:val="es-ES_tradnl"/>
        </w:rPr>
        <w:t xml:space="preserve">para simplificar los informes sobre administración de contratos a través de la actualización e integración de los sistemas de tecnología de la información (evaluación de las necesidades, diseños de arquitectura, desarrollo de sistemas). </w:t>
      </w:r>
      <w:r w:rsidR="00625E71" w:rsidRPr="00976BFF">
        <w:rPr>
          <w:lang w:val="es-ES_tradnl"/>
        </w:rPr>
        <w:t xml:space="preserve">El BID lleva a cabo esta actividad a través del préstamo suscrito con el Gobierno de Uruguay en marzo de </w:t>
      </w:r>
      <w:r w:rsidR="00C05F75" w:rsidRPr="00976BFF">
        <w:rPr>
          <w:lang w:val="es-ES_tradnl"/>
        </w:rPr>
        <w:t>2012.</w:t>
      </w:r>
    </w:p>
    <w:p w:rsidR="00536686" w:rsidRPr="00976BFF" w:rsidRDefault="00625E71" w:rsidP="00EB3076">
      <w:pPr>
        <w:pStyle w:val="Annexmain"/>
        <w:ind w:firstLine="0"/>
        <w:rPr>
          <w:lang w:val="es-ES_tradnl"/>
        </w:rPr>
      </w:pPr>
      <w:r w:rsidRPr="00976BFF">
        <w:rPr>
          <w:lang w:val="es-ES_tradnl"/>
        </w:rPr>
        <w:t xml:space="preserve">Incremento de la rendición de cuentas y las comunicaciones del </w:t>
      </w:r>
      <w:r w:rsidR="008A1019">
        <w:rPr>
          <w:lang w:val="es-ES_tradnl"/>
        </w:rPr>
        <w:t>programa</w:t>
      </w:r>
      <w:r w:rsidRPr="00976BFF">
        <w:rPr>
          <w:lang w:val="es-ES_tradnl"/>
        </w:rPr>
        <w:t xml:space="preserve"> con la sociedad civil. Esta actividad forma parte del </w:t>
      </w:r>
      <w:r w:rsidR="007A653A" w:rsidRPr="00976BFF">
        <w:rPr>
          <w:lang w:val="es-ES_tradnl"/>
        </w:rPr>
        <w:t xml:space="preserve">Plan de Acción del </w:t>
      </w:r>
      <w:r w:rsidR="008A1019">
        <w:rPr>
          <w:lang w:val="es-ES_tradnl"/>
        </w:rPr>
        <w:t>programa</w:t>
      </w:r>
      <w:r w:rsidR="00536686" w:rsidRPr="00976BFF">
        <w:rPr>
          <w:lang w:val="es-ES_tradnl"/>
        </w:rPr>
        <w:t>.</w:t>
      </w:r>
    </w:p>
    <w:p w:rsidR="003E2423" w:rsidRPr="00976BFF" w:rsidRDefault="003E2423">
      <w:pPr>
        <w:rPr>
          <w:rFonts w:ascii="Times New Roman" w:hAnsi="Times New Roman" w:cs="Times New Roman"/>
          <w:lang w:val="es-ES_tradnl"/>
        </w:rPr>
      </w:pPr>
      <w:r w:rsidRPr="00976BFF">
        <w:rPr>
          <w:rFonts w:ascii="Times New Roman" w:hAnsi="Times New Roman" w:cs="Times New Roman"/>
          <w:lang w:val="es-ES_tradnl"/>
        </w:rPr>
        <w:br w:type="page"/>
      </w:r>
    </w:p>
    <w:p w:rsidR="003E2423" w:rsidRPr="00976BFF" w:rsidRDefault="003E2423" w:rsidP="004E4895">
      <w:pPr>
        <w:pStyle w:val="NoSpacing"/>
        <w:ind w:left="360"/>
        <w:rPr>
          <w:rFonts w:ascii="Times New Roman" w:hAnsi="Times New Roman" w:cs="Times New Roman"/>
          <w:lang w:val="es-ES_tradnl"/>
        </w:rPr>
      </w:pPr>
    </w:p>
    <w:p w:rsidR="00A764A2" w:rsidRPr="00976BFF" w:rsidRDefault="00C41F5D">
      <w:pPr>
        <w:rPr>
          <w:b/>
          <w:sz w:val="24"/>
          <w:szCs w:val="24"/>
          <w:lang w:val="es-ES_tradnl"/>
        </w:rPr>
      </w:pPr>
      <w:r w:rsidRPr="00976BFF">
        <w:rPr>
          <w:rFonts w:ascii="Times New Roman" w:hAnsi="Times New Roman" w:cs="Times New Roman"/>
          <w:b/>
          <w:sz w:val="24"/>
          <w:szCs w:val="24"/>
          <w:lang w:val="es-ES_tradnl"/>
        </w:rPr>
        <w:t>Ap</w:t>
      </w:r>
      <w:r w:rsidR="00556CDB" w:rsidRPr="00976BFF">
        <w:rPr>
          <w:rFonts w:ascii="Times New Roman" w:hAnsi="Times New Roman" w:cs="Times New Roman"/>
          <w:b/>
          <w:sz w:val="24"/>
          <w:szCs w:val="24"/>
          <w:lang w:val="es-ES_tradnl"/>
        </w:rPr>
        <w:t>éndice.</w:t>
      </w:r>
      <w:r w:rsidRPr="00976BFF">
        <w:rPr>
          <w:rFonts w:ascii="Times New Roman" w:hAnsi="Times New Roman" w:cs="Times New Roman"/>
          <w:b/>
          <w:sz w:val="24"/>
          <w:szCs w:val="24"/>
          <w:lang w:val="es-ES_tradnl"/>
        </w:rPr>
        <w:t xml:space="preserve"> </w:t>
      </w:r>
      <w:r w:rsidR="00556CDB" w:rsidRPr="00976BFF">
        <w:rPr>
          <w:rFonts w:ascii="Times New Roman" w:hAnsi="Times New Roman" w:cs="Times New Roman"/>
          <w:b/>
          <w:sz w:val="24"/>
          <w:szCs w:val="24"/>
          <w:lang w:val="es-ES_tradnl"/>
        </w:rPr>
        <w:t>Datos básicos sobre la lucha contra el fraude y la corrupción</w:t>
      </w:r>
    </w:p>
    <w:p w:rsidR="003E2423" w:rsidRPr="00976BFF" w:rsidRDefault="003E2423" w:rsidP="004E4895">
      <w:pPr>
        <w:pStyle w:val="NoSpacing"/>
        <w:ind w:left="360"/>
        <w:rPr>
          <w:rFonts w:ascii="Times New Roman" w:hAnsi="Times New Roman" w:cs="Times New Roman"/>
          <w:lang w:val="es-ES_tradnl"/>
        </w:rPr>
      </w:pPr>
    </w:p>
    <w:p w:rsidR="00A764A2" w:rsidRPr="00976BFF" w:rsidRDefault="00732F0C" w:rsidP="00EB3076">
      <w:pPr>
        <w:pStyle w:val="Annexmain"/>
        <w:ind w:left="0" w:firstLine="0"/>
        <w:rPr>
          <w:lang w:val="es-ES_tradnl"/>
        </w:rPr>
      </w:pPr>
      <w:r w:rsidRPr="00976BFF">
        <w:rPr>
          <w:lang w:val="es-ES_tradnl"/>
        </w:rPr>
        <w:t xml:space="preserve">Los sistemas y procesos de </w:t>
      </w:r>
      <w:r w:rsidR="00C17328" w:rsidRPr="00976BFF">
        <w:rPr>
          <w:lang w:val="es-ES_tradnl"/>
        </w:rPr>
        <w:t>Uruguay</w:t>
      </w:r>
      <w:r w:rsidRPr="00976BFF">
        <w:rPr>
          <w:lang w:val="es-ES_tradnl"/>
        </w:rPr>
        <w:t xml:space="preserve"> para la prevención, presentación de informes, investigación, </w:t>
      </w:r>
      <w:r w:rsidR="004A26E3" w:rsidRPr="00976BFF">
        <w:rPr>
          <w:lang w:val="es-ES_tradnl"/>
        </w:rPr>
        <w:t>persecución</w:t>
      </w:r>
      <w:r w:rsidRPr="00976BFF">
        <w:rPr>
          <w:lang w:val="es-ES_tradnl"/>
        </w:rPr>
        <w:t xml:space="preserve"> y penalización de potenciales actos ilícitos están bien establecidos y coordinados entre los diversos órganos del Estado. En la práctica, empero, algunas veces no se cumplen plenamente las normas regulatorias. Esto obedece, en parte, a la limitada capacidad de recursos humanos técnicos a disposición del MTOP </w:t>
      </w:r>
      <w:r w:rsidR="006B1578">
        <w:rPr>
          <w:lang w:val="es-ES_tradnl"/>
        </w:rPr>
        <w:t xml:space="preserve">y </w:t>
      </w:r>
      <w:r w:rsidR="00A546A7">
        <w:rPr>
          <w:lang w:val="es-ES_tradnl"/>
        </w:rPr>
        <w:t>de</w:t>
      </w:r>
      <w:r w:rsidR="00A546A7" w:rsidRPr="00976BFF">
        <w:rPr>
          <w:lang w:val="es-ES_tradnl"/>
        </w:rPr>
        <w:t xml:space="preserve"> </w:t>
      </w:r>
      <w:r w:rsidRPr="00976BFF">
        <w:rPr>
          <w:lang w:val="es-ES_tradnl"/>
        </w:rPr>
        <w:t xml:space="preserve">algunos de los organismos de control y supervisión. El cuadro que se incluye a continuación contiene una síntesis de los principales elementos relativos a la lucha contra el fraude y la corrupción, relacionados con la ejecución del </w:t>
      </w:r>
      <w:r w:rsidR="008A1019">
        <w:rPr>
          <w:lang w:val="es-ES_tradnl"/>
        </w:rPr>
        <w:t>programa</w:t>
      </w:r>
      <w:r w:rsidR="00265DF0" w:rsidRPr="00976BFF">
        <w:rPr>
          <w:lang w:val="es-ES_tradnl"/>
        </w:rPr>
        <w:t>.</w:t>
      </w:r>
    </w:p>
    <w:p w:rsidR="00884D41" w:rsidRPr="00976BFF" w:rsidRDefault="00732F0C" w:rsidP="00EB3076">
      <w:pPr>
        <w:pStyle w:val="Annexmain"/>
        <w:ind w:left="0" w:firstLine="0"/>
        <w:rPr>
          <w:lang w:val="es-ES_tradnl"/>
        </w:rPr>
      </w:pPr>
      <w:r w:rsidRPr="00976BFF">
        <w:rPr>
          <w:lang w:val="es-ES_tradnl"/>
        </w:rPr>
        <w:t>Cuando existen sospechas de fraude y corrupción, la</w:t>
      </w:r>
      <w:r w:rsidR="00250488" w:rsidRPr="00976BFF">
        <w:rPr>
          <w:lang w:val="es-ES_tradnl"/>
        </w:rPr>
        <w:t>s</w:t>
      </w:r>
      <w:r w:rsidRPr="00976BFF">
        <w:rPr>
          <w:lang w:val="es-ES_tradnl"/>
        </w:rPr>
        <w:t xml:space="preserve"> denuncias se pueden presentar directamente ante el poder judicial, que inicia las investigaciones y</w:t>
      </w:r>
      <w:r w:rsidR="00BD6728" w:rsidRPr="00976BFF">
        <w:rPr>
          <w:lang w:val="es-ES_tradnl"/>
        </w:rPr>
        <w:t xml:space="preserve"> que inclusive</w:t>
      </w:r>
      <w:r w:rsidRPr="00976BFF">
        <w:rPr>
          <w:lang w:val="es-ES_tradnl"/>
        </w:rPr>
        <w:t xml:space="preserve"> tiene un </w:t>
      </w:r>
      <w:r w:rsidR="00BD6728" w:rsidRPr="00976BFF">
        <w:rPr>
          <w:lang w:val="es-ES_tradnl"/>
        </w:rPr>
        <w:t xml:space="preserve">fuero especializado para casos de fraude y corrupción. A los efectos de la investigación de una denuncia, tanto el marco como la práctica legislativa permiten que las autoridades pertinentes tengan acceso a los hechos, las pruebas y toda otra información que resulte necesaria. Adicionalmente, Uruguay tiene un organismo especializado que es </w:t>
      </w:r>
      <w:r w:rsidR="004A26E3" w:rsidRPr="00976BFF">
        <w:rPr>
          <w:lang w:val="es-ES_tradnl"/>
        </w:rPr>
        <w:t>responsable</w:t>
      </w:r>
      <w:r w:rsidR="00BD6728" w:rsidRPr="00976BFF">
        <w:rPr>
          <w:lang w:val="es-ES_tradnl"/>
        </w:rPr>
        <w:t xml:space="preserve"> de la aplicación de la Ley de Acceso a la Información Pública</w:t>
      </w:r>
      <w:r w:rsidR="006B1578">
        <w:rPr>
          <w:lang w:val="es-ES_tradnl"/>
        </w:rPr>
        <w:t>, difunde</w:t>
      </w:r>
      <w:r w:rsidR="00BD6728" w:rsidRPr="00976BFF">
        <w:rPr>
          <w:lang w:val="es-ES_tradnl"/>
        </w:rPr>
        <w:t xml:space="preserve"> los resultados de las investigaciones </w:t>
      </w:r>
      <w:r w:rsidR="006B1578">
        <w:rPr>
          <w:lang w:val="es-ES_tradnl"/>
        </w:rPr>
        <w:t>y publica</w:t>
      </w:r>
      <w:r w:rsidR="00BD6728" w:rsidRPr="00976BFF">
        <w:rPr>
          <w:lang w:val="es-ES_tradnl"/>
        </w:rPr>
        <w:t xml:space="preserve"> las decisiones judiciales. Este sistema parece eficaz y funciona adecuadamente. En lo referente a los mecanismos de reclamación, el MTOP cuenta con un sistema informal que permite a ciudadanos y empresas plantear sus inquietudes </w:t>
      </w:r>
      <w:r w:rsidR="006B1578">
        <w:rPr>
          <w:lang w:val="es-ES_tradnl"/>
        </w:rPr>
        <w:t>o</w:t>
      </w:r>
      <w:r w:rsidR="00BD6728" w:rsidRPr="00976BFF">
        <w:rPr>
          <w:lang w:val="es-ES_tradnl"/>
        </w:rPr>
        <w:t xml:space="preserve"> sospechas. No o</w:t>
      </w:r>
      <w:r w:rsidR="002F11B2" w:rsidRPr="00976BFF">
        <w:rPr>
          <w:lang w:val="es-ES_tradnl"/>
        </w:rPr>
        <w:t>b</w:t>
      </w:r>
      <w:r w:rsidR="00BD6728" w:rsidRPr="00976BFF">
        <w:rPr>
          <w:lang w:val="es-ES_tradnl"/>
        </w:rPr>
        <w:t>stante, no está sistematizado, lo que limita su potencial</w:t>
      </w:r>
      <w:r w:rsidR="00935D9E" w:rsidRPr="00976BFF">
        <w:rPr>
          <w:lang w:val="es-ES_tradnl"/>
        </w:rPr>
        <w:t xml:space="preserve"> para abordar deficiencias institucionales dentro del MTOP (para obtener más detalles, véanse también los anexos </w:t>
      </w:r>
      <w:r w:rsidR="00884D41" w:rsidRPr="00976BFF">
        <w:rPr>
          <w:lang w:val="es-ES_tradnl"/>
        </w:rPr>
        <w:t xml:space="preserve">5 </w:t>
      </w:r>
      <w:r w:rsidR="00935D9E" w:rsidRPr="00976BFF">
        <w:rPr>
          <w:lang w:val="es-ES_tradnl"/>
        </w:rPr>
        <w:t>y</w:t>
      </w:r>
      <w:r w:rsidR="00884D41" w:rsidRPr="00976BFF">
        <w:rPr>
          <w:lang w:val="es-ES_tradnl"/>
        </w:rPr>
        <w:t xml:space="preserve"> 6, </w:t>
      </w:r>
      <w:r w:rsidR="00935D9E" w:rsidRPr="00976BFF">
        <w:rPr>
          <w:lang w:val="es-ES_tradnl"/>
        </w:rPr>
        <w:t>resúmenes de las evaluaciones</w:t>
      </w:r>
      <w:r w:rsidR="00884D41" w:rsidRPr="00976BFF">
        <w:rPr>
          <w:lang w:val="es-ES_tradnl"/>
        </w:rPr>
        <w:t>).</w:t>
      </w:r>
    </w:p>
    <w:p w:rsidR="003E2423" w:rsidRPr="00976BFF" w:rsidRDefault="003E2423" w:rsidP="003E2423">
      <w:pPr>
        <w:rPr>
          <w:rFonts w:ascii="Times New Roman" w:hAnsi="Times New Roman" w:cs="Times New Roman"/>
          <w:b/>
          <w:sz w:val="24"/>
          <w:szCs w:val="24"/>
          <w:lang w:val="es-ES_tradnl"/>
        </w:rPr>
      </w:pPr>
    </w:p>
    <w:tbl>
      <w:tblPr>
        <w:tblStyle w:val="TableGrid"/>
        <w:tblW w:w="10098" w:type="dxa"/>
        <w:tblLook w:val="04A0" w:firstRow="1" w:lastRow="0" w:firstColumn="1" w:lastColumn="0" w:noHBand="0" w:noVBand="1"/>
      </w:tblPr>
      <w:tblGrid>
        <w:gridCol w:w="3192"/>
        <w:gridCol w:w="3936"/>
        <w:gridCol w:w="2970"/>
      </w:tblGrid>
      <w:tr w:rsidR="003E2423" w:rsidRPr="00976BFF">
        <w:tc>
          <w:tcPr>
            <w:tcW w:w="3192" w:type="dxa"/>
          </w:tcPr>
          <w:p w:rsidR="003E2423" w:rsidRPr="00976BFF" w:rsidRDefault="003E2423" w:rsidP="003E2423">
            <w:pPr>
              <w:rPr>
                <w:rFonts w:ascii="Times New Roman" w:hAnsi="Times New Roman" w:cs="Times New Roman"/>
                <w:lang w:val="es-ES_tradnl"/>
              </w:rPr>
            </w:pPr>
          </w:p>
        </w:tc>
        <w:tc>
          <w:tcPr>
            <w:tcW w:w="3936" w:type="dxa"/>
          </w:tcPr>
          <w:p w:rsidR="003E2423" w:rsidRPr="00976BFF" w:rsidRDefault="00935D9E" w:rsidP="00935D9E">
            <w:pPr>
              <w:jc w:val="center"/>
              <w:rPr>
                <w:rFonts w:ascii="Times New Roman" w:hAnsi="Times New Roman" w:cs="Times New Roman"/>
                <w:b/>
                <w:lang w:val="es-ES_tradnl"/>
              </w:rPr>
            </w:pPr>
            <w:r w:rsidRPr="00976BFF">
              <w:rPr>
                <w:rFonts w:ascii="Times New Roman" w:hAnsi="Times New Roman" w:cs="Times New Roman"/>
                <w:b/>
                <w:lang w:val="es-ES_tradnl"/>
              </w:rPr>
              <w:t>Marco y prácticas actuales</w:t>
            </w:r>
          </w:p>
        </w:tc>
        <w:tc>
          <w:tcPr>
            <w:tcW w:w="2970" w:type="dxa"/>
          </w:tcPr>
          <w:p w:rsidR="003E2423" w:rsidRPr="00976BFF" w:rsidRDefault="00935D9E" w:rsidP="00E06387">
            <w:pPr>
              <w:jc w:val="center"/>
              <w:rPr>
                <w:rFonts w:ascii="Times New Roman" w:hAnsi="Times New Roman" w:cs="Times New Roman"/>
                <w:b/>
                <w:lang w:val="es-ES_tradnl"/>
              </w:rPr>
            </w:pPr>
            <w:r w:rsidRPr="00976BFF">
              <w:rPr>
                <w:rFonts w:ascii="Times New Roman" w:hAnsi="Times New Roman" w:cs="Times New Roman"/>
                <w:b/>
                <w:lang w:val="es-ES_tradnl"/>
              </w:rPr>
              <w:t>Medidas recomendadas</w:t>
            </w:r>
          </w:p>
        </w:tc>
      </w:tr>
      <w:tr w:rsidR="003E2423" w:rsidRPr="001E1C20">
        <w:tc>
          <w:tcPr>
            <w:tcW w:w="3192" w:type="dxa"/>
          </w:tcPr>
          <w:p w:rsidR="003E2423" w:rsidRPr="00976BFF" w:rsidRDefault="00935D9E" w:rsidP="00935D9E">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Marco jurídico y regulatorio</w:t>
            </w:r>
          </w:p>
        </w:tc>
        <w:tc>
          <w:tcPr>
            <w:tcW w:w="3936" w:type="dxa"/>
          </w:tcPr>
          <w:p w:rsidR="003E2423" w:rsidRPr="00976BFF" w:rsidRDefault="003E2423" w:rsidP="006B1578">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Uruguay</w:t>
            </w:r>
            <w:r w:rsidR="00831F93" w:rsidRPr="00976BFF">
              <w:rPr>
                <w:rFonts w:ascii="Times New Roman" w:hAnsi="Times New Roman" w:cs="Times New Roman"/>
                <w:sz w:val="20"/>
                <w:szCs w:val="20"/>
                <w:lang w:val="es-ES_tradnl"/>
              </w:rPr>
              <w:t xml:space="preserve"> </w:t>
            </w:r>
            <w:r w:rsidR="00174367" w:rsidRPr="00976BFF">
              <w:rPr>
                <w:rFonts w:ascii="Times New Roman" w:hAnsi="Times New Roman" w:cs="Times New Roman"/>
                <w:sz w:val="20"/>
                <w:szCs w:val="20"/>
                <w:lang w:val="es-ES_tradnl"/>
              </w:rPr>
              <w:t xml:space="preserve">cuenta con un marco jurídico integral y bien desarrollado para abordar los casos de fraude y corrupción. Se acaba de actualizar la principal ley de adquisiciones (junio de 2012) a fin de adoptar medidas para fortalecer su aplicación, entre ellas la rotación de los miembros del comité de evaluación de ofertas (véase la sección sobre evaluación fiduciaria). Los posibles riesgos surgen principalmente de la laguna entre </w:t>
            </w:r>
            <w:r w:rsidR="006B1578">
              <w:rPr>
                <w:rFonts w:ascii="Times New Roman" w:hAnsi="Times New Roman" w:cs="Times New Roman"/>
                <w:sz w:val="20"/>
                <w:szCs w:val="20"/>
                <w:lang w:val="es-ES_tradnl"/>
              </w:rPr>
              <w:t xml:space="preserve">las medidas </w:t>
            </w:r>
            <w:r w:rsidR="00174367" w:rsidRPr="000B5989">
              <w:rPr>
                <w:rFonts w:ascii="Times New Roman" w:hAnsi="Times New Roman" w:cs="Times New Roman"/>
                <w:i/>
                <w:sz w:val="20"/>
                <w:szCs w:val="20"/>
                <w:lang w:val="es-ES_tradnl"/>
              </w:rPr>
              <w:t>de jure</w:t>
            </w:r>
            <w:r w:rsidR="00174367" w:rsidRPr="00976BFF">
              <w:rPr>
                <w:rFonts w:ascii="Times New Roman" w:hAnsi="Times New Roman" w:cs="Times New Roman"/>
                <w:sz w:val="20"/>
                <w:szCs w:val="20"/>
                <w:lang w:val="es-ES_tradnl"/>
              </w:rPr>
              <w:t xml:space="preserve"> (normas legales</w:t>
            </w:r>
            <w:r w:rsidR="006B1578">
              <w:rPr>
                <w:rFonts w:ascii="Times New Roman" w:hAnsi="Times New Roman" w:cs="Times New Roman"/>
                <w:sz w:val="20"/>
                <w:szCs w:val="20"/>
                <w:lang w:val="es-ES_tradnl"/>
              </w:rPr>
              <w:t>)</w:t>
            </w:r>
            <w:r w:rsidR="00174367" w:rsidRPr="00976BFF">
              <w:rPr>
                <w:rFonts w:ascii="Times New Roman" w:hAnsi="Times New Roman" w:cs="Times New Roman"/>
                <w:sz w:val="20"/>
                <w:szCs w:val="20"/>
                <w:lang w:val="es-ES_tradnl"/>
              </w:rPr>
              <w:t xml:space="preserve"> y la aplicación de las leyes o práctica </w:t>
            </w:r>
            <w:r w:rsidR="00174367" w:rsidRPr="000B5989">
              <w:rPr>
                <w:rFonts w:ascii="Times New Roman" w:hAnsi="Times New Roman" w:cs="Times New Roman"/>
                <w:i/>
                <w:sz w:val="20"/>
                <w:szCs w:val="20"/>
                <w:lang w:val="es-ES_tradnl"/>
              </w:rPr>
              <w:t>de facto</w:t>
            </w:r>
            <w:r w:rsidR="00174367" w:rsidRPr="00976BFF">
              <w:rPr>
                <w:rFonts w:ascii="Times New Roman" w:hAnsi="Times New Roman" w:cs="Times New Roman"/>
                <w:sz w:val="20"/>
                <w:szCs w:val="20"/>
                <w:lang w:val="es-ES_tradnl"/>
              </w:rPr>
              <w:t xml:space="preserve"> que son legales pero no se cumplen totalmente debido a los limitados recursos humanos en un sector muy especializado de un país pequeño (véa</w:t>
            </w:r>
            <w:r w:rsidR="00FF6BF3" w:rsidRPr="00976BFF">
              <w:rPr>
                <w:rFonts w:ascii="Times New Roman" w:hAnsi="Times New Roman" w:cs="Times New Roman"/>
                <w:sz w:val="20"/>
                <w:szCs w:val="20"/>
                <w:lang w:val="es-ES_tradnl"/>
              </w:rPr>
              <w:t>n</w:t>
            </w:r>
            <w:r w:rsidR="00174367" w:rsidRPr="00976BFF">
              <w:rPr>
                <w:rFonts w:ascii="Times New Roman" w:hAnsi="Times New Roman" w:cs="Times New Roman"/>
                <w:sz w:val="20"/>
                <w:szCs w:val="20"/>
                <w:lang w:val="es-ES_tradnl"/>
              </w:rPr>
              <w:t>se también la</w:t>
            </w:r>
            <w:r w:rsidR="00FF6BF3" w:rsidRPr="00976BFF">
              <w:rPr>
                <w:rFonts w:ascii="Times New Roman" w:hAnsi="Times New Roman" w:cs="Times New Roman"/>
                <w:sz w:val="20"/>
                <w:szCs w:val="20"/>
                <w:lang w:val="es-ES_tradnl"/>
              </w:rPr>
              <w:t>s</w:t>
            </w:r>
            <w:r w:rsidR="00174367" w:rsidRPr="00976BFF">
              <w:rPr>
                <w:rFonts w:ascii="Times New Roman" w:hAnsi="Times New Roman" w:cs="Times New Roman"/>
                <w:sz w:val="20"/>
                <w:szCs w:val="20"/>
                <w:lang w:val="es-ES_tradnl"/>
              </w:rPr>
              <w:t xml:space="preserve"> evaluaciones técnica, fiduciaria y ambiental y social).</w:t>
            </w:r>
          </w:p>
        </w:tc>
        <w:tc>
          <w:tcPr>
            <w:tcW w:w="2970" w:type="dxa"/>
          </w:tcPr>
          <w:p w:rsidR="00A764A2" w:rsidRPr="00976BFF" w:rsidRDefault="00CC3DE9" w:rsidP="00CF07C3">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Impartir capacitación sobre las nuevas revisiones del </w:t>
            </w:r>
            <w:r w:rsidR="003E2423" w:rsidRPr="00976BFF">
              <w:rPr>
                <w:rFonts w:ascii="Times New Roman" w:hAnsi="Times New Roman" w:cs="Times New Roman"/>
                <w:sz w:val="20"/>
                <w:szCs w:val="20"/>
                <w:lang w:val="es-ES_tradnl"/>
              </w:rPr>
              <w:t xml:space="preserve">TOCAF, </w:t>
            </w:r>
            <w:r w:rsidRPr="00976BFF">
              <w:rPr>
                <w:rFonts w:ascii="Times New Roman" w:hAnsi="Times New Roman" w:cs="Times New Roman"/>
                <w:sz w:val="20"/>
                <w:szCs w:val="20"/>
                <w:lang w:val="es-ES_tradnl"/>
              </w:rPr>
              <w:t xml:space="preserve">una vez aprobado, y en materia de participación cívica al personal de la DNV en el MTOP que se ocupa de los procesos de adquisiciones para abordar los problemas que podría plantear una aplicación parcial. En oportunidad de la evaluación inicial, el </w:t>
            </w:r>
            <w:r w:rsidR="00CF07C3">
              <w:rPr>
                <w:rFonts w:ascii="Times New Roman" w:hAnsi="Times New Roman" w:cs="Times New Roman"/>
                <w:sz w:val="20"/>
                <w:szCs w:val="20"/>
                <w:lang w:val="es-ES_tradnl"/>
              </w:rPr>
              <w:t>G</w:t>
            </w:r>
            <w:r w:rsidR="00CF07C3" w:rsidRPr="00976BFF">
              <w:rPr>
                <w:rFonts w:ascii="Times New Roman" w:hAnsi="Times New Roman" w:cs="Times New Roman"/>
                <w:sz w:val="20"/>
                <w:szCs w:val="20"/>
                <w:lang w:val="es-ES_tradnl"/>
              </w:rPr>
              <w:t xml:space="preserve">obierno </w:t>
            </w:r>
            <w:r w:rsidRPr="00976BFF">
              <w:rPr>
                <w:rFonts w:ascii="Times New Roman" w:hAnsi="Times New Roman" w:cs="Times New Roman"/>
                <w:sz w:val="20"/>
                <w:szCs w:val="20"/>
                <w:lang w:val="es-ES_tradnl"/>
              </w:rPr>
              <w:t xml:space="preserve">ya había comenzado a divulgar el nuevo </w:t>
            </w:r>
            <w:r w:rsidR="00B95110" w:rsidRPr="00976BFF">
              <w:rPr>
                <w:rFonts w:ascii="Times New Roman" w:hAnsi="Times New Roman" w:cs="Times New Roman"/>
                <w:sz w:val="20"/>
                <w:szCs w:val="20"/>
                <w:lang w:val="es-ES_tradnl"/>
              </w:rPr>
              <w:t>TOCAF.</w:t>
            </w:r>
          </w:p>
        </w:tc>
      </w:tr>
      <w:tr w:rsidR="003E2423" w:rsidRPr="001E1C20">
        <w:tc>
          <w:tcPr>
            <w:tcW w:w="3192" w:type="dxa"/>
          </w:tcPr>
          <w:p w:rsidR="003E2423" w:rsidRPr="00976BFF" w:rsidRDefault="00CC3DE9" w:rsidP="003E2423">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Instituciones pertinentes</w:t>
            </w:r>
          </w:p>
        </w:tc>
        <w:tc>
          <w:tcPr>
            <w:tcW w:w="3936" w:type="dxa"/>
          </w:tcPr>
          <w:p w:rsidR="003E2423" w:rsidRPr="00976BFF" w:rsidRDefault="00C2132E" w:rsidP="00A546A7">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Uruguay cuenta con una sólida combinación de organismos estatales que le permite abordar tanto la prevención como la penalización del fraude y la corrupción, a saber: i) </w:t>
            </w:r>
            <w:r w:rsidR="00FF6BF3" w:rsidRPr="00976BFF">
              <w:rPr>
                <w:rFonts w:ascii="Times New Roman" w:hAnsi="Times New Roman" w:cs="Times New Roman"/>
                <w:sz w:val="20"/>
                <w:szCs w:val="20"/>
                <w:lang w:val="es-ES_tradnl"/>
              </w:rPr>
              <w:t xml:space="preserve">la </w:t>
            </w:r>
            <w:r w:rsidR="003E2423" w:rsidRPr="00976BFF">
              <w:rPr>
                <w:rFonts w:ascii="Times New Roman" w:hAnsi="Times New Roman" w:cs="Times New Roman"/>
                <w:sz w:val="20"/>
                <w:szCs w:val="20"/>
                <w:lang w:val="es-ES_tradnl"/>
              </w:rPr>
              <w:t>Junta de Transparencia</w:t>
            </w:r>
            <w:r w:rsidR="00FF6BF3" w:rsidRPr="00976BFF">
              <w:rPr>
                <w:rFonts w:ascii="Times New Roman" w:hAnsi="Times New Roman" w:cs="Times New Roman"/>
                <w:sz w:val="20"/>
                <w:szCs w:val="20"/>
                <w:lang w:val="es-ES_tradnl"/>
              </w:rPr>
              <w:t xml:space="preserve"> y Ética Pública</w:t>
            </w:r>
            <w:r w:rsidR="003E2423" w:rsidRPr="00976BFF">
              <w:rPr>
                <w:rFonts w:ascii="Times New Roman" w:hAnsi="Times New Roman" w:cs="Times New Roman"/>
                <w:sz w:val="20"/>
                <w:szCs w:val="20"/>
                <w:lang w:val="es-ES_tradnl"/>
              </w:rPr>
              <w:t xml:space="preserve">; ii) </w:t>
            </w:r>
            <w:r w:rsidR="00FF6BF3" w:rsidRPr="00976BFF">
              <w:rPr>
                <w:rFonts w:ascii="Times New Roman" w:hAnsi="Times New Roman" w:cs="Times New Roman"/>
                <w:sz w:val="20"/>
                <w:szCs w:val="20"/>
                <w:lang w:val="es-ES_tradnl"/>
              </w:rPr>
              <w:t xml:space="preserve">el </w:t>
            </w:r>
            <w:r w:rsidR="003E2423" w:rsidRPr="00976BFF">
              <w:rPr>
                <w:rFonts w:ascii="Times New Roman" w:hAnsi="Times New Roman" w:cs="Times New Roman"/>
                <w:sz w:val="20"/>
                <w:szCs w:val="20"/>
                <w:lang w:val="es-ES_tradnl"/>
              </w:rPr>
              <w:t>Tribunal de Cuentas</w:t>
            </w:r>
            <w:r w:rsidR="00FF6BF3" w:rsidRPr="00976BFF">
              <w:rPr>
                <w:rFonts w:ascii="Times New Roman" w:hAnsi="Times New Roman" w:cs="Times New Roman"/>
                <w:sz w:val="20"/>
                <w:szCs w:val="20"/>
                <w:lang w:val="es-ES_tradnl"/>
              </w:rPr>
              <w:t xml:space="preserve"> de la República</w:t>
            </w:r>
            <w:r w:rsidR="003E2423" w:rsidRPr="00976BFF">
              <w:rPr>
                <w:rFonts w:ascii="Times New Roman" w:hAnsi="Times New Roman" w:cs="Times New Roman"/>
                <w:sz w:val="20"/>
                <w:szCs w:val="20"/>
                <w:lang w:val="es-ES_tradnl"/>
              </w:rPr>
              <w:t xml:space="preserve">; iii) </w:t>
            </w:r>
            <w:r w:rsidR="00FF6BF3" w:rsidRPr="00976BFF">
              <w:rPr>
                <w:rFonts w:ascii="Times New Roman" w:hAnsi="Times New Roman" w:cs="Times New Roman"/>
                <w:sz w:val="20"/>
                <w:szCs w:val="20"/>
                <w:lang w:val="es-ES_tradnl"/>
              </w:rPr>
              <w:t xml:space="preserve">el </w:t>
            </w:r>
            <w:r w:rsidR="003E2423" w:rsidRPr="00976BFF">
              <w:rPr>
                <w:rFonts w:ascii="Times New Roman" w:hAnsi="Times New Roman" w:cs="Times New Roman"/>
                <w:sz w:val="20"/>
                <w:szCs w:val="20"/>
                <w:lang w:val="es-ES_tradnl"/>
              </w:rPr>
              <w:t xml:space="preserve">Tribunal </w:t>
            </w:r>
            <w:r w:rsidR="00FF6BF3" w:rsidRPr="00976BFF">
              <w:rPr>
                <w:rFonts w:ascii="Times New Roman" w:hAnsi="Times New Roman" w:cs="Times New Roman"/>
                <w:sz w:val="20"/>
                <w:szCs w:val="20"/>
                <w:lang w:val="es-ES_tradnl"/>
              </w:rPr>
              <w:t xml:space="preserve">de lo </w:t>
            </w:r>
            <w:r w:rsidR="003E2423" w:rsidRPr="00976BFF">
              <w:rPr>
                <w:rFonts w:ascii="Times New Roman" w:hAnsi="Times New Roman" w:cs="Times New Roman"/>
                <w:sz w:val="20"/>
                <w:szCs w:val="20"/>
                <w:lang w:val="es-ES_tradnl"/>
              </w:rPr>
              <w:t xml:space="preserve">Contencioso Administrativo; iv) </w:t>
            </w:r>
            <w:r w:rsidR="00FF6BF3" w:rsidRPr="00976BFF">
              <w:rPr>
                <w:rFonts w:ascii="Times New Roman" w:hAnsi="Times New Roman" w:cs="Times New Roman"/>
                <w:sz w:val="20"/>
                <w:szCs w:val="20"/>
                <w:lang w:val="es-ES_tradnl"/>
              </w:rPr>
              <w:t>el</w:t>
            </w:r>
            <w:r w:rsidR="003E2423" w:rsidRPr="00976BFF">
              <w:rPr>
                <w:rFonts w:ascii="Times New Roman" w:hAnsi="Times New Roman" w:cs="Times New Roman"/>
                <w:sz w:val="20"/>
                <w:szCs w:val="20"/>
                <w:lang w:val="es-ES_tradnl"/>
              </w:rPr>
              <w:t xml:space="preserve"> Ministerio </w:t>
            </w:r>
            <w:r w:rsidR="008C29C8" w:rsidRPr="00976BFF">
              <w:rPr>
                <w:rFonts w:ascii="Times New Roman" w:hAnsi="Times New Roman" w:cs="Times New Roman"/>
                <w:sz w:val="20"/>
                <w:szCs w:val="20"/>
                <w:lang w:val="es-ES_tradnl"/>
              </w:rPr>
              <w:t>P</w:t>
            </w:r>
            <w:r w:rsidR="008C29C8">
              <w:rPr>
                <w:rFonts w:ascii="Times New Roman" w:hAnsi="Times New Roman" w:cs="Times New Roman"/>
                <w:sz w:val="20"/>
                <w:szCs w:val="20"/>
                <w:lang w:val="es-ES_tradnl"/>
              </w:rPr>
              <w:t>ú</w:t>
            </w:r>
            <w:r w:rsidR="008C29C8" w:rsidRPr="00976BFF">
              <w:rPr>
                <w:rFonts w:ascii="Times New Roman" w:hAnsi="Times New Roman" w:cs="Times New Roman"/>
                <w:sz w:val="20"/>
                <w:szCs w:val="20"/>
                <w:lang w:val="es-ES_tradnl"/>
              </w:rPr>
              <w:t xml:space="preserve">blico </w:t>
            </w:r>
            <w:r w:rsidR="00FF6BF3" w:rsidRPr="00976BFF">
              <w:rPr>
                <w:rFonts w:ascii="Times New Roman" w:hAnsi="Times New Roman" w:cs="Times New Roman"/>
                <w:sz w:val="20"/>
                <w:szCs w:val="20"/>
                <w:lang w:val="es-ES_tradnl"/>
              </w:rPr>
              <w:t>y Fiscal</w:t>
            </w:r>
            <w:r w:rsidR="003E2423" w:rsidRPr="00976BFF">
              <w:rPr>
                <w:rFonts w:ascii="Times New Roman" w:hAnsi="Times New Roman" w:cs="Times New Roman"/>
                <w:sz w:val="20"/>
                <w:szCs w:val="20"/>
                <w:lang w:val="es-ES_tradnl"/>
              </w:rPr>
              <w:t xml:space="preserve">; v) </w:t>
            </w:r>
            <w:r w:rsidR="00FF6BF3" w:rsidRPr="00976BFF">
              <w:rPr>
                <w:rFonts w:ascii="Times New Roman" w:hAnsi="Times New Roman" w:cs="Times New Roman"/>
                <w:sz w:val="20"/>
                <w:szCs w:val="20"/>
                <w:lang w:val="es-ES_tradnl"/>
              </w:rPr>
              <w:t xml:space="preserve">el </w:t>
            </w:r>
            <w:r w:rsidR="003E2423" w:rsidRPr="00976BFF">
              <w:rPr>
                <w:rFonts w:ascii="Times New Roman" w:hAnsi="Times New Roman" w:cs="Times New Roman"/>
                <w:sz w:val="20"/>
                <w:szCs w:val="20"/>
                <w:lang w:val="es-ES_tradnl"/>
              </w:rPr>
              <w:t xml:space="preserve">Poder Judicial; vi) </w:t>
            </w:r>
            <w:r w:rsidR="00FF6BF3" w:rsidRPr="00976BFF">
              <w:rPr>
                <w:rFonts w:ascii="Times New Roman" w:hAnsi="Times New Roman" w:cs="Times New Roman"/>
                <w:sz w:val="20"/>
                <w:szCs w:val="20"/>
                <w:lang w:val="es-ES_tradnl"/>
              </w:rPr>
              <w:t>la Agencia para el Desarrollo del Gobierno de Gestión Electrónica y la Sociedad de la Información y del Conocimiento</w:t>
            </w:r>
            <w:r w:rsidR="00A546A7">
              <w:rPr>
                <w:rFonts w:ascii="Times New Roman" w:hAnsi="Times New Roman" w:cs="Times New Roman"/>
                <w:sz w:val="20"/>
                <w:szCs w:val="20"/>
                <w:lang w:val="es-ES_tradnl"/>
              </w:rPr>
              <w:t>,</w:t>
            </w:r>
            <w:r w:rsidR="003E2423" w:rsidRPr="00976BFF">
              <w:rPr>
                <w:rFonts w:ascii="Times New Roman" w:hAnsi="Times New Roman" w:cs="Times New Roman"/>
                <w:sz w:val="20"/>
                <w:szCs w:val="20"/>
                <w:lang w:val="es-ES_tradnl"/>
              </w:rPr>
              <w:t xml:space="preserve"> </w:t>
            </w:r>
            <w:r w:rsidRPr="00976BFF">
              <w:rPr>
                <w:rFonts w:ascii="Times New Roman" w:hAnsi="Times New Roman" w:cs="Times New Roman"/>
                <w:sz w:val="20"/>
                <w:szCs w:val="20"/>
                <w:lang w:val="es-ES_tradnl"/>
              </w:rPr>
              <w:t>y</w:t>
            </w:r>
            <w:r w:rsidR="003E2423" w:rsidRPr="00976BFF">
              <w:rPr>
                <w:rFonts w:ascii="Times New Roman" w:hAnsi="Times New Roman" w:cs="Times New Roman"/>
                <w:sz w:val="20"/>
                <w:szCs w:val="20"/>
                <w:lang w:val="es-ES_tradnl"/>
              </w:rPr>
              <w:t xml:space="preserve"> vii)</w:t>
            </w:r>
            <w:r w:rsidR="00FF6BF3" w:rsidRPr="00976BFF">
              <w:rPr>
                <w:rFonts w:ascii="Times New Roman" w:hAnsi="Times New Roman" w:cs="Times New Roman"/>
                <w:sz w:val="20"/>
                <w:szCs w:val="20"/>
                <w:lang w:val="es-ES_tradnl"/>
              </w:rPr>
              <w:t xml:space="preserve"> la</w:t>
            </w:r>
            <w:r w:rsidR="003E2423" w:rsidRPr="00976BFF">
              <w:rPr>
                <w:rFonts w:ascii="Times New Roman" w:hAnsi="Times New Roman" w:cs="Times New Roman"/>
                <w:sz w:val="20"/>
                <w:szCs w:val="20"/>
                <w:lang w:val="es-ES_tradnl"/>
              </w:rPr>
              <w:t xml:space="preserve"> </w:t>
            </w:r>
            <w:r w:rsidR="009914EF" w:rsidRPr="00976BFF">
              <w:rPr>
                <w:rFonts w:ascii="Times New Roman" w:hAnsi="Times New Roman" w:cs="Times New Roman"/>
                <w:sz w:val="20"/>
                <w:szCs w:val="20"/>
                <w:lang w:val="es-ES_tradnl"/>
              </w:rPr>
              <w:t>Contaduría</w:t>
            </w:r>
            <w:r w:rsidR="003E2423" w:rsidRPr="00976BFF">
              <w:rPr>
                <w:rFonts w:ascii="Times New Roman" w:hAnsi="Times New Roman" w:cs="Times New Roman"/>
                <w:sz w:val="20"/>
                <w:szCs w:val="20"/>
                <w:lang w:val="es-ES_tradnl"/>
              </w:rPr>
              <w:t xml:space="preserve"> General de la Nación. </w:t>
            </w:r>
            <w:r w:rsidRPr="00976BFF">
              <w:rPr>
                <w:rFonts w:ascii="Times New Roman" w:hAnsi="Times New Roman" w:cs="Times New Roman"/>
                <w:sz w:val="20"/>
                <w:szCs w:val="20"/>
                <w:lang w:val="es-ES_tradnl"/>
              </w:rPr>
              <w:t>Véa</w:t>
            </w:r>
            <w:r w:rsidR="00FF6BF3" w:rsidRPr="00976BFF">
              <w:rPr>
                <w:rFonts w:ascii="Times New Roman" w:hAnsi="Times New Roman" w:cs="Times New Roman"/>
                <w:sz w:val="20"/>
                <w:szCs w:val="20"/>
                <w:lang w:val="es-ES_tradnl"/>
              </w:rPr>
              <w:t>n</w:t>
            </w:r>
            <w:r w:rsidRPr="00976BFF">
              <w:rPr>
                <w:rFonts w:ascii="Times New Roman" w:hAnsi="Times New Roman" w:cs="Times New Roman"/>
                <w:sz w:val="20"/>
                <w:szCs w:val="20"/>
                <w:lang w:val="es-ES_tradnl"/>
              </w:rPr>
              <w:t>se también la</w:t>
            </w:r>
            <w:r w:rsidR="00FF6BF3" w:rsidRPr="00976BFF">
              <w:rPr>
                <w:rFonts w:ascii="Times New Roman" w:hAnsi="Times New Roman" w:cs="Times New Roman"/>
                <w:sz w:val="20"/>
                <w:szCs w:val="20"/>
                <w:lang w:val="es-ES_tradnl"/>
              </w:rPr>
              <w:t>s</w:t>
            </w:r>
            <w:r w:rsidRPr="00976BFF">
              <w:rPr>
                <w:rFonts w:ascii="Times New Roman" w:hAnsi="Times New Roman" w:cs="Times New Roman"/>
                <w:sz w:val="20"/>
                <w:szCs w:val="20"/>
                <w:lang w:val="es-ES_tradnl"/>
              </w:rPr>
              <w:t xml:space="preserve"> evaluaciones técnica, fiduciaria y ambiental y social</w:t>
            </w:r>
            <w:r w:rsidR="003E2423" w:rsidRPr="00976BFF">
              <w:rPr>
                <w:rFonts w:ascii="Times New Roman" w:hAnsi="Times New Roman" w:cs="Times New Roman"/>
                <w:sz w:val="20"/>
                <w:szCs w:val="20"/>
                <w:lang w:val="es-ES_tradnl"/>
              </w:rPr>
              <w:t>.</w:t>
            </w:r>
          </w:p>
        </w:tc>
        <w:tc>
          <w:tcPr>
            <w:tcW w:w="2970" w:type="dxa"/>
          </w:tcPr>
          <w:p w:rsidR="003E2423" w:rsidRPr="00976BFF" w:rsidRDefault="003E2423" w:rsidP="0010130E">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No </w:t>
            </w:r>
            <w:r w:rsidR="00D06BF3" w:rsidRPr="00976BFF">
              <w:rPr>
                <w:rFonts w:ascii="Times New Roman" w:hAnsi="Times New Roman" w:cs="Times New Roman"/>
                <w:sz w:val="20"/>
                <w:szCs w:val="20"/>
                <w:lang w:val="es-ES_tradnl"/>
              </w:rPr>
              <w:t xml:space="preserve">se requieren medidas pues las instituciones funcionan adecuadamente en forma individual y coordinan las actividades entre ellas como parte del sistema nacional de lucha contra la corrupción. En Uruguay existe un profundo respeto por el imperio de la ley. La coordinación, tanto formal como informal, </w:t>
            </w:r>
            <w:r w:rsidR="0010130E" w:rsidRPr="00976BFF">
              <w:rPr>
                <w:rFonts w:ascii="Times New Roman" w:hAnsi="Times New Roman" w:cs="Times New Roman"/>
                <w:sz w:val="20"/>
                <w:szCs w:val="20"/>
                <w:lang w:val="es-ES_tradnl"/>
              </w:rPr>
              <w:t>se concreta a través de investigaciones conjuntas y actividades de seguimiento, al tiempo que cada una de estas instituciones tiene en cuenta el mandato de las otras</w:t>
            </w:r>
            <w:r w:rsidRPr="00976BFF">
              <w:rPr>
                <w:rFonts w:ascii="Times New Roman" w:hAnsi="Times New Roman" w:cs="Times New Roman"/>
                <w:sz w:val="20"/>
                <w:szCs w:val="20"/>
                <w:lang w:val="es-ES_tradnl"/>
              </w:rPr>
              <w:t xml:space="preserve">. </w:t>
            </w:r>
          </w:p>
        </w:tc>
      </w:tr>
      <w:tr w:rsidR="003E2423" w:rsidRPr="001E1C20">
        <w:tc>
          <w:tcPr>
            <w:tcW w:w="3192" w:type="dxa"/>
          </w:tcPr>
          <w:p w:rsidR="003E2423" w:rsidRPr="00976BFF" w:rsidRDefault="002F11B2" w:rsidP="006B1578">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Mecanismos de quejas / reclamaci</w:t>
            </w:r>
            <w:r w:rsidR="006B1578">
              <w:rPr>
                <w:rFonts w:ascii="Times New Roman" w:hAnsi="Times New Roman" w:cs="Times New Roman"/>
                <w:sz w:val="20"/>
                <w:szCs w:val="20"/>
                <w:lang w:val="es-ES_tradnl"/>
              </w:rPr>
              <w:t>ón</w:t>
            </w:r>
          </w:p>
        </w:tc>
        <w:tc>
          <w:tcPr>
            <w:tcW w:w="3936" w:type="dxa"/>
          </w:tcPr>
          <w:p w:rsidR="003E2423" w:rsidRPr="00976BFF" w:rsidRDefault="00025493" w:rsidP="00B04856">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El MTOP cuenta actualmente con un sistema informal que permite a ciudadanos y empresas presentar sus quejas. El sistema no es electrónico ni </w:t>
            </w:r>
            <w:r w:rsidR="00C20D73" w:rsidRPr="00976BFF">
              <w:rPr>
                <w:rFonts w:ascii="Times New Roman" w:hAnsi="Times New Roman" w:cs="Times New Roman"/>
                <w:sz w:val="20"/>
                <w:szCs w:val="20"/>
                <w:lang w:val="es-ES_tradnl"/>
              </w:rPr>
              <w:t xml:space="preserve">está dividido en categorías. Existe poca información sobre el tipo y número de las </w:t>
            </w:r>
            <w:r w:rsidR="008C27AC" w:rsidRPr="00976BFF">
              <w:rPr>
                <w:rFonts w:ascii="Times New Roman" w:hAnsi="Times New Roman" w:cs="Times New Roman"/>
                <w:sz w:val="20"/>
                <w:szCs w:val="20"/>
                <w:lang w:val="es-ES_tradnl"/>
              </w:rPr>
              <w:t xml:space="preserve">reclamaciones y el </w:t>
            </w:r>
            <w:r w:rsidR="003E2423" w:rsidRPr="00976BFF">
              <w:rPr>
                <w:rFonts w:ascii="Times New Roman" w:hAnsi="Times New Roman" w:cs="Times New Roman"/>
                <w:sz w:val="20"/>
                <w:szCs w:val="20"/>
                <w:lang w:val="es-ES_tradnl"/>
              </w:rPr>
              <w:t>MTOP</w:t>
            </w:r>
            <w:r w:rsidR="008C27AC" w:rsidRPr="00976BFF">
              <w:rPr>
                <w:rFonts w:ascii="Times New Roman" w:hAnsi="Times New Roman" w:cs="Times New Roman"/>
                <w:sz w:val="20"/>
                <w:szCs w:val="20"/>
                <w:lang w:val="es-ES_tradnl"/>
              </w:rPr>
              <w:t xml:space="preserve"> </w:t>
            </w:r>
            <w:r w:rsidR="00B04856">
              <w:rPr>
                <w:rFonts w:ascii="Times New Roman" w:hAnsi="Times New Roman" w:cs="Times New Roman"/>
                <w:sz w:val="20"/>
                <w:szCs w:val="20"/>
                <w:lang w:val="es-ES_tradnl"/>
              </w:rPr>
              <w:t>no suele utilizar</w:t>
            </w:r>
            <w:r w:rsidR="008C27AC" w:rsidRPr="00976BFF">
              <w:rPr>
                <w:rFonts w:ascii="Times New Roman" w:hAnsi="Times New Roman" w:cs="Times New Roman"/>
                <w:sz w:val="20"/>
                <w:szCs w:val="20"/>
                <w:lang w:val="es-ES_tradnl"/>
              </w:rPr>
              <w:t xml:space="preserve"> estos datos para abordar posibles deficiencias institucionales</w:t>
            </w:r>
            <w:r w:rsidR="003E2423" w:rsidRPr="00976BFF">
              <w:rPr>
                <w:rFonts w:ascii="Times New Roman" w:hAnsi="Times New Roman" w:cs="Times New Roman"/>
                <w:sz w:val="20"/>
                <w:szCs w:val="20"/>
                <w:lang w:val="es-ES_tradnl"/>
              </w:rPr>
              <w:t>.</w:t>
            </w:r>
          </w:p>
        </w:tc>
        <w:tc>
          <w:tcPr>
            <w:tcW w:w="2970" w:type="dxa"/>
          </w:tcPr>
          <w:p w:rsidR="003E2423" w:rsidRPr="00976BFF" w:rsidRDefault="008C27AC" w:rsidP="00A546A7">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Fortalecimiento de los mecanismos de </w:t>
            </w:r>
            <w:r w:rsidR="001D22F8" w:rsidRPr="00976BFF">
              <w:rPr>
                <w:rFonts w:ascii="Times New Roman" w:hAnsi="Times New Roman" w:cs="Times New Roman"/>
                <w:sz w:val="20"/>
                <w:szCs w:val="20"/>
                <w:lang w:val="es-ES_tradnl"/>
              </w:rPr>
              <w:t>reclamación</w:t>
            </w:r>
            <w:r w:rsidRPr="00976BFF">
              <w:rPr>
                <w:rFonts w:ascii="Times New Roman" w:hAnsi="Times New Roman" w:cs="Times New Roman"/>
                <w:sz w:val="20"/>
                <w:szCs w:val="20"/>
                <w:lang w:val="es-ES_tradnl"/>
              </w:rPr>
              <w:t xml:space="preserve"> mediante la incorporación de un sistema informatizado público de recla</w:t>
            </w:r>
            <w:r w:rsidR="001C47AE">
              <w:rPr>
                <w:rFonts w:ascii="Times New Roman" w:hAnsi="Times New Roman" w:cs="Times New Roman"/>
                <w:sz w:val="20"/>
                <w:szCs w:val="20"/>
                <w:lang w:val="es-ES_tradnl"/>
              </w:rPr>
              <w:t xml:space="preserve">maciones que permita gestionar </w:t>
            </w:r>
            <w:r w:rsidRPr="00976BFF">
              <w:rPr>
                <w:rFonts w:ascii="Times New Roman" w:hAnsi="Times New Roman" w:cs="Times New Roman"/>
                <w:sz w:val="20"/>
                <w:szCs w:val="20"/>
                <w:lang w:val="es-ES_tradnl"/>
              </w:rPr>
              <w:t>mejor y dar una respuesta más adecuada a las reclamaciones y realizar un seguimiento de las incidencias, inclu</w:t>
            </w:r>
            <w:r w:rsidR="00A546A7">
              <w:rPr>
                <w:rFonts w:ascii="Times New Roman" w:hAnsi="Times New Roman" w:cs="Times New Roman"/>
                <w:sz w:val="20"/>
                <w:szCs w:val="20"/>
                <w:lang w:val="es-ES_tradnl"/>
              </w:rPr>
              <w:t xml:space="preserve">idas </w:t>
            </w:r>
            <w:r w:rsidRPr="00976BFF">
              <w:rPr>
                <w:rFonts w:ascii="Times New Roman" w:hAnsi="Times New Roman" w:cs="Times New Roman"/>
                <w:sz w:val="20"/>
                <w:szCs w:val="20"/>
                <w:lang w:val="es-ES_tradnl"/>
              </w:rPr>
              <w:t xml:space="preserve">medidas de seguimiento </w:t>
            </w:r>
            <w:r w:rsidR="00250488" w:rsidRPr="00976BFF">
              <w:rPr>
                <w:rFonts w:ascii="Times New Roman" w:hAnsi="Times New Roman" w:cs="Times New Roman"/>
                <w:sz w:val="20"/>
                <w:szCs w:val="20"/>
                <w:lang w:val="es-ES_tradnl"/>
              </w:rPr>
              <w:t xml:space="preserve">a través de la creación de una base de datos con estadísticas. Esta actividad se ha incluido en 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w:t>
            </w:r>
            <w:r w:rsidR="008A1019" w:rsidRPr="00976BFF">
              <w:rPr>
                <w:rFonts w:ascii="Times New Roman" w:hAnsi="Times New Roman" w:cs="Times New Roman"/>
                <w:sz w:val="20"/>
                <w:szCs w:val="20"/>
                <w:lang w:val="es-ES_tradnl"/>
              </w:rPr>
              <w:t>rograma</w:t>
            </w:r>
            <w:r w:rsidR="00334534" w:rsidRPr="00976BFF">
              <w:rPr>
                <w:rFonts w:ascii="Times New Roman" w:hAnsi="Times New Roman" w:cs="Times New Roman"/>
                <w:sz w:val="20"/>
                <w:szCs w:val="20"/>
                <w:lang w:val="es-ES_tradnl"/>
              </w:rPr>
              <w:t>.</w:t>
            </w:r>
          </w:p>
        </w:tc>
      </w:tr>
      <w:tr w:rsidR="003E2423" w:rsidRPr="00976BFF">
        <w:tc>
          <w:tcPr>
            <w:tcW w:w="3192" w:type="dxa"/>
          </w:tcPr>
          <w:p w:rsidR="003E2423" w:rsidRPr="00976BFF" w:rsidRDefault="00250488" w:rsidP="00250488">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Denuncias de fraude y corrupción</w:t>
            </w:r>
          </w:p>
        </w:tc>
        <w:tc>
          <w:tcPr>
            <w:tcW w:w="3936" w:type="dxa"/>
          </w:tcPr>
          <w:p w:rsidR="003E2423" w:rsidRPr="00976BFF" w:rsidRDefault="00250488" w:rsidP="00A546A7">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El país cuenta con un sistema que permite a ciudadanos y empresas denunciar los casos de fraude y corrupción. </w:t>
            </w:r>
            <w:r w:rsidR="00A423CB" w:rsidRPr="00976BFF">
              <w:rPr>
                <w:rFonts w:ascii="Times New Roman" w:hAnsi="Times New Roman" w:cs="Times New Roman"/>
                <w:sz w:val="20"/>
                <w:szCs w:val="20"/>
                <w:lang w:val="es-ES_tradnl"/>
              </w:rPr>
              <w:t>L</w:t>
            </w:r>
            <w:r w:rsidRPr="00976BFF">
              <w:rPr>
                <w:rFonts w:ascii="Times New Roman" w:hAnsi="Times New Roman" w:cs="Times New Roman"/>
                <w:sz w:val="20"/>
                <w:szCs w:val="20"/>
                <w:lang w:val="es-ES_tradnl"/>
              </w:rPr>
              <w:t>a</w:t>
            </w:r>
            <w:r w:rsidR="00A423CB" w:rsidRPr="00976BFF">
              <w:rPr>
                <w:rFonts w:ascii="Times New Roman" w:hAnsi="Times New Roman" w:cs="Times New Roman"/>
                <w:sz w:val="20"/>
                <w:szCs w:val="20"/>
                <w:lang w:val="es-ES_tradnl"/>
              </w:rPr>
              <w:t>s</w:t>
            </w:r>
            <w:r w:rsidRPr="00976BFF">
              <w:rPr>
                <w:rFonts w:ascii="Times New Roman" w:hAnsi="Times New Roman" w:cs="Times New Roman"/>
                <w:sz w:val="20"/>
                <w:szCs w:val="20"/>
                <w:lang w:val="es-ES_tradnl"/>
              </w:rPr>
              <w:t xml:space="preserve"> denuncias se pueden presentar </w:t>
            </w:r>
            <w:r w:rsidR="00A423CB" w:rsidRPr="00976BFF">
              <w:rPr>
                <w:rFonts w:ascii="Times New Roman" w:hAnsi="Times New Roman" w:cs="Times New Roman"/>
                <w:sz w:val="20"/>
                <w:szCs w:val="20"/>
                <w:lang w:val="es-ES_tradnl"/>
              </w:rPr>
              <w:t xml:space="preserve">al MTOP o </w:t>
            </w:r>
            <w:r w:rsidRPr="00976BFF">
              <w:rPr>
                <w:rFonts w:ascii="Times New Roman" w:hAnsi="Times New Roman" w:cs="Times New Roman"/>
                <w:sz w:val="20"/>
                <w:szCs w:val="20"/>
                <w:lang w:val="es-ES_tradnl"/>
              </w:rPr>
              <w:t xml:space="preserve">directamente ante el </w:t>
            </w:r>
            <w:r w:rsidR="00A546A7">
              <w:rPr>
                <w:rFonts w:ascii="Times New Roman" w:hAnsi="Times New Roman" w:cs="Times New Roman"/>
                <w:sz w:val="20"/>
                <w:szCs w:val="20"/>
                <w:lang w:val="es-ES_tradnl"/>
              </w:rPr>
              <w:t>P</w:t>
            </w:r>
            <w:r w:rsidR="00A546A7" w:rsidRPr="00976BFF">
              <w:rPr>
                <w:rFonts w:ascii="Times New Roman" w:hAnsi="Times New Roman" w:cs="Times New Roman"/>
                <w:sz w:val="20"/>
                <w:szCs w:val="20"/>
                <w:lang w:val="es-ES_tradnl"/>
              </w:rPr>
              <w:t xml:space="preserve">oder </w:t>
            </w:r>
            <w:r w:rsidR="00A546A7">
              <w:rPr>
                <w:rFonts w:ascii="Times New Roman" w:hAnsi="Times New Roman" w:cs="Times New Roman"/>
                <w:sz w:val="20"/>
                <w:szCs w:val="20"/>
                <w:lang w:val="es-ES_tradnl"/>
              </w:rPr>
              <w:t>J</w:t>
            </w:r>
            <w:r w:rsidR="00A546A7" w:rsidRPr="00976BFF">
              <w:rPr>
                <w:rFonts w:ascii="Times New Roman" w:hAnsi="Times New Roman" w:cs="Times New Roman"/>
                <w:sz w:val="20"/>
                <w:szCs w:val="20"/>
                <w:lang w:val="es-ES_tradnl"/>
              </w:rPr>
              <w:t>udicial</w:t>
            </w:r>
            <w:r w:rsidRPr="00976BFF">
              <w:rPr>
                <w:rFonts w:ascii="Times New Roman" w:hAnsi="Times New Roman" w:cs="Times New Roman"/>
                <w:sz w:val="20"/>
                <w:szCs w:val="20"/>
                <w:lang w:val="es-ES_tradnl"/>
              </w:rPr>
              <w:t>, que inicia las investigaciones y tiene un fuero especializado para casos de fraude y corrupción</w:t>
            </w:r>
            <w:r w:rsidR="00A423CB" w:rsidRPr="00976BFF">
              <w:rPr>
                <w:rFonts w:ascii="Times New Roman" w:hAnsi="Times New Roman" w:cs="Times New Roman"/>
                <w:sz w:val="20"/>
                <w:szCs w:val="20"/>
                <w:lang w:val="es-ES_tradnl"/>
              </w:rPr>
              <w:t>, incluidos los casos de crimen organizado.</w:t>
            </w:r>
            <w:r w:rsidRPr="00976BFF">
              <w:rPr>
                <w:rFonts w:ascii="Times New Roman" w:hAnsi="Times New Roman" w:cs="Times New Roman"/>
                <w:sz w:val="20"/>
                <w:szCs w:val="20"/>
                <w:lang w:val="es-ES_tradnl"/>
              </w:rPr>
              <w:t xml:space="preserve"> </w:t>
            </w:r>
            <w:r w:rsidR="004A26E3" w:rsidRPr="00976BFF">
              <w:rPr>
                <w:rFonts w:ascii="Times New Roman" w:hAnsi="Times New Roman" w:cs="Times New Roman"/>
                <w:sz w:val="20"/>
                <w:szCs w:val="20"/>
                <w:lang w:val="es-ES_tradnl"/>
              </w:rPr>
              <w:t>El sistema parece eficaz y funciona ade</w:t>
            </w:r>
            <w:r w:rsidR="001C47AE">
              <w:rPr>
                <w:rFonts w:ascii="Times New Roman" w:hAnsi="Times New Roman" w:cs="Times New Roman"/>
                <w:sz w:val="20"/>
                <w:szCs w:val="20"/>
                <w:lang w:val="es-ES_tradnl"/>
              </w:rPr>
              <w:t xml:space="preserve">cuadamente. </w:t>
            </w:r>
          </w:p>
        </w:tc>
        <w:tc>
          <w:tcPr>
            <w:tcW w:w="2970" w:type="dxa"/>
          </w:tcPr>
          <w:p w:rsidR="003E2423" w:rsidRPr="00976BFF" w:rsidRDefault="003E2423" w:rsidP="00A423CB">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No </w:t>
            </w:r>
            <w:r w:rsidR="00A423CB" w:rsidRPr="00976BFF">
              <w:rPr>
                <w:rFonts w:ascii="Times New Roman" w:hAnsi="Times New Roman" w:cs="Times New Roman"/>
                <w:sz w:val="20"/>
                <w:szCs w:val="20"/>
                <w:lang w:val="es-ES_tradnl"/>
              </w:rPr>
              <w:t>se proponen medidas</w:t>
            </w:r>
            <w:r w:rsidRPr="00976BFF">
              <w:rPr>
                <w:rFonts w:ascii="Times New Roman" w:hAnsi="Times New Roman" w:cs="Times New Roman"/>
                <w:sz w:val="20"/>
                <w:szCs w:val="20"/>
                <w:lang w:val="es-ES_tradnl"/>
              </w:rPr>
              <w:t>.</w:t>
            </w:r>
          </w:p>
        </w:tc>
      </w:tr>
      <w:tr w:rsidR="003E2423" w:rsidRPr="001E1C20">
        <w:tc>
          <w:tcPr>
            <w:tcW w:w="3192" w:type="dxa"/>
          </w:tcPr>
          <w:p w:rsidR="003E2423" w:rsidRPr="00976BFF" w:rsidRDefault="00E854A2" w:rsidP="003E2423">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Inhabilitación</w:t>
            </w:r>
          </w:p>
        </w:tc>
        <w:tc>
          <w:tcPr>
            <w:tcW w:w="3936" w:type="dxa"/>
          </w:tcPr>
          <w:p w:rsidR="003E2423" w:rsidRPr="00976BFF" w:rsidRDefault="00E854A2" w:rsidP="00A546A7">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Las empresas y personas físicas que </w:t>
            </w:r>
            <w:r w:rsidR="00D96467" w:rsidRPr="00976BFF">
              <w:rPr>
                <w:rFonts w:ascii="Times New Roman" w:hAnsi="Times New Roman" w:cs="Times New Roman"/>
                <w:sz w:val="20"/>
                <w:szCs w:val="20"/>
                <w:lang w:val="es-ES_tradnl"/>
              </w:rPr>
              <w:t xml:space="preserve">trabajan con el Gobierno de Uruguay deben inscribirse en </w:t>
            </w:r>
            <w:r w:rsidR="00A546A7">
              <w:rPr>
                <w:rFonts w:ascii="Times New Roman" w:hAnsi="Times New Roman" w:cs="Times New Roman"/>
                <w:sz w:val="20"/>
                <w:szCs w:val="20"/>
                <w:lang w:val="es-ES_tradnl"/>
              </w:rPr>
              <w:t>un</w:t>
            </w:r>
            <w:r w:rsidR="00A546A7" w:rsidRPr="00976BFF">
              <w:rPr>
                <w:rFonts w:ascii="Times New Roman" w:hAnsi="Times New Roman" w:cs="Times New Roman"/>
                <w:sz w:val="20"/>
                <w:szCs w:val="20"/>
                <w:lang w:val="es-ES_tradnl"/>
              </w:rPr>
              <w:t xml:space="preserve"> </w:t>
            </w:r>
            <w:r w:rsidR="00A546A7">
              <w:rPr>
                <w:rFonts w:ascii="Times New Roman" w:hAnsi="Times New Roman" w:cs="Times New Roman"/>
                <w:sz w:val="20"/>
                <w:szCs w:val="20"/>
                <w:lang w:val="es-ES_tradnl"/>
              </w:rPr>
              <w:t>r</w:t>
            </w:r>
            <w:r w:rsidR="00A546A7" w:rsidRPr="00976BFF">
              <w:rPr>
                <w:rFonts w:ascii="Times New Roman" w:hAnsi="Times New Roman" w:cs="Times New Roman"/>
                <w:sz w:val="20"/>
                <w:szCs w:val="20"/>
                <w:lang w:val="es-ES_tradnl"/>
              </w:rPr>
              <w:t xml:space="preserve">egistro </w:t>
            </w:r>
            <w:r w:rsidR="00A546A7">
              <w:rPr>
                <w:rFonts w:ascii="Times New Roman" w:hAnsi="Times New Roman" w:cs="Times New Roman"/>
                <w:sz w:val="20"/>
                <w:szCs w:val="20"/>
                <w:lang w:val="es-ES_tradnl"/>
              </w:rPr>
              <w:t>n</w:t>
            </w:r>
            <w:r w:rsidR="00A546A7" w:rsidRPr="00976BFF">
              <w:rPr>
                <w:rFonts w:ascii="Times New Roman" w:hAnsi="Times New Roman" w:cs="Times New Roman"/>
                <w:sz w:val="20"/>
                <w:szCs w:val="20"/>
                <w:lang w:val="es-ES_tradnl"/>
              </w:rPr>
              <w:t>acional</w:t>
            </w:r>
            <w:r w:rsidR="00D96467" w:rsidRPr="00976BFF">
              <w:rPr>
                <w:rFonts w:ascii="Times New Roman" w:hAnsi="Times New Roman" w:cs="Times New Roman"/>
                <w:sz w:val="20"/>
                <w:szCs w:val="20"/>
                <w:lang w:val="es-ES_tradnl"/>
              </w:rPr>
              <w:t xml:space="preserve">. Toda sanción por actos de fraude y corrupción o conductas ilícitas conexas da lugar a que la empresa o persona física sea eliminada del </w:t>
            </w:r>
            <w:r w:rsidR="00A546A7">
              <w:rPr>
                <w:rFonts w:ascii="Times New Roman" w:hAnsi="Times New Roman" w:cs="Times New Roman"/>
                <w:sz w:val="20"/>
                <w:szCs w:val="20"/>
                <w:lang w:val="es-ES_tradnl"/>
              </w:rPr>
              <w:t>r</w:t>
            </w:r>
            <w:r w:rsidR="00A546A7" w:rsidRPr="00976BFF">
              <w:rPr>
                <w:rFonts w:ascii="Times New Roman" w:hAnsi="Times New Roman" w:cs="Times New Roman"/>
                <w:sz w:val="20"/>
                <w:szCs w:val="20"/>
                <w:lang w:val="es-ES_tradnl"/>
              </w:rPr>
              <w:t xml:space="preserve">egistro </w:t>
            </w:r>
            <w:r w:rsidR="00D96467" w:rsidRPr="00976BFF">
              <w:rPr>
                <w:rFonts w:ascii="Times New Roman" w:hAnsi="Times New Roman" w:cs="Times New Roman"/>
                <w:sz w:val="20"/>
                <w:szCs w:val="20"/>
                <w:lang w:val="es-ES_tradnl"/>
              </w:rPr>
              <w:t xml:space="preserve">y quede inhabilitada, a nivel nacional, para trabajar con el Gobierno. El Gobierno también ha creado un </w:t>
            </w:r>
            <w:r w:rsidR="00A546A7">
              <w:rPr>
                <w:rFonts w:ascii="Times New Roman" w:hAnsi="Times New Roman" w:cs="Times New Roman"/>
                <w:sz w:val="20"/>
                <w:szCs w:val="20"/>
                <w:lang w:val="es-ES_tradnl"/>
              </w:rPr>
              <w:t>r</w:t>
            </w:r>
            <w:r w:rsidR="00A546A7" w:rsidRPr="00976BFF">
              <w:rPr>
                <w:rFonts w:ascii="Times New Roman" w:hAnsi="Times New Roman" w:cs="Times New Roman"/>
                <w:sz w:val="20"/>
                <w:szCs w:val="20"/>
                <w:lang w:val="es-ES_tradnl"/>
              </w:rPr>
              <w:t xml:space="preserve">egistro </w:t>
            </w:r>
            <w:r w:rsidR="00D96467" w:rsidRPr="00976BFF">
              <w:rPr>
                <w:rFonts w:ascii="Times New Roman" w:hAnsi="Times New Roman" w:cs="Times New Roman"/>
                <w:sz w:val="20"/>
                <w:szCs w:val="20"/>
                <w:lang w:val="es-ES_tradnl"/>
              </w:rPr>
              <w:t xml:space="preserve">de </w:t>
            </w:r>
            <w:r w:rsidR="00A546A7">
              <w:rPr>
                <w:rFonts w:ascii="Times New Roman" w:hAnsi="Times New Roman" w:cs="Times New Roman"/>
                <w:sz w:val="20"/>
                <w:szCs w:val="20"/>
                <w:lang w:val="es-ES_tradnl"/>
              </w:rPr>
              <w:t>i</w:t>
            </w:r>
            <w:r w:rsidR="00A546A7" w:rsidRPr="00976BFF">
              <w:rPr>
                <w:rFonts w:ascii="Times New Roman" w:hAnsi="Times New Roman" w:cs="Times New Roman"/>
                <w:sz w:val="20"/>
                <w:szCs w:val="20"/>
                <w:lang w:val="es-ES_tradnl"/>
              </w:rPr>
              <w:t>ncumplimientos</w:t>
            </w:r>
            <w:r w:rsidR="00D96467" w:rsidRPr="00976BFF">
              <w:rPr>
                <w:rFonts w:ascii="Times New Roman" w:hAnsi="Times New Roman" w:cs="Times New Roman"/>
                <w:sz w:val="20"/>
                <w:szCs w:val="20"/>
                <w:lang w:val="es-ES_tradnl"/>
              </w:rPr>
              <w:t xml:space="preserve">, que funciona como una lista de inhabilitaciones e </w:t>
            </w:r>
            <w:r w:rsidR="00A546A7" w:rsidRPr="00976BFF">
              <w:rPr>
                <w:rFonts w:ascii="Times New Roman" w:hAnsi="Times New Roman" w:cs="Times New Roman"/>
                <w:sz w:val="20"/>
                <w:szCs w:val="20"/>
                <w:lang w:val="es-ES_tradnl"/>
              </w:rPr>
              <w:t>incluy</w:t>
            </w:r>
            <w:r w:rsidR="00A546A7">
              <w:rPr>
                <w:rFonts w:ascii="Times New Roman" w:hAnsi="Times New Roman" w:cs="Times New Roman"/>
                <w:sz w:val="20"/>
                <w:szCs w:val="20"/>
                <w:lang w:val="es-ES_tradnl"/>
              </w:rPr>
              <w:t>e</w:t>
            </w:r>
            <w:r w:rsidR="00A546A7" w:rsidRPr="00976BFF">
              <w:rPr>
                <w:rFonts w:ascii="Times New Roman" w:hAnsi="Times New Roman" w:cs="Times New Roman"/>
                <w:sz w:val="20"/>
                <w:szCs w:val="20"/>
                <w:lang w:val="es-ES_tradnl"/>
              </w:rPr>
              <w:t xml:space="preserve"> </w:t>
            </w:r>
            <w:r w:rsidR="00D96467" w:rsidRPr="00976BFF">
              <w:rPr>
                <w:rFonts w:ascii="Times New Roman" w:hAnsi="Times New Roman" w:cs="Times New Roman"/>
                <w:sz w:val="20"/>
                <w:szCs w:val="20"/>
                <w:lang w:val="es-ES_tradnl"/>
              </w:rPr>
              <w:t xml:space="preserve">a las empresas y personas físicas que no han cumplido un contrato celebrado con el Gobierno. La oficina responsable de este nuevo </w:t>
            </w:r>
            <w:r w:rsidR="00A546A7">
              <w:rPr>
                <w:rFonts w:ascii="Times New Roman" w:hAnsi="Times New Roman" w:cs="Times New Roman"/>
                <w:sz w:val="20"/>
                <w:szCs w:val="20"/>
                <w:lang w:val="es-ES_tradnl"/>
              </w:rPr>
              <w:t>r</w:t>
            </w:r>
            <w:r w:rsidR="00A546A7" w:rsidRPr="00976BFF">
              <w:rPr>
                <w:rFonts w:ascii="Times New Roman" w:hAnsi="Times New Roman" w:cs="Times New Roman"/>
                <w:sz w:val="20"/>
                <w:szCs w:val="20"/>
                <w:lang w:val="es-ES_tradnl"/>
              </w:rPr>
              <w:t xml:space="preserve">egistro </w:t>
            </w:r>
            <w:r w:rsidR="00D96467" w:rsidRPr="00976BFF">
              <w:rPr>
                <w:rFonts w:ascii="Times New Roman" w:hAnsi="Times New Roman" w:cs="Times New Roman"/>
                <w:sz w:val="20"/>
                <w:szCs w:val="20"/>
                <w:lang w:val="es-ES_tradnl"/>
              </w:rPr>
              <w:t>coordina la información proporcionada por todos los ministerios respecto de posibles incumplimientos.</w:t>
            </w:r>
            <w:r w:rsidR="003E2423" w:rsidRPr="00976BFF">
              <w:rPr>
                <w:rFonts w:ascii="Times New Roman" w:hAnsi="Times New Roman" w:cs="Times New Roman"/>
                <w:sz w:val="20"/>
                <w:szCs w:val="20"/>
                <w:lang w:val="es-ES_tradnl"/>
              </w:rPr>
              <w:t xml:space="preserve"> </w:t>
            </w:r>
          </w:p>
        </w:tc>
        <w:tc>
          <w:tcPr>
            <w:tcW w:w="2970" w:type="dxa"/>
          </w:tcPr>
          <w:p w:rsidR="003E2423" w:rsidRPr="00976BFF" w:rsidRDefault="00D96467" w:rsidP="00D96467">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El Gobierno de Uruguay está ultimando las medidas para publicar este nuevo registro en </w:t>
            </w:r>
            <w:r w:rsidR="001C47AE">
              <w:rPr>
                <w:rFonts w:ascii="Times New Roman" w:hAnsi="Times New Roman" w:cs="Times New Roman"/>
                <w:sz w:val="20"/>
                <w:szCs w:val="20"/>
                <w:lang w:val="es-ES_tradnl"/>
              </w:rPr>
              <w:t xml:space="preserve">Internet. </w:t>
            </w:r>
          </w:p>
        </w:tc>
      </w:tr>
      <w:tr w:rsidR="003E2423" w:rsidRPr="00976BFF">
        <w:tc>
          <w:tcPr>
            <w:tcW w:w="3192" w:type="dxa"/>
          </w:tcPr>
          <w:p w:rsidR="003E2423" w:rsidRPr="00976BFF" w:rsidRDefault="004A26E3" w:rsidP="00D96467">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Acceso</w:t>
            </w:r>
            <w:r w:rsidR="00D96467" w:rsidRPr="00976BFF">
              <w:rPr>
                <w:rFonts w:ascii="Times New Roman" w:hAnsi="Times New Roman" w:cs="Times New Roman"/>
                <w:sz w:val="20"/>
                <w:szCs w:val="20"/>
                <w:lang w:val="es-ES_tradnl"/>
              </w:rPr>
              <w:t xml:space="preserve"> a la información</w:t>
            </w:r>
          </w:p>
        </w:tc>
        <w:tc>
          <w:tcPr>
            <w:tcW w:w="3936" w:type="dxa"/>
          </w:tcPr>
          <w:p w:rsidR="003E2423" w:rsidRPr="00976BFF" w:rsidRDefault="00B5543E" w:rsidP="006B1578">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los efectos de la investigación de una denuncia, tanto la legislación aplicable como la práctica permiten que las autoridades pertinentes tengan acceso a los hechos, las pruebas y toda otra información que resulte necesaria. Uruguay también tiene un organismo especializado que es </w:t>
            </w:r>
            <w:r w:rsidR="004A26E3" w:rsidRPr="00976BFF">
              <w:rPr>
                <w:rFonts w:ascii="Times New Roman" w:hAnsi="Times New Roman" w:cs="Times New Roman"/>
                <w:sz w:val="20"/>
                <w:szCs w:val="20"/>
                <w:lang w:val="es-ES_tradnl"/>
              </w:rPr>
              <w:t>responsable</w:t>
            </w:r>
            <w:r w:rsidRPr="00976BFF">
              <w:rPr>
                <w:rFonts w:ascii="Times New Roman" w:hAnsi="Times New Roman" w:cs="Times New Roman"/>
                <w:sz w:val="20"/>
                <w:szCs w:val="20"/>
                <w:lang w:val="es-ES_tradnl"/>
              </w:rPr>
              <w:t xml:space="preserve"> de la aplicación de la Ley de Acceso a la Información Pública</w:t>
            </w:r>
            <w:r w:rsidR="006B1578">
              <w:rPr>
                <w:rFonts w:ascii="Times New Roman" w:hAnsi="Times New Roman" w:cs="Times New Roman"/>
                <w:sz w:val="20"/>
                <w:szCs w:val="20"/>
                <w:lang w:val="es-ES_tradnl"/>
              </w:rPr>
              <w:t>, difunde</w:t>
            </w:r>
            <w:r w:rsidRPr="00976BFF">
              <w:rPr>
                <w:rFonts w:ascii="Times New Roman" w:hAnsi="Times New Roman" w:cs="Times New Roman"/>
                <w:sz w:val="20"/>
                <w:szCs w:val="20"/>
                <w:lang w:val="es-ES_tradnl"/>
              </w:rPr>
              <w:t xml:space="preserve"> los resultados de las investigaciones </w:t>
            </w:r>
            <w:r w:rsidR="006B1578">
              <w:rPr>
                <w:rFonts w:ascii="Times New Roman" w:hAnsi="Times New Roman" w:cs="Times New Roman"/>
                <w:sz w:val="20"/>
                <w:szCs w:val="20"/>
                <w:lang w:val="es-ES_tradnl"/>
              </w:rPr>
              <w:t>y publica</w:t>
            </w:r>
            <w:r w:rsidRPr="00976BFF">
              <w:rPr>
                <w:rFonts w:ascii="Times New Roman" w:hAnsi="Times New Roman" w:cs="Times New Roman"/>
                <w:sz w:val="20"/>
                <w:szCs w:val="20"/>
                <w:lang w:val="es-ES_tradnl"/>
              </w:rPr>
              <w:t xml:space="preserve"> las decisiones judiciales</w:t>
            </w:r>
            <w:r w:rsidR="001C47AE">
              <w:rPr>
                <w:rFonts w:ascii="Times New Roman" w:hAnsi="Times New Roman" w:cs="Times New Roman"/>
                <w:sz w:val="20"/>
                <w:szCs w:val="20"/>
                <w:lang w:val="es-ES_tradnl"/>
              </w:rPr>
              <w:t xml:space="preserve">. </w:t>
            </w:r>
            <w:r w:rsidR="003E2423" w:rsidRPr="00976BFF">
              <w:rPr>
                <w:rFonts w:ascii="Times New Roman" w:hAnsi="Times New Roman" w:cs="Times New Roman"/>
                <w:sz w:val="20"/>
                <w:szCs w:val="20"/>
                <w:lang w:val="es-ES_tradnl"/>
              </w:rPr>
              <w:t>(</w:t>
            </w:r>
            <w:r w:rsidRPr="00976BFF">
              <w:rPr>
                <w:rFonts w:ascii="Times New Roman" w:hAnsi="Times New Roman" w:cs="Times New Roman"/>
                <w:sz w:val="20"/>
                <w:szCs w:val="20"/>
                <w:lang w:val="es-ES_tradnl"/>
              </w:rPr>
              <w:t>Para más detalles véanse también las evaluaciones técnica, fiduciaria y ambiental y social</w:t>
            </w:r>
            <w:r w:rsidR="001C47AE">
              <w:rPr>
                <w:rFonts w:ascii="Times New Roman" w:hAnsi="Times New Roman" w:cs="Times New Roman"/>
                <w:sz w:val="20"/>
                <w:szCs w:val="20"/>
                <w:lang w:val="es-ES_tradnl"/>
              </w:rPr>
              <w:t xml:space="preserve">). </w:t>
            </w:r>
          </w:p>
        </w:tc>
        <w:tc>
          <w:tcPr>
            <w:tcW w:w="2970" w:type="dxa"/>
          </w:tcPr>
          <w:p w:rsidR="003E2423" w:rsidRPr="00976BFF" w:rsidRDefault="00265DF0" w:rsidP="00B5543E">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No </w:t>
            </w:r>
            <w:r w:rsidR="00B5543E" w:rsidRPr="00976BFF">
              <w:rPr>
                <w:rFonts w:ascii="Times New Roman" w:hAnsi="Times New Roman" w:cs="Times New Roman"/>
                <w:sz w:val="20"/>
                <w:szCs w:val="20"/>
                <w:lang w:val="es-ES_tradnl"/>
              </w:rPr>
              <w:t>se proponen medidas</w:t>
            </w:r>
            <w:r w:rsidRPr="00976BFF">
              <w:rPr>
                <w:rFonts w:ascii="Times New Roman" w:hAnsi="Times New Roman" w:cs="Times New Roman"/>
                <w:sz w:val="20"/>
                <w:szCs w:val="20"/>
                <w:lang w:val="es-ES_tradnl"/>
              </w:rPr>
              <w:t>.</w:t>
            </w:r>
          </w:p>
        </w:tc>
      </w:tr>
    </w:tbl>
    <w:p w:rsidR="003E2423" w:rsidRPr="00976BFF" w:rsidRDefault="003E2423" w:rsidP="004E4895">
      <w:pPr>
        <w:pStyle w:val="NoSpacing"/>
        <w:ind w:left="360"/>
        <w:rPr>
          <w:rFonts w:ascii="Times New Roman" w:hAnsi="Times New Roman" w:cs="Times New Roman"/>
          <w:lang w:val="es-ES_tradnl"/>
        </w:rPr>
      </w:pPr>
    </w:p>
    <w:p w:rsidR="003E2423" w:rsidRPr="00976BFF" w:rsidRDefault="003E2423" w:rsidP="004E4895">
      <w:pPr>
        <w:pStyle w:val="NoSpacing"/>
        <w:ind w:left="360"/>
        <w:rPr>
          <w:rFonts w:ascii="Times New Roman" w:hAnsi="Times New Roman" w:cs="Times New Roman"/>
          <w:lang w:val="es-ES_tradnl"/>
        </w:rPr>
      </w:pPr>
    </w:p>
    <w:p w:rsidR="003E2423" w:rsidRPr="00976BFF" w:rsidRDefault="003E2423" w:rsidP="004E4895">
      <w:pPr>
        <w:pStyle w:val="NoSpacing"/>
        <w:ind w:left="360"/>
        <w:rPr>
          <w:rFonts w:ascii="Times New Roman" w:hAnsi="Times New Roman" w:cs="Times New Roman"/>
          <w:lang w:val="es-ES_tradnl"/>
        </w:rPr>
      </w:pPr>
    </w:p>
    <w:p w:rsidR="00587AB1" w:rsidRPr="00976BFF" w:rsidRDefault="00587AB1" w:rsidP="004E4895">
      <w:pPr>
        <w:pStyle w:val="NoSpacing"/>
        <w:ind w:left="360"/>
        <w:rPr>
          <w:rFonts w:ascii="Times New Roman" w:hAnsi="Times New Roman" w:cs="Times New Roman"/>
          <w:lang w:val="es-ES_tradnl"/>
        </w:rPr>
        <w:sectPr w:rsidR="00587AB1" w:rsidRPr="00976BFF">
          <w:pgSz w:w="12240" w:h="15840"/>
          <w:pgMar w:top="1440" w:right="1440" w:bottom="1440" w:left="1440" w:header="720" w:footer="720" w:gutter="0"/>
          <w:cols w:space="720"/>
          <w:titlePg/>
          <w:docGrid w:linePitch="360"/>
        </w:sectPr>
      </w:pPr>
    </w:p>
    <w:p w:rsidR="00956A33" w:rsidRPr="00976BFF" w:rsidRDefault="00956A33" w:rsidP="00956A33">
      <w:pPr>
        <w:pStyle w:val="Heading1"/>
        <w:numPr>
          <w:ilvl w:val="0"/>
          <w:numId w:val="0"/>
        </w:numPr>
        <w:rPr>
          <w:lang w:val="es-ES_tradnl"/>
        </w:rPr>
      </w:pPr>
      <w:bookmarkStart w:id="81" w:name="_Toc344927207"/>
      <w:r w:rsidRPr="00976BFF">
        <w:rPr>
          <w:lang w:val="es-ES_tradnl"/>
        </w:rPr>
        <w:t xml:space="preserve">Anexo 5. Resumen de la </w:t>
      </w:r>
      <w:r w:rsidR="003824A7">
        <w:rPr>
          <w:lang w:val="es-ES_tradnl"/>
        </w:rPr>
        <w:t>e</w:t>
      </w:r>
      <w:r w:rsidR="003824A7" w:rsidRPr="00976BFF">
        <w:rPr>
          <w:lang w:val="es-ES_tradnl"/>
        </w:rPr>
        <w:t xml:space="preserve">valuación </w:t>
      </w:r>
      <w:r w:rsidRPr="00976BFF">
        <w:rPr>
          <w:lang w:val="es-ES_tradnl"/>
        </w:rPr>
        <w:t xml:space="preserve">de los </w:t>
      </w:r>
      <w:r w:rsidR="003824A7">
        <w:rPr>
          <w:lang w:val="es-ES_tradnl"/>
        </w:rPr>
        <w:t>s</w:t>
      </w:r>
      <w:r w:rsidR="003824A7" w:rsidRPr="00976BFF">
        <w:rPr>
          <w:lang w:val="es-ES_tradnl"/>
        </w:rPr>
        <w:t xml:space="preserve">istemas </w:t>
      </w:r>
      <w:bookmarkEnd w:id="81"/>
      <w:r w:rsidR="003824A7">
        <w:rPr>
          <w:lang w:val="es-ES_tradnl"/>
        </w:rPr>
        <w:t>f</w:t>
      </w:r>
      <w:r w:rsidR="003824A7" w:rsidRPr="00976BFF">
        <w:rPr>
          <w:lang w:val="es-ES_tradnl"/>
        </w:rPr>
        <w:t>iduciarios</w:t>
      </w:r>
    </w:p>
    <w:p w:rsidR="00956A33" w:rsidRPr="00976BFF" w:rsidRDefault="00956A33" w:rsidP="00956A33">
      <w:pPr>
        <w:pStyle w:val="MainParanoChapter"/>
        <w:numPr>
          <w:ilvl w:val="0"/>
          <w:numId w:val="0"/>
        </w:numPr>
        <w:ind w:left="1080"/>
        <w:rPr>
          <w:sz w:val="22"/>
          <w:szCs w:val="22"/>
          <w:lang w:val="es-ES_tradnl"/>
        </w:rPr>
      </w:pPr>
    </w:p>
    <w:p w:rsidR="00956A33" w:rsidRPr="00976BFF" w:rsidRDefault="00956A33" w:rsidP="00EB3076">
      <w:pPr>
        <w:pStyle w:val="Annexmain"/>
        <w:numPr>
          <w:ilvl w:val="0"/>
          <w:numId w:val="41"/>
        </w:numPr>
        <w:ind w:firstLine="0"/>
        <w:rPr>
          <w:lang w:val="es-ES_tradnl"/>
        </w:rPr>
      </w:pPr>
      <w:r w:rsidRPr="00976BFF">
        <w:rPr>
          <w:lang w:val="es-ES_tradnl"/>
        </w:rPr>
        <w:t xml:space="preserve">Este anexo se basa en la evaluación fiduciaria del </w:t>
      </w:r>
      <w:r w:rsidR="008A1019">
        <w:rPr>
          <w:lang w:val="es-ES_tradnl"/>
        </w:rPr>
        <w:t>programa</w:t>
      </w:r>
      <w:r w:rsidRPr="00976BFF">
        <w:rPr>
          <w:lang w:val="es-ES_tradnl"/>
        </w:rPr>
        <w:t xml:space="preserve"> y abarca: 1) los antecedentes y los mecanismos institucionales; 2) la capacidad del organismo de ejecución y el desempeño fiduciario del </w:t>
      </w:r>
      <w:r w:rsidR="008A1019">
        <w:rPr>
          <w:lang w:val="es-ES_tradnl"/>
        </w:rPr>
        <w:t>programa</w:t>
      </w:r>
      <w:r w:rsidRPr="00976BFF">
        <w:rPr>
          <w:lang w:val="es-ES_tradnl"/>
        </w:rPr>
        <w:t xml:space="preserve">; 3) la evaluación de los riesgos fiduciarios; 4) la mejora del desempeño de los sistemas fiduciarios del </w:t>
      </w:r>
      <w:r w:rsidR="008A1019">
        <w:rPr>
          <w:lang w:val="es-ES_tradnl"/>
        </w:rPr>
        <w:t>programa</w:t>
      </w:r>
      <w:r w:rsidRPr="00976BFF">
        <w:rPr>
          <w:lang w:val="es-ES_tradnl"/>
        </w:rPr>
        <w:t>.</w:t>
      </w:r>
    </w:p>
    <w:p w:rsidR="00956A33" w:rsidRPr="00976BFF" w:rsidRDefault="00956A33" w:rsidP="00EB3076">
      <w:pPr>
        <w:rPr>
          <w:lang w:val="es-ES_tradnl"/>
        </w:rPr>
      </w:pPr>
    </w:p>
    <w:p w:rsidR="00956A33" w:rsidRPr="00976BFF" w:rsidRDefault="00956A33" w:rsidP="00EB3076">
      <w:pPr>
        <w:pStyle w:val="Heading2"/>
        <w:numPr>
          <w:ilvl w:val="1"/>
          <w:numId w:val="7"/>
        </w:numPr>
        <w:ind w:firstLine="0"/>
        <w:rPr>
          <w:rFonts w:ascii="Times New Roman" w:hAnsi="Times New Roman"/>
          <w:b/>
          <w:sz w:val="22"/>
          <w:lang w:val="es-ES_tradnl"/>
        </w:rPr>
      </w:pPr>
      <w:bookmarkStart w:id="82" w:name="_Toc327540009"/>
      <w:bookmarkStart w:id="83" w:name="_Toc344927208"/>
      <w:r w:rsidRPr="00976BFF">
        <w:rPr>
          <w:rFonts w:ascii="Times New Roman" w:hAnsi="Times New Roman"/>
          <w:b/>
          <w:sz w:val="22"/>
          <w:lang w:val="es-ES_tradnl"/>
        </w:rPr>
        <w:t>ANTECEDENTES Y MECANISMOS INSTITUCIONALES</w:t>
      </w:r>
      <w:bookmarkEnd w:id="82"/>
      <w:bookmarkEnd w:id="83"/>
    </w:p>
    <w:p w:rsidR="00956A33" w:rsidRPr="00976BFF" w:rsidRDefault="00956A33" w:rsidP="000B5989">
      <w:pPr>
        <w:pStyle w:val="Annexmain"/>
        <w:ind w:left="357" w:firstLine="0"/>
        <w:rPr>
          <w:lang w:val="es-ES_tradnl"/>
        </w:rPr>
      </w:pPr>
      <w:r w:rsidRPr="00976BFF">
        <w:rPr>
          <w:b/>
          <w:lang w:val="es-ES_tradnl"/>
        </w:rPr>
        <w:t>Planificación del presupuesto</w:t>
      </w:r>
      <w:r w:rsidRPr="000B5989">
        <w:rPr>
          <w:b/>
          <w:lang w:val="es-ES_tradnl"/>
        </w:rPr>
        <w:t>.</w:t>
      </w:r>
      <w:r w:rsidRPr="00976BFF">
        <w:rPr>
          <w:lang w:val="es-ES_tradnl"/>
        </w:rPr>
        <w:t xml:space="preserve"> El marco institucional que rige la elaboración del presupuesto nacional abarca varios organismos, como la OPP, y varios departamentos del MEF, como la UPN, la CGN, la TGN y la AIN. Este marco institucional regula todas las actividades y los contratos que incluye el </w:t>
      </w:r>
      <w:r w:rsidR="008A1019">
        <w:rPr>
          <w:lang w:val="es-ES_tradnl"/>
        </w:rPr>
        <w:t>programa</w:t>
      </w:r>
      <w:r w:rsidRPr="00976BFF">
        <w:rPr>
          <w:lang w:val="es-ES_tradnl"/>
        </w:rPr>
        <w:t>.</w:t>
      </w:r>
    </w:p>
    <w:p w:rsidR="00956A33" w:rsidRPr="00976BFF" w:rsidRDefault="00956A33" w:rsidP="00EB3076">
      <w:pPr>
        <w:pStyle w:val="Annexmain"/>
        <w:ind w:firstLine="0"/>
        <w:rPr>
          <w:lang w:val="es-ES_tradnl"/>
        </w:rPr>
      </w:pPr>
      <w:r w:rsidRPr="00976BFF">
        <w:rPr>
          <w:lang w:val="es-ES_tradnl"/>
        </w:rPr>
        <w:t>En Uruguay existen dos procesos presupuestarios que se distinguen con facilidad:</w:t>
      </w:r>
    </w:p>
    <w:p w:rsidR="00956A33" w:rsidRPr="00976BFF" w:rsidRDefault="00956A33" w:rsidP="00956A33">
      <w:pPr>
        <w:pStyle w:val="Bullet"/>
        <w:ind w:left="1460"/>
        <w:rPr>
          <w:lang w:val="es-ES_tradnl"/>
        </w:rPr>
      </w:pPr>
      <w:r w:rsidRPr="00976BFF">
        <w:rPr>
          <w:lang w:val="es-ES_tradnl"/>
        </w:rPr>
        <w:t xml:space="preserve">El primero se denomina </w:t>
      </w:r>
      <w:r w:rsidRPr="00976BFF">
        <w:rPr>
          <w:u w:val="single"/>
          <w:lang w:val="es-ES_tradnl"/>
        </w:rPr>
        <w:t>“presupuesto nacional”</w:t>
      </w:r>
      <w:r w:rsidRPr="00976BFF">
        <w:rPr>
          <w:lang w:val="es-ES_tradnl"/>
        </w:rPr>
        <w:t xml:space="preserve">, y lo determina la Ley de Presupuesto, que se aplica por un período de cinco años y funciona, en la práctica, como un marco presupuestario a mediano plazo. La Ley de Presupuesto actual </w:t>
      </w:r>
      <w:r w:rsidR="00A71DBD">
        <w:rPr>
          <w:lang w:val="es-ES_tradnl"/>
        </w:rPr>
        <w:t>abarca</w:t>
      </w:r>
      <w:r w:rsidRPr="00976BFF">
        <w:rPr>
          <w:lang w:val="es-ES_tradnl"/>
        </w:rPr>
        <w:t xml:space="preserve"> el período 2010-014 e incluye una nueva clasificación presupuestaria que se estructura alrededor de la definición de 17 áreas programáticas basadas en las prioridades de las políticas nacionales. Se trata de un proceso inicial previo a la </w:t>
      </w:r>
      <w:r w:rsidR="006067B4">
        <w:rPr>
          <w:lang w:val="es-ES_tradnl"/>
        </w:rPr>
        <w:t>incorporación de la presupuestación</w:t>
      </w:r>
      <w:r w:rsidRPr="00976BFF">
        <w:rPr>
          <w:lang w:val="es-ES_tradnl"/>
        </w:rPr>
        <w:t xml:space="preserve"> basada en el desempeño y, por el momento, no </w:t>
      </w:r>
      <w:r w:rsidR="006067B4">
        <w:rPr>
          <w:lang w:val="es-ES_tradnl"/>
        </w:rPr>
        <w:t>incide en</w:t>
      </w:r>
      <w:r w:rsidRPr="00976BFF">
        <w:rPr>
          <w:lang w:val="es-ES_tradnl"/>
        </w:rPr>
        <w:t xml:space="preserve"> las asignaciones reales. </w:t>
      </w:r>
    </w:p>
    <w:p w:rsidR="00956A33" w:rsidRPr="00976BFF" w:rsidRDefault="00956A33" w:rsidP="000B5989">
      <w:pPr>
        <w:pStyle w:val="Bullet"/>
        <w:autoSpaceDE w:val="0"/>
        <w:ind w:left="1457" w:hanging="357"/>
        <w:rPr>
          <w:lang w:val="es-ES_tradnl"/>
        </w:rPr>
      </w:pPr>
      <w:r w:rsidRPr="00976BFF">
        <w:rPr>
          <w:lang w:val="es-ES_tradnl"/>
        </w:rPr>
        <w:t>El otro proceso se refiere a la elaboración anual de la Rendición de Cuentas y Balance de Ejecución Presupuestal, que es el principal mecanismo institucional para ajustar las asignaciones presupuestadas</w:t>
      </w:r>
      <w:r w:rsidRPr="00976BFF">
        <w:rPr>
          <w:vertAlign w:val="superscript"/>
          <w:lang w:val="es-ES_tradnl"/>
        </w:rPr>
        <w:footnoteReference w:id="24"/>
      </w:r>
      <w:r w:rsidRPr="00976BFF">
        <w:rPr>
          <w:rFonts w:ascii="ZWAdobeF" w:hAnsi="ZWAdobeF" w:cs="ZWAdobeF"/>
          <w:sz w:val="2"/>
          <w:szCs w:val="2"/>
          <w:lang w:val="es-ES_tradnl"/>
        </w:rPr>
        <w:t xml:space="preserve">.. </w:t>
      </w:r>
      <w:r w:rsidRPr="00976BFF">
        <w:rPr>
          <w:lang w:val="es-ES_tradnl"/>
        </w:rPr>
        <w:t xml:space="preserve">. </w:t>
      </w:r>
      <w:r w:rsidR="00D62DD1">
        <w:rPr>
          <w:lang w:val="es-ES_tradnl"/>
        </w:rPr>
        <w:t>Esta rendición de cuentas</w:t>
      </w:r>
      <w:r w:rsidRPr="00976BFF">
        <w:rPr>
          <w:lang w:val="es-ES_tradnl"/>
        </w:rPr>
        <w:t xml:space="preserve"> se compone de informes de ejecución presupuestaria que aprueban ambas cámaras del Congreso en forma anual. Además, estos informes </w:t>
      </w:r>
      <w:r w:rsidR="006067B4">
        <w:rPr>
          <w:lang w:val="es-ES_tradnl"/>
        </w:rPr>
        <w:t>brindan la posibilidad</w:t>
      </w:r>
      <w:r w:rsidRPr="00976BFF">
        <w:rPr>
          <w:lang w:val="es-ES_tradnl"/>
        </w:rPr>
        <w:t xml:space="preserve"> de modificar anualmente las asignaciones del presupuesto quinquenal, </w:t>
      </w:r>
      <w:r w:rsidR="006067B4">
        <w:rPr>
          <w:lang w:val="es-ES_tradnl"/>
        </w:rPr>
        <w:t xml:space="preserve">en consonancia con las </w:t>
      </w:r>
      <w:r w:rsidRPr="00976BFF">
        <w:rPr>
          <w:lang w:val="es-ES_tradnl"/>
        </w:rPr>
        <w:t xml:space="preserve">decisiones </w:t>
      </w:r>
      <w:r w:rsidR="006067B4">
        <w:rPr>
          <w:lang w:val="es-ES_tradnl"/>
        </w:rPr>
        <w:t>normativas</w:t>
      </w:r>
      <w:r w:rsidRPr="00976BFF">
        <w:rPr>
          <w:lang w:val="es-ES_tradnl"/>
        </w:rPr>
        <w:t xml:space="preserve"> y la evolución real de la economía. Una característica única de las prácticas presupuestarias de Uruguay es que las proyecciones de los ingresos y las asignaciones de los gastos presupuestarios para el año siguiente no se aprueban al comienzo de cada año fiscal. </w:t>
      </w:r>
    </w:p>
    <w:p w:rsidR="00956A33" w:rsidRPr="00976BFF" w:rsidRDefault="00956A33" w:rsidP="000B5989">
      <w:pPr>
        <w:pStyle w:val="Annexmain"/>
        <w:ind w:left="357" w:firstLine="0"/>
        <w:rPr>
          <w:lang w:val="es-ES_tradnl"/>
        </w:rPr>
      </w:pPr>
      <w:r w:rsidRPr="00976BFF">
        <w:rPr>
          <w:lang w:val="es-ES_tradnl"/>
        </w:rPr>
        <w:t>La planificación del presupuesto de CVU no está integrada en la planificación del presupuesto nacional. Según el con</w:t>
      </w:r>
      <w:r w:rsidR="006067B4">
        <w:rPr>
          <w:lang w:val="es-ES_tradnl"/>
        </w:rPr>
        <w:t>trato</w:t>
      </w:r>
      <w:r w:rsidRPr="00976BFF">
        <w:rPr>
          <w:lang w:val="es-ES_tradnl"/>
        </w:rPr>
        <w:t xml:space="preserve"> de concesión entre el MTOP y la CND, el MTOP contribuye con un monto anual de US$24 millones al presupuesto de CVU. La planificación del presupuesto de CVU se lleva a cabo en forma anual y e</w:t>
      </w:r>
      <w:r w:rsidR="00276448">
        <w:rPr>
          <w:lang w:val="es-ES_tradnl"/>
        </w:rPr>
        <w:t>s aprobada por su</w:t>
      </w:r>
      <w:r w:rsidRPr="00976BFF">
        <w:rPr>
          <w:lang w:val="es-ES_tradnl"/>
        </w:rPr>
        <w:t xml:space="preserve"> gerente general. </w:t>
      </w:r>
    </w:p>
    <w:p w:rsidR="00956A33" w:rsidRPr="00976BFF" w:rsidRDefault="00956A33" w:rsidP="000B5989">
      <w:pPr>
        <w:pStyle w:val="Annexmain"/>
        <w:ind w:left="357" w:firstLine="0"/>
        <w:rPr>
          <w:lang w:val="es-ES_tradnl"/>
        </w:rPr>
      </w:pPr>
      <w:r w:rsidRPr="00976BFF">
        <w:rPr>
          <w:b/>
          <w:lang w:val="es-ES_tradnl"/>
        </w:rPr>
        <w:t>Planificación de las adquisiciones.</w:t>
      </w:r>
      <w:r w:rsidRPr="00976BFF">
        <w:rPr>
          <w:lang w:val="es-ES_tradnl"/>
        </w:rPr>
        <w:t xml:space="preserve"> No hay una planificación sistemática de las adquisiciones en la DNV. De hecho, la planificación anual es </w:t>
      </w:r>
      <w:r w:rsidR="00CE6A11">
        <w:rPr>
          <w:lang w:val="es-ES_tradnl"/>
        </w:rPr>
        <w:t>reciente</w:t>
      </w:r>
      <w:r w:rsidRPr="00976BFF">
        <w:rPr>
          <w:lang w:val="es-ES_tradnl"/>
        </w:rPr>
        <w:t xml:space="preserve"> en la administración del Gobierno de Uruguay en general. Como se detalla anteriormente, los procesos y los procedimientos presupuestarios del país no </w:t>
      </w:r>
      <w:r w:rsidR="00276448">
        <w:rPr>
          <w:lang w:val="es-ES_tradnl"/>
        </w:rPr>
        <w:t xml:space="preserve">permiten utilizar </w:t>
      </w:r>
      <w:r w:rsidRPr="00976BFF">
        <w:rPr>
          <w:lang w:val="es-ES_tradnl"/>
        </w:rPr>
        <w:t xml:space="preserve">el presupuesto como una herramienta de planificación. El hecho de que no se requiera la preparación de presupuestos anuales incide directamente en la posibilidad de planificar las adquisiciones. Por lo tanto, la planificación </w:t>
      </w:r>
      <w:r w:rsidR="007467B8">
        <w:rPr>
          <w:lang w:val="es-ES_tradnl"/>
        </w:rPr>
        <w:t xml:space="preserve">más </w:t>
      </w:r>
      <w:r w:rsidR="007467B8" w:rsidRPr="00976BFF">
        <w:rPr>
          <w:lang w:val="es-ES_tradnl"/>
        </w:rPr>
        <w:t>detall</w:t>
      </w:r>
      <w:r w:rsidR="007467B8">
        <w:rPr>
          <w:lang w:val="es-ES_tradnl"/>
        </w:rPr>
        <w:t>ada</w:t>
      </w:r>
      <w:r w:rsidR="007467B8" w:rsidRPr="00976BFF">
        <w:rPr>
          <w:lang w:val="es-ES_tradnl"/>
        </w:rPr>
        <w:t xml:space="preserve"> </w:t>
      </w:r>
      <w:r w:rsidRPr="00976BFF">
        <w:rPr>
          <w:lang w:val="es-ES_tradnl"/>
        </w:rPr>
        <w:t>es una lista de las obras públicas necesarias prepara</w:t>
      </w:r>
      <w:r w:rsidR="00451386">
        <w:rPr>
          <w:lang w:val="es-ES_tradnl"/>
        </w:rPr>
        <w:t>da</w:t>
      </w:r>
      <w:r w:rsidRPr="00976BFF">
        <w:rPr>
          <w:lang w:val="es-ES_tradnl"/>
        </w:rPr>
        <w:t xml:space="preserve"> </w:t>
      </w:r>
      <w:r w:rsidR="00451386">
        <w:rPr>
          <w:lang w:val="es-ES_tradnl"/>
        </w:rPr>
        <w:t xml:space="preserve">por </w:t>
      </w:r>
      <w:r w:rsidRPr="00976BFF">
        <w:rPr>
          <w:lang w:val="es-ES_tradnl"/>
        </w:rPr>
        <w:t xml:space="preserve">la DNV. La ejecución de los contratos que forman parte de esa lista está supeditada a la asignación de fondos a cargo del </w:t>
      </w:r>
      <w:r w:rsidR="00FF4A74">
        <w:rPr>
          <w:lang w:val="es-ES_tradnl"/>
        </w:rPr>
        <w:t>MEF</w:t>
      </w:r>
      <w:r w:rsidRPr="00976BFF">
        <w:rPr>
          <w:lang w:val="es-ES_tradnl"/>
        </w:rPr>
        <w:t xml:space="preserve">. Al finalizar el año fiscal, la DNV informa en su </w:t>
      </w:r>
      <w:r w:rsidR="00276448">
        <w:rPr>
          <w:lang w:val="es-ES_tradnl"/>
        </w:rPr>
        <w:t>estado</w:t>
      </w:r>
      <w:r w:rsidRPr="00976BFF">
        <w:rPr>
          <w:lang w:val="es-ES_tradnl"/>
        </w:rPr>
        <w:t xml:space="preserve"> anual de gastos qué</w:t>
      </w:r>
      <w:r w:rsidR="00276448">
        <w:rPr>
          <w:lang w:val="es-ES_tradnl"/>
        </w:rPr>
        <w:t xml:space="preserve"> obras</w:t>
      </w:r>
      <w:r w:rsidRPr="00976BFF">
        <w:rPr>
          <w:lang w:val="es-ES_tradnl"/>
        </w:rPr>
        <w:t xml:space="preserve"> se ejecut</w:t>
      </w:r>
      <w:r w:rsidR="00276448">
        <w:rPr>
          <w:lang w:val="es-ES_tradnl"/>
        </w:rPr>
        <w:t>aron</w:t>
      </w:r>
      <w:r w:rsidRPr="00976BFF">
        <w:rPr>
          <w:lang w:val="es-ES_tradnl"/>
        </w:rPr>
        <w:t xml:space="preserve"> e indica qué contratos se incluyeron en el curso del año.</w:t>
      </w:r>
    </w:p>
    <w:p w:rsidR="00956A33" w:rsidRPr="00976BFF" w:rsidRDefault="00956A33" w:rsidP="000B5989">
      <w:pPr>
        <w:pStyle w:val="Annexmain"/>
        <w:ind w:left="357" w:firstLine="0"/>
        <w:rPr>
          <w:lang w:val="es-ES_tradnl"/>
        </w:rPr>
      </w:pPr>
      <w:r w:rsidRPr="00976BFF">
        <w:rPr>
          <w:b/>
          <w:lang w:val="es-ES_tradnl"/>
        </w:rPr>
        <w:t>L</w:t>
      </w:r>
      <w:r w:rsidR="00276448">
        <w:rPr>
          <w:b/>
          <w:lang w:val="es-ES_tradnl"/>
        </w:rPr>
        <w:t>a DNV interviene de varias maneras en l</w:t>
      </w:r>
      <w:r w:rsidRPr="00976BFF">
        <w:rPr>
          <w:b/>
          <w:lang w:val="es-ES_tradnl"/>
        </w:rPr>
        <w:t>os mecanismos de adquisiciones de CVU</w:t>
      </w:r>
      <w:r w:rsidR="00276448">
        <w:rPr>
          <w:b/>
          <w:lang w:val="es-ES_tradnl"/>
        </w:rPr>
        <w:t>.</w:t>
      </w:r>
      <w:r w:rsidRPr="00976BFF">
        <w:rPr>
          <w:lang w:val="es-ES_tradnl"/>
        </w:rPr>
        <w:t xml:space="preserve"> Si bien CVU inicia los procesos de adquisiciones y adjudica los con</w:t>
      </w:r>
      <w:r w:rsidR="001C47AE">
        <w:rPr>
          <w:lang w:val="es-ES_tradnl"/>
        </w:rPr>
        <w:t xml:space="preserve">tratos, la DNV lleva a cabo la </w:t>
      </w:r>
      <w:r w:rsidRPr="00976BFF">
        <w:rPr>
          <w:lang w:val="es-ES_tradnl"/>
        </w:rPr>
        <w:t>mayor parte del trabajo técnico y administrativo, como se estipula en el acuerdo de cooperación técnica del MTOP y CVU. Por un</w:t>
      </w:r>
      <w:r w:rsidR="00276448">
        <w:rPr>
          <w:lang w:val="es-ES_tradnl"/>
        </w:rPr>
        <w:t>a parte</w:t>
      </w:r>
      <w:r w:rsidRPr="00976BFF">
        <w:rPr>
          <w:lang w:val="es-ES_tradnl"/>
        </w:rPr>
        <w:t>, CVU publica los documentos de licitación, abre las ofertas, firma los contratos y realiza los pagos a los contratistas. Por l</w:t>
      </w:r>
      <w:r w:rsidR="00276448">
        <w:rPr>
          <w:lang w:val="es-ES_tradnl"/>
        </w:rPr>
        <w:t>a</w:t>
      </w:r>
      <w:r w:rsidRPr="00976BFF">
        <w:rPr>
          <w:lang w:val="es-ES_tradnl"/>
        </w:rPr>
        <w:t xml:space="preserve"> otr</w:t>
      </w:r>
      <w:r w:rsidR="00276448">
        <w:rPr>
          <w:lang w:val="es-ES_tradnl"/>
        </w:rPr>
        <w:t>a</w:t>
      </w:r>
      <w:r w:rsidRPr="00976BFF">
        <w:rPr>
          <w:lang w:val="es-ES_tradnl"/>
        </w:rPr>
        <w:t>, la DNV prepara los diseños de ingeniería, las especificaciones técnicas y los documentos de licitación, evalúa todas las ofertas recibidas y recomienda las adjudicaciones, y supervisa el trabajo de los contratistas.</w:t>
      </w:r>
    </w:p>
    <w:p w:rsidR="00956A33" w:rsidRPr="00976BFF" w:rsidRDefault="00956A33" w:rsidP="000B5989">
      <w:pPr>
        <w:pStyle w:val="Annexmain"/>
        <w:ind w:left="357" w:firstLine="0"/>
        <w:rPr>
          <w:lang w:val="es-ES_tradnl"/>
        </w:rPr>
      </w:pPr>
      <w:r w:rsidRPr="000B5989">
        <w:rPr>
          <w:b/>
          <w:lang w:val="es-ES_tradnl"/>
        </w:rPr>
        <w:t xml:space="preserve">El </w:t>
      </w:r>
      <w:r w:rsidRPr="00FF4A74">
        <w:rPr>
          <w:b/>
          <w:lang w:val="es-ES_tradnl"/>
        </w:rPr>
        <w:t>TOCAF</w:t>
      </w:r>
      <w:r w:rsidRPr="00976BFF">
        <w:rPr>
          <w:lang w:val="es-ES_tradnl"/>
        </w:rPr>
        <w:t xml:space="preserve"> es el principal texto legal que regula las adquisiciones en el país. El TOCAF regula la adquisición de bienes, obras y servicios, y es importante destacar que las mismas normas y procedimientos se aplican por igual al adquirir bienes, obras o servicios, incluso servicios de consultoría. También es importante subrayar que hay un gran número de textos legales que regulan los diferentes aspectos de las adquisiciones. Aunque el TOCAF es la norma principal, el Gobierno de Uruguay puede establecer procedimientos especiales de adquisición, siempre que el TCR los apruebe. No obstante, al momento de realizar la evaluación fiduciaria, la DNV nunca había utilizado procedimientos especiales. Además, CVU no está sujeta al TOCAF; los principios de adquisición que CVU debe implementar para llevar a cabo el </w:t>
      </w:r>
      <w:r w:rsidR="008A1019">
        <w:rPr>
          <w:lang w:val="es-ES_tradnl"/>
        </w:rPr>
        <w:t>programa</w:t>
      </w:r>
      <w:r w:rsidRPr="00976BFF">
        <w:rPr>
          <w:lang w:val="es-ES_tradnl"/>
        </w:rPr>
        <w:t xml:space="preserve"> se definen en el con</w:t>
      </w:r>
      <w:r w:rsidR="00276448">
        <w:rPr>
          <w:lang w:val="es-ES_tradnl"/>
        </w:rPr>
        <w:t>trato</w:t>
      </w:r>
      <w:r w:rsidRPr="00976BFF">
        <w:rPr>
          <w:lang w:val="es-ES_tradnl"/>
        </w:rPr>
        <w:t xml:space="preserve"> de concesión. Estos principios están armonizados con los del TOCAF. En el marco del TOCAF, se destacan los siguientes puntos:</w:t>
      </w:r>
    </w:p>
    <w:p w:rsidR="00956A33" w:rsidRPr="00976BFF" w:rsidRDefault="00956A33" w:rsidP="000B5989">
      <w:pPr>
        <w:pStyle w:val="Bullet"/>
        <w:autoSpaceDE w:val="0"/>
        <w:ind w:left="1457" w:hanging="357"/>
        <w:rPr>
          <w:lang w:val="es-ES_tradnl"/>
        </w:rPr>
      </w:pPr>
      <w:r w:rsidRPr="00976BFF">
        <w:rPr>
          <w:lang w:val="es-ES_tradnl"/>
        </w:rPr>
        <w:t>La ley permite las adjudicaciones basadas en la conveniencia, lo que puede generar dudas respecto de la transparencia. Sin embargo, los datos que abarcan cuatro años demuestran que casi todos los contratos se adjudicaron al precio más bajo. Cuando eso no ocurre, se presenta y divulga una justificación legal, aprobada por la autoridad pertinente.</w:t>
      </w:r>
    </w:p>
    <w:p w:rsidR="00956A33" w:rsidRPr="00976BFF" w:rsidRDefault="00956A33" w:rsidP="000B5989">
      <w:pPr>
        <w:pStyle w:val="Bullet"/>
        <w:autoSpaceDE w:val="0"/>
        <w:ind w:left="1457" w:hanging="357"/>
        <w:rPr>
          <w:lang w:val="es-ES_tradnl"/>
        </w:rPr>
      </w:pPr>
      <w:r w:rsidRPr="00976BFF">
        <w:rPr>
          <w:lang w:val="es-ES_tradnl"/>
        </w:rPr>
        <w:t>Las ofertas dentro de un rango de precio del 5% se consideran similares y se permite la negociación, lo que, una vez más, despierta preocupación respecto de la transparencia. De la misma manera, los datos demuestran que esas negociaciones son muy improbables, y la gran mayoría de las adjudicaciones se otorgan a los licitantes que presentan la oferta más baja.</w:t>
      </w:r>
    </w:p>
    <w:p w:rsidR="00956A33" w:rsidRPr="00976BFF" w:rsidRDefault="00956A33" w:rsidP="000B5989">
      <w:pPr>
        <w:pStyle w:val="Bullet"/>
        <w:autoSpaceDE w:val="0"/>
        <w:ind w:left="1457" w:hanging="357"/>
        <w:rPr>
          <w:lang w:val="es-ES_tradnl"/>
        </w:rPr>
      </w:pPr>
      <w:r w:rsidRPr="00976BFF">
        <w:rPr>
          <w:lang w:val="es-ES_tradnl"/>
        </w:rPr>
        <w:t>El mecanismo de resolución de quejas relacionado con los procesos de adquisiciones podría funcionar mejor y más rápido si hubiera un organismo administrativo de apelación eficaz. De todos modos, el mecanismo existente funciona razonablemente bien, dado que, si no están satisfechos, los licitantes pueden presentar reclamaciones al organismo, solicitar que el TCR revise sus casos e incluso apelar a un órgano judicial, el Tribunal de lo Contencioso Administrativo (TCA). Además, los uruguayos creen que el procedimiento denominado “vistas” contribuye a que las decisiones de adjudicación sean transparentes y previsibles.</w:t>
      </w:r>
    </w:p>
    <w:p w:rsidR="00956A33" w:rsidRPr="00976BFF" w:rsidRDefault="00956A33" w:rsidP="000B5989">
      <w:pPr>
        <w:pStyle w:val="Bullet"/>
        <w:autoSpaceDE w:val="0"/>
        <w:ind w:left="1457" w:hanging="357"/>
        <w:rPr>
          <w:lang w:val="es-ES_tradnl"/>
        </w:rPr>
      </w:pPr>
      <w:r w:rsidRPr="00976BFF">
        <w:rPr>
          <w:lang w:val="es-ES_tradnl"/>
        </w:rPr>
        <w:t>Los contratos pueden transferirse entre los proveedores en forma legal. Sin embargo, la transferencia de contratos entre proveedores rara vez ocurre, y la ley permite que la DNV intervenga enérgicamente si, a su criterio, se ha cometido una infracción.</w:t>
      </w:r>
    </w:p>
    <w:p w:rsidR="00956A33" w:rsidRPr="00976BFF" w:rsidRDefault="00956A33" w:rsidP="00EB3076">
      <w:pPr>
        <w:pStyle w:val="Annexmain"/>
        <w:ind w:firstLine="0"/>
        <w:rPr>
          <w:lang w:val="es-ES_tradnl"/>
        </w:rPr>
      </w:pPr>
      <w:r w:rsidRPr="00976BFF">
        <w:rPr>
          <w:b/>
          <w:lang w:val="es-ES_tradnl"/>
        </w:rPr>
        <w:t>Modificaciones propuestas para el TOCAF relacionadas con las adquisiciones.</w:t>
      </w:r>
      <w:r w:rsidRPr="00976BFF">
        <w:rPr>
          <w:lang w:val="es-ES_tradnl"/>
        </w:rPr>
        <w:t xml:space="preserve"> Durante la preparación del proyecto, la DNV informó al Banco </w:t>
      </w:r>
      <w:r w:rsidR="00276448">
        <w:rPr>
          <w:lang w:val="es-ES_tradnl"/>
        </w:rPr>
        <w:t>que</w:t>
      </w:r>
      <w:r w:rsidRPr="00976BFF">
        <w:rPr>
          <w:lang w:val="es-ES_tradnl"/>
        </w:rPr>
        <w:t xml:space="preserve"> las modificaciones </w:t>
      </w:r>
      <w:r w:rsidR="00276448">
        <w:rPr>
          <w:lang w:val="es-ES_tradnl"/>
        </w:rPr>
        <w:t>del</w:t>
      </w:r>
      <w:r w:rsidRPr="00976BFF">
        <w:rPr>
          <w:lang w:val="es-ES_tradnl"/>
        </w:rPr>
        <w:t xml:space="preserve"> TOCAF entrarían en vigencia en 2012. El TOCAF actualizado</w:t>
      </w:r>
      <w:r w:rsidR="00276448">
        <w:rPr>
          <w:lang w:val="es-ES_tradnl"/>
        </w:rPr>
        <w:t>, que</w:t>
      </w:r>
      <w:r w:rsidRPr="00976BFF">
        <w:rPr>
          <w:lang w:val="es-ES_tradnl"/>
        </w:rPr>
        <w:t xml:space="preserve"> entró en vigor el 1 de junio de 2012 (</w:t>
      </w:r>
      <w:r w:rsidR="008877A5">
        <w:rPr>
          <w:lang w:val="es-ES_tradnl"/>
        </w:rPr>
        <w:t>d</w:t>
      </w:r>
      <w:r w:rsidR="008877A5" w:rsidRPr="00976BFF">
        <w:rPr>
          <w:lang w:val="es-ES_tradnl"/>
        </w:rPr>
        <w:t>ecreto</w:t>
      </w:r>
      <w:r w:rsidR="008877A5">
        <w:rPr>
          <w:lang w:val="es-ES_tradnl"/>
        </w:rPr>
        <w:t xml:space="preserve"> </w:t>
      </w:r>
      <w:r w:rsidR="00276448">
        <w:rPr>
          <w:lang w:val="es-ES_tradnl"/>
        </w:rPr>
        <w:t>n.</w:t>
      </w:r>
      <w:r w:rsidR="00276448" w:rsidRPr="00276448">
        <w:rPr>
          <w:vertAlign w:val="superscript"/>
          <w:lang w:val="es-ES_tradnl"/>
        </w:rPr>
        <w:t>o</w:t>
      </w:r>
      <w:r w:rsidRPr="00976BFF">
        <w:rPr>
          <w:lang w:val="es-ES_tradnl"/>
        </w:rPr>
        <w:t xml:space="preserve"> 150/12)</w:t>
      </w:r>
      <w:r w:rsidR="00276448">
        <w:rPr>
          <w:lang w:val="es-ES_tradnl"/>
        </w:rPr>
        <w:t>,</w:t>
      </w:r>
      <w:r w:rsidRPr="00976BFF">
        <w:rPr>
          <w:lang w:val="es-ES_tradnl"/>
        </w:rPr>
        <w:t xml:space="preserve"> incluye mejoras significativas del marco jurídico de las adquisiciones</w:t>
      </w:r>
      <w:r w:rsidR="00276448">
        <w:rPr>
          <w:lang w:val="es-ES_tradnl"/>
        </w:rPr>
        <w:t xml:space="preserve"> y </w:t>
      </w:r>
      <w:r w:rsidRPr="00976BFF">
        <w:rPr>
          <w:lang w:val="es-ES_tradnl"/>
        </w:rPr>
        <w:t xml:space="preserve">es probable que contribuya a abordar áreas en las que el desempeño del sistema es </w:t>
      </w:r>
      <w:r w:rsidR="00CE6A11">
        <w:rPr>
          <w:lang w:val="es-ES_tradnl"/>
        </w:rPr>
        <w:t>deficiente</w:t>
      </w:r>
      <w:r w:rsidRPr="00976BFF">
        <w:rPr>
          <w:lang w:val="es-ES_tradnl"/>
        </w:rPr>
        <w:t xml:space="preserve"> en la actualidad, como el tiempo para evaluar las ofertas y adjudicar los contratos. En particular, algunas de las medidas aumentarían la seguridad y la confidencialidad de las ofertas (</w:t>
      </w:r>
      <w:r w:rsidR="00276448">
        <w:rPr>
          <w:lang w:val="es-ES_tradnl"/>
        </w:rPr>
        <w:t>ofertas</w:t>
      </w:r>
      <w:r w:rsidRPr="00976BFF">
        <w:rPr>
          <w:lang w:val="es-ES_tradnl"/>
        </w:rPr>
        <w:t xml:space="preserve"> electrónicas), la transparencia (en caso de que el ordenador de gasto pase por alto la recomendación del TCR) y los posibles conflictos de intereses (divulgación de la información). </w:t>
      </w:r>
    </w:p>
    <w:p w:rsidR="00956A33" w:rsidRPr="00976BFF" w:rsidRDefault="00956A33" w:rsidP="00EB3076">
      <w:pPr>
        <w:pStyle w:val="Annexmain"/>
        <w:ind w:firstLine="0"/>
        <w:rPr>
          <w:lang w:val="es-ES_tradnl"/>
        </w:rPr>
      </w:pPr>
      <w:r w:rsidRPr="00976BFF">
        <w:rPr>
          <w:b/>
          <w:lang w:val="es-ES_tradnl"/>
        </w:rPr>
        <w:t>Especificidades del proceso de adquisiciones del BID y del FONPLATA.</w:t>
      </w:r>
      <w:r w:rsidRPr="00976BFF">
        <w:rPr>
          <w:lang w:val="es-ES_tradnl"/>
        </w:rPr>
        <w:t xml:space="preserve"> Se prevé que las actividades de las obras financiadas por el BID</w:t>
      </w:r>
      <w:r w:rsidR="00276448">
        <w:rPr>
          <w:lang w:val="es-ES_tradnl"/>
        </w:rPr>
        <w:t xml:space="preserve"> que superen </w:t>
      </w:r>
      <w:r w:rsidRPr="00976BFF">
        <w:rPr>
          <w:lang w:val="es-ES_tradnl"/>
        </w:rPr>
        <w:t xml:space="preserve">determinados umbrales de montos contractuales estén sujetas a </w:t>
      </w:r>
      <w:r w:rsidR="00276448">
        <w:rPr>
          <w:lang w:val="es-ES_tradnl"/>
        </w:rPr>
        <w:t>su</w:t>
      </w:r>
      <w:r w:rsidRPr="00976BFF">
        <w:rPr>
          <w:lang w:val="es-ES_tradnl"/>
        </w:rPr>
        <w:t>s políticas y normas en materia de adquisiciones. Para los contratos financiados por el FONPLATA se utilizarán los sistemas de adquisiciones ordinarios de Uruguay, pero solo se adjudicarán contratos a empresas pertenecientes a países miembros del FONPLATA (Uruguay, Brasil, Argentina, Paraguay y Bolivia). No obstante, se considera que estas características de los contratos financiados por el BID y el FONPLATA son compatibles con los requisitos de la OP 9.00.</w:t>
      </w:r>
    </w:p>
    <w:p w:rsidR="00956A33" w:rsidRPr="00976BFF" w:rsidRDefault="00956A33" w:rsidP="00EB3076">
      <w:pPr>
        <w:pStyle w:val="Annexmain"/>
        <w:ind w:firstLine="0"/>
        <w:rPr>
          <w:lang w:val="es-ES_tradnl"/>
        </w:rPr>
      </w:pPr>
      <w:r w:rsidRPr="00976BFF">
        <w:rPr>
          <w:b/>
          <w:lang w:val="es-ES_tradnl"/>
        </w:rPr>
        <w:t>Métodos de adquisición.</w:t>
      </w:r>
      <w:r w:rsidRPr="00976BFF">
        <w:rPr>
          <w:lang w:val="es-ES_tradnl"/>
        </w:rPr>
        <w:t xml:space="preserve"> La licitación competitiva y abierta, denominada licitación pública en el TOCAF, es el método normal de adquisiciones del país. Este método exige publicar la invitación a presentar ofertas en el Diario Oficial, en un periódico de circulación nacional y en el sitio web </w:t>
      </w:r>
      <w:r w:rsidR="00451386">
        <w:rPr>
          <w:lang w:val="es-ES_tradnl"/>
        </w:rPr>
        <w:t>“</w:t>
      </w:r>
      <w:r w:rsidRPr="000B5989">
        <w:rPr>
          <w:lang w:val="es-ES_tradnl"/>
        </w:rPr>
        <w:t>Comprasestatales</w:t>
      </w:r>
      <w:r w:rsidR="00451386">
        <w:rPr>
          <w:lang w:val="es-ES_tradnl"/>
        </w:rPr>
        <w:t>”</w:t>
      </w:r>
      <w:r w:rsidRPr="00976BFF">
        <w:rPr>
          <w:lang w:val="es-ES_tradnl"/>
        </w:rPr>
        <w:t xml:space="preserve">. Los otros métodos disponibles son la licitación abreviada, la compra directa basada en el monto y la compra directa por excepción. El equivalente a la licitación pública es el principal instrumento de adquisición que implementó CVU para llevar a cabo su </w:t>
      </w:r>
      <w:r w:rsidR="00CE6A11">
        <w:rPr>
          <w:lang w:val="es-ES_tradnl"/>
        </w:rPr>
        <w:t>p</w:t>
      </w:r>
      <w:r w:rsidR="009B073D" w:rsidRPr="00976BFF">
        <w:rPr>
          <w:lang w:val="es-ES_tradnl"/>
        </w:rPr>
        <w:t>rograma</w:t>
      </w:r>
      <w:r w:rsidRPr="00976BFF">
        <w:rPr>
          <w:lang w:val="es-ES_tradnl"/>
        </w:rPr>
        <w:t xml:space="preserve"> de trabajo.</w:t>
      </w:r>
    </w:p>
    <w:p w:rsidR="00956A33" w:rsidRPr="00976BFF" w:rsidRDefault="00956A33" w:rsidP="00EB3076">
      <w:pPr>
        <w:pStyle w:val="Annexmain"/>
        <w:ind w:firstLine="0"/>
        <w:rPr>
          <w:lang w:val="es-ES_tradnl"/>
        </w:rPr>
      </w:pPr>
      <w:r w:rsidRPr="00976BFF">
        <w:rPr>
          <w:b/>
          <w:lang w:val="es-ES_tradnl"/>
        </w:rPr>
        <w:t>Documentos de licitación.</w:t>
      </w:r>
      <w:r w:rsidRPr="00976BFF">
        <w:rPr>
          <w:lang w:val="es-ES_tradnl"/>
        </w:rPr>
        <w:t xml:space="preserve"> El MTOP publicó las condiciones generales de los documentos de licitación para la adquisición de obras en 1990, pero no se han actualizado recientemente. Dichas condiciones se aplican a todos los documentos de licitación que publica el MTOP. Además, aunque no existe ningún documento de licitación estándar de uso obligatorio, la DNV utiliza el mismo formato para todos los documentos de licitación, que constituye un modelo de documento de licitación estándar </w:t>
      </w:r>
      <w:r w:rsidRPr="00276448">
        <w:rPr>
          <w:i/>
          <w:lang w:val="es-ES_tradnl"/>
        </w:rPr>
        <w:t>de facto</w:t>
      </w:r>
      <w:r w:rsidRPr="00976BFF">
        <w:rPr>
          <w:lang w:val="es-ES_tradnl"/>
        </w:rPr>
        <w:t xml:space="preserve">. De la misma manera, CVU ha elaborado documentos de licitación estándar </w:t>
      </w:r>
      <w:r w:rsidRPr="00276448">
        <w:rPr>
          <w:i/>
          <w:lang w:val="es-ES_tradnl"/>
        </w:rPr>
        <w:t>de facto</w:t>
      </w:r>
      <w:r w:rsidRPr="00976BFF">
        <w:rPr>
          <w:lang w:val="es-ES_tradnl"/>
        </w:rPr>
        <w:t>, similares a los de la DNV.</w:t>
      </w:r>
    </w:p>
    <w:p w:rsidR="00956A33" w:rsidRPr="00976BFF" w:rsidRDefault="00956A33" w:rsidP="00EB3076">
      <w:pPr>
        <w:pStyle w:val="Annexmain"/>
        <w:autoSpaceDE w:val="0"/>
        <w:ind w:firstLine="0"/>
        <w:rPr>
          <w:lang w:val="es-ES_tradnl"/>
        </w:rPr>
      </w:pPr>
      <w:r w:rsidRPr="00976BFF">
        <w:rPr>
          <w:b/>
          <w:lang w:val="es-ES_tradnl"/>
        </w:rPr>
        <w:t>Registro nacional de contratistas.</w:t>
      </w:r>
      <w:r w:rsidRPr="00976BFF">
        <w:rPr>
          <w:lang w:val="es-ES_tradnl"/>
        </w:rPr>
        <w:t xml:space="preserve"> </w:t>
      </w:r>
      <w:r w:rsidR="00276448">
        <w:rPr>
          <w:lang w:val="es-ES_tradnl"/>
        </w:rPr>
        <w:t>L</w:t>
      </w:r>
      <w:r w:rsidRPr="00976BFF">
        <w:rPr>
          <w:lang w:val="es-ES_tradnl"/>
        </w:rPr>
        <w:t xml:space="preserve">os contratistas, tanto de la DNV como de CVU, </w:t>
      </w:r>
      <w:r w:rsidR="00276448">
        <w:rPr>
          <w:lang w:val="es-ES_tradnl"/>
        </w:rPr>
        <w:t xml:space="preserve">deben inscribirse </w:t>
      </w:r>
      <w:r w:rsidRPr="00976BFF">
        <w:rPr>
          <w:lang w:val="es-ES_tradnl"/>
        </w:rPr>
        <w:t>en el Registro Nacional de Empresas de Obras Públicas para poder presentar ofertas y firmar contratos de obras con el Gobierno de Uruguay</w:t>
      </w:r>
      <w:r w:rsidRPr="00976BFF">
        <w:rPr>
          <w:rFonts w:ascii="ZWAdobeF" w:hAnsi="ZWAdobeF" w:cs="ZWAdobeF"/>
          <w:sz w:val="2"/>
          <w:szCs w:val="2"/>
          <w:lang w:val="es-ES_tradnl"/>
        </w:rPr>
        <w:t>4F</w:t>
      </w:r>
      <w:r w:rsidRPr="00976BFF">
        <w:rPr>
          <w:vertAlign w:val="superscript"/>
          <w:lang w:val="es-ES_tradnl"/>
        </w:rPr>
        <w:footnoteReference w:id="25"/>
      </w:r>
      <w:r w:rsidRPr="00976BFF">
        <w:rPr>
          <w:lang w:val="es-ES_tradnl"/>
        </w:rPr>
        <w:t>. La inscripción se realiza en el MTOP y se exige una representación local</w:t>
      </w:r>
      <w:r w:rsidRPr="00976BFF">
        <w:rPr>
          <w:vertAlign w:val="superscript"/>
          <w:lang w:val="es-ES_tradnl"/>
        </w:rPr>
        <w:footnoteReference w:id="26"/>
      </w:r>
      <w:r w:rsidRPr="00976BFF">
        <w:rPr>
          <w:lang w:val="es-ES_tradnl"/>
        </w:rPr>
        <w:t xml:space="preserve"> en el caso de los contratos financiados por el </w:t>
      </w:r>
      <w:r w:rsidR="008A1019">
        <w:rPr>
          <w:lang w:val="es-ES_tradnl"/>
        </w:rPr>
        <w:t>programa</w:t>
      </w:r>
      <w:r w:rsidRPr="00976BFF">
        <w:rPr>
          <w:lang w:val="es-ES_tradnl"/>
        </w:rPr>
        <w:t xml:space="preserve">. Las empresas privadas y las personas físicas se eliminan del registro nacional tras una sanción del Estado relacionada con actos de fraude y corrupción. </w:t>
      </w:r>
      <w:r w:rsidR="00276448">
        <w:rPr>
          <w:lang w:val="es-ES_tradnl"/>
        </w:rPr>
        <w:t>Esta</w:t>
      </w:r>
      <w:r w:rsidRPr="00976BFF">
        <w:rPr>
          <w:lang w:val="es-ES_tradnl"/>
        </w:rPr>
        <w:t xml:space="preserve"> eliminación </w:t>
      </w:r>
      <w:r w:rsidR="00276448">
        <w:rPr>
          <w:lang w:val="es-ES_tradnl"/>
        </w:rPr>
        <w:t xml:space="preserve">las </w:t>
      </w:r>
      <w:r w:rsidRPr="00976BFF">
        <w:rPr>
          <w:lang w:val="es-ES_tradnl"/>
        </w:rPr>
        <w:t>inhabilita</w:t>
      </w:r>
      <w:r w:rsidR="00276448">
        <w:rPr>
          <w:lang w:val="es-ES_tradnl"/>
        </w:rPr>
        <w:t xml:space="preserve"> </w:t>
      </w:r>
      <w:r w:rsidR="00276448" w:rsidRPr="00976BFF">
        <w:rPr>
          <w:lang w:val="es-ES_tradnl"/>
        </w:rPr>
        <w:t>automáticamente</w:t>
      </w:r>
      <w:r w:rsidRPr="00976BFF">
        <w:rPr>
          <w:lang w:val="es-ES_tradnl"/>
        </w:rPr>
        <w:t xml:space="preserve"> para participar en cualquier contrato público </w:t>
      </w:r>
      <w:r w:rsidR="00276448">
        <w:rPr>
          <w:lang w:val="es-ES_tradnl"/>
        </w:rPr>
        <w:t xml:space="preserve">en el </w:t>
      </w:r>
      <w:r w:rsidRPr="00976BFF">
        <w:rPr>
          <w:lang w:val="es-ES_tradnl"/>
        </w:rPr>
        <w:t>futuro.</w:t>
      </w:r>
    </w:p>
    <w:p w:rsidR="00956A33" w:rsidRPr="00976BFF" w:rsidRDefault="00956A33" w:rsidP="00EB3076">
      <w:pPr>
        <w:pStyle w:val="Annexmain"/>
        <w:ind w:firstLine="0"/>
        <w:rPr>
          <w:lang w:val="es-ES_tradnl"/>
        </w:rPr>
      </w:pPr>
      <w:r w:rsidRPr="00976BFF">
        <w:rPr>
          <w:b/>
          <w:lang w:val="es-ES_tradnl"/>
        </w:rPr>
        <w:t>Marco de CVU para las adquisiciones.</w:t>
      </w:r>
      <w:r w:rsidRPr="00976BFF">
        <w:rPr>
          <w:lang w:val="es-ES_tradnl"/>
        </w:rPr>
        <w:t xml:space="preserve"> El marco que regula las actividades de CVU es el contrato de concesión firmado por CVU y la DNV en 2002. E</w:t>
      </w:r>
      <w:r w:rsidR="00276448">
        <w:rPr>
          <w:lang w:val="es-ES_tradnl"/>
        </w:rPr>
        <w:t xml:space="preserve">n virtud del mismo, </w:t>
      </w:r>
      <w:r w:rsidRPr="00976BFF">
        <w:rPr>
          <w:lang w:val="es-ES_tradnl"/>
        </w:rPr>
        <w:t xml:space="preserve">CVU </w:t>
      </w:r>
      <w:r w:rsidR="00276448">
        <w:rPr>
          <w:lang w:val="es-ES_tradnl"/>
        </w:rPr>
        <w:t>está obligada a</w:t>
      </w:r>
      <w:r w:rsidRPr="00976BFF">
        <w:rPr>
          <w:lang w:val="es-ES_tradnl"/>
        </w:rPr>
        <w:t xml:space="preserve"> publicar las oportunidades de adquisición en el Diario Oficial y en un periódico de circulación nacional, y</w:t>
      </w:r>
      <w:r w:rsidR="003C3F5D">
        <w:rPr>
          <w:lang w:val="es-ES_tradnl"/>
        </w:rPr>
        <w:t xml:space="preserve"> debe asignar al menos</w:t>
      </w:r>
      <w:r w:rsidRPr="00976BFF">
        <w:rPr>
          <w:lang w:val="es-ES_tradnl"/>
        </w:rPr>
        <w:t xml:space="preserve"> 14 días para la presentación de ofertas </w:t>
      </w:r>
      <w:r w:rsidR="003C3F5D">
        <w:rPr>
          <w:lang w:val="es-ES_tradnl"/>
        </w:rPr>
        <w:t>relativas a</w:t>
      </w:r>
      <w:r w:rsidRPr="00976BFF">
        <w:rPr>
          <w:lang w:val="es-ES_tradnl"/>
        </w:rPr>
        <w:t xml:space="preserve"> todos los contratos con un costo estimado de US$75 000 o superior. Las invitaciones a presentar ofertas, así como la adjudicación de los contratos y los contratos firmados, se publican en el sitio web de CVU. En la cláusula 19.1 del contrato de concesión se establece, además, que CVU debe tratar a todos los licitantes por igual independientemente del monto del contrato.</w:t>
      </w:r>
    </w:p>
    <w:p w:rsidR="00956A33" w:rsidRPr="00976BFF" w:rsidRDefault="00956A33" w:rsidP="00EB3076">
      <w:pPr>
        <w:pStyle w:val="Annexmain"/>
        <w:ind w:firstLine="0"/>
        <w:rPr>
          <w:lang w:val="es-ES_tradnl"/>
        </w:rPr>
      </w:pPr>
      <w:r w:rsidRPr="00976BFF">
        <w:rPr>
          <w:b/>
          <w:lang w:val="es-ES_tradnl"/>
        </w:rPr>
        <w:t>Administración de contratos.</w:t>
      </w:r>
      <w:r w:rsidRPr="00976BFF">
        <w:rPr>
          <w:lang w:val="es-ES_tradnl"/>
        </w:rPr>
        <w:t xml:space="preserve"> De acuerdo con el TOCAF, una </w:t>
      </w:r>
      <w:r w:rsidR="003C3F5D">
        <w:rPr>
          <w:lang w:val="es-ES_tradnl"/>
        </w:rPr>
        <w:t>empresa</w:t>
      </w:r>
      <w:r w:rsidRPr="00976BFF">
        <w:rPr>
          <w:lang w:val="es-ES_tradnl"/>
        </w:rPr>
        <w:t xml:space="preserve"> a la que se le adjudicó un contrato </w:t>
      </w:r>
      <w:r w:rsidR="003C3F5D">
        <w:rPr>
          <w:lang w:val="es-ES_tradnl"/>
        </w:rPr>
        <w:t>de</w:t>
      </w:r>
      <w:r w:rsidRPr="00976BFF">
        <w:rPr>
          <w:lang w:val="es-ES_tradnl"/>
        </w:rPr>
        <w:t xml:space="preserve"> obras puede transferir ese contrato a otra empresa con el consentimiento del </w:t>
      </w:r>
      <w:r w:rsidR="007A5EEC">
        <w:rPr>
          <w:lang w:val="es-ES_tradnl"/>
        </w:rPr>
        <w:t>contratante</w:t>
      </w:r>
      <w:r w:rsidRPr="00976BFF">
        <w:rPr>
          <w:lang w:val="es-ES_tradnl"/>
        </w:rPr>
        <w:t xml:space="preserve"> y siempre que la nueva empresa reúna los requisitos necesarios para cumplir el contrato. Sin embargo, esto rara vez ocurre. Los equipos técnicos de la DNV pueden modificar el monto </w:t>
      </w:r>
      <w:r w:rsidR="007A5EEC">
        <w:rPr>
          <w:lang w:val="es-ES_tradnl"/>
        </w:rPr>
        <w:t>contractual</w:t>
      </w:r>
      <w:r w:rsidRPr="00976BFF">
        <w:rPr>
          <w:lang w:val="es-ES_tradnl"/>
        </w:rPr>
        <w:t xml:space="preserve"> en hasta un 20%. Cuando el monto es superior, el ordenador de gasto debe autorizar las modificaciones, que no pueden superar el 100% del monto original del contrato. Las controversias relativas a los contratos se abordan, en un principio, a través de procedimientos administrativos. Si no se resuelven por esa vía, los conflictos se presentan ante el TCA para su revisión.</w:t>
      </w:r>
    </w:p>
    <w:p w:rsidR="00956A33" w:rsidRPr="00976BFF" w:rsidRDefault="00956A33" w:rsidP="00EB3076">
      <w:pPr>
        <w:pStyle w:val="Annexmain"/>
        <w:ind w:firstLine="0"/>
        <w:rPr>
          <w:lang w:val="es-ES_tradnl"/>
        </w:rPr>
      </w:pPr>
      <w:r w:rsidRPr="00976BFF">
        <w:rPr>
          <w:b/>
          <w:lang w:val="es-ES_tradnl"/>
        </w:rPr>
        <w:t>Pagos y flujo de fondos.</w:t>
      </w:r>
      <w:r w:rsidRPr="00976BFF">
        <w:rPr>
          <w:lang w:val="es-ES_tradnl"/>
        </w:rPr>
        <w:t xml:space="preserve"> El </w:t>
      </w:r>
      <w:r w:rsidR="008A1019">
        <w:rPr>
          <w:lang w:val="es-ES_tradnl"/>
        </w:rPr>
        <w:t>programa</w:t>
      </w:r>
      <w:r w:rsidRPr="00976BFF">
        <w:rPr>
          <w:lang w:val="es-ES_tradnl"/>
        </w:rPr>
        <w:t xml:space="preserve"> incluye un sistema detallado de control de precios, aplicable a todas las actividades, y los costos conexos. La información proporcionada por los gerentes de proyecto se introduce en el sistema de certificación de obras o “Fiorina”. Una vez que se confirma dicha información, la CGN examina las solicitudes de pago para comprobar </w:t>
      </w:r>
      <w:r w:rsidR="007A5EEC">
        <w:rPr>
          <w:lang w:val="es-ES_tradnl"/>
        </w:rPr>
        <w:t>su</w:t>
      </w:r>
      <w:r w:rsidRPr="00976BFF">
        <w:rPr>
          <w:lang w:val="es-ES_tradnl"/>
        </w:rPr>
        <w:t xml:space="preserve"> solidez financiera, y el TCR constata la coherencia legal. Si se autoriza el pago, el proceso pasará del sistema Fiorina al SIIF. Una vez que se ordena el pago en el SIIF, el proceso pasa al MEF y a la </w:t>
      </w:r>
      <w:r w:rsidR="000F6C8F">
        <w:rPr>
          <w:lang w:val="es-ES_tradnl"/>
        </w:rPr>
        <w:t>t</w:t>
      </w:r>
      <w:r w:rsidR="000F6C8F" w:rsidRPr="00976BFF">
        <w:rPr>
          <w:lang w:val="es-ES_tradnl"/>
        </w:rPr>
        <w:t xml:space="preserve">esorería </w:t>
      </w:r>
      <w:r w:rsidRPr="00976BFF">
        <w:rPr>
          <w:lang w:val="es-ES_tradnl"/>
        </w:rPr>
        <w:t>para liberar los fondos. El proceso asociado a los pagos efectivos que se realizan a través de la TGN también depende, en la mayoría de los casos, de la fuente de financiamiento. Si los fondos provienen de fuentes nacionales (</w:t>
      </w:r>
      <w:r w:rsidR="007A5EEC">
        <w:rPr>
          <w:lang w:val="es-ES_tradnl"/>
        </w:rPr>
        <w:t>habitualmente</w:t>
      </w:r>
      <w:r w:rsidRPr="00976BFF">
        <w:rPr>
          <w:lang w:val="es-ES_tradnl"/>
        </w:rPr>
        <w:t xml:space="preserve">, rentas generales), </w:t>
      </w:r>
      <w:r w:rsidR="00937998" w:rsidRPr="00976BFF">
        <w:rPr>
          <w:lang w:val="es-ES_tradnl"/>
        </w:rPr>
        <w:t xml:space="preserve">en la mayoría de los casos </w:t>
      </w:r>
      <w:r w:rsidRPr="00976BFF">
        <w:rPr>
          <w:lang w:val="es-ES_tradnl"/>
        </w:rPr>
        <w:t xml:space="preserve">los pagos se </w:t>
      </w:r>
      <w:r w:rsidR="007A5EEC">
        <w:rPr>
          <w:lang w:val="es-ES_tradnl"/>
        </w:rPr>
        <w:t>realizan</w:t>
      </w:r>
      <w:r w:rsidRPr="00976BFF">
        <w:rPr>
          <w:lang w:val="es-ES_tradnl"/>
        </w:rPr>
        <w:t xml:space="preserve"> a través del sistema de </w:t>
      </w:r>
      <w:r w:rsidR="00451386">
        <w:rPr>
          <w:lang w:val="es-ES_tradnl"/>
        </w:rPr>
        <w:t>c</w:t>
      </w:r>
      <w:r w:rsidR="00451386" w:rsidRPr="00976BFF">
        <w:rPr>
          <w:lang w:val="es-ES_tradnl"/>
        </w:rPr>
        <w:t xml:space="preserve">uenta </w:t>
      </w:r>
      <w:r w:rsidR="00451386">
        <w:rPr>
          <w:lang w:val="es-ES_tradnl"/>
        </w:rPr>
        <w:t>ú</w:t>
      </w:r>
      <w:r w:rsidR="00451386" w:rsidRPr="00976BFF">
        <w:rPr>
          <w:lang w:val="es-ES_tradnl"/>
        </w:rPr>
        <w:t xml:space="preserve">nica </w:t>
      </w:r>
      <w:r w:rsidR="00451386">
        <w:rPr>
          <w:lang w:val="es-ES_tradnl"/>
        </w:rPr>
        <w:t>n</w:t>
      </w:r>
      <w:r w:rsidR="00451386" w:rsidRPr="00976BFF">
        <w:rPr>
          <w:lang w:val="es-ES_tradnl"/>
        </w:rPr>
        <w:t>acional</w:t>
      </w:r>
      <w:r w:rsidRPr="00976BFF">
        <w:rPr>
          <w:lang w:val="es-ES_tradnl"/>
        </w:rPr>
        <w:t xml:space="preserve">. Si los fondos provienen de financiamiento externo, </w:t>
      </w:r>
      <w:r w:rsidR="008013BE">
        <w:rPr>
          <w:lang w:val="es-ES_tradnl"/>
        </w:rPr>
        <w:t xml:space="preserve">los acreedores los </w:t>
      </w:r>
      <w:r w:rsidRPr="00976BFF">
        <w:rPr>
          <w:lang w:val="es-ES_tradnl"/>
        </w:rPr>
        <w:t xml:space="preserve">transfieren a cuentas designadas en el Banco Central del Uruguay, y luego los pagos se </w:t>
      </w:r>
      <w:r w:rsidR="007A5EEC">
        <w:rPr>
          <w:lang w:val="es-ES_tradnl"/>
        </w:rPr>
        <w:t>realizan</w:t>
      </w:r>
      <w:r w:rsidRPr="00976BFF">
        <w:rPr>
          <w:lang w:val="es-ES_tradnl"/>
        </w:rPr>
        <w:t xml:space="preserve"> a través de una (o varias) cuentas bancarias específicas mantenidas en el Banco República Oriental del Uruguay.</w:t>
      </w:r>
    </w:p>
    <w:p w:rsidR="00956A33" w:rsidRPr="00976BFF" w:rsidRDefault="00956A33" w:rsidP="00EB3076">
      <w:pPr>
        <w:pStyle w:val="Annexmain"/>
        <w:autoSpaceDE w:val="0"/>
        <w:ind w:firstLine="0"/>
        <w:rPr>
          <w:lang w:val="es-ES_tradnl"/>
        </w:rPr>
      </w:pPr>
      <w:r w:rsidRPr="00976BFF">
        <w:rPr>
          <w:b/>
          <w:lang w:val="es-ES_tradnl"/>
        </w:rPr>
        <w:t xml:space="preserve">Información contable y financiera. </w:t>
      </w:r>
      <w:r w:rsidRPr="00976BFF">
        <w:rPr>
          <w:lang w:val="es-ES_tradnl"/>
        </w:rPr>
        <w:t xml:space="preserve">Cada unidad encargada del gasto (inciso) lleva a cabo la ejecución del presupuesto y las transacciones, que se registran a través del </w:t>
      </w:r>
      <w:r w:rsidR="00395594">
        <w:rPr>
          <w:lang w:val="es-ES_tradnl"/>
        </w:rPr>
        <w:t>s</w:t>
      </w:r>
      <w:r w:rsidR="00395594" w:rsidRPr="00976BFF">
        <w:rPr>
          <w:lang w:val="es-ES_tradnl"/>
        </w:rPr>
        <w:t xml:space="preserve">istema </w:t>
      </w:r>
      <w:r w:rsidRPr="00976BFF">
        <w:rPr>
          <w:lang w:val="es-ES_tradnl"/>
        </w:rPr>
        <w:t xml:space="preserve">de </w:t>
      </w:r>
      <w:r w:rsidR="00395594">
        <w:rPr>
          <w:lang w:val="es-ES_tradnl"/>
        </w:rPr>
        <w:t>e</w:t>
      </w:r>
      <w:r w:rsidR="00395594" w:rsidRPr="00976BFF">
        <w:rPr>
          <w:lang w:val="es-ES_tradnl"/>
        </w:rPr>
        <w:t xml:space="preserve">jecución </w:t>
      </w:r>
      <w:r w:rsidRPr="00976BFF">
        <w:rPr>
          <w:lang w:val="es-ES_tradnl"/>
        </w:rPr>
        <w:t xml:space="preserve">de </w:t>
      </w:r>
      <w:r w:rsidR="00395594">
        <w:rPr>
          <w:lang w:val="es-ES_tradnl"/>
        </w:rPr>
        <w:t>g</w:t>
      </w:r>
      <w:r w:rsidR="00395594" w:rsidRPr="00976BFF">
        <w:rPr>
          <w:lang w:val="es-ES_tradnl"/>
        </w:rPr>
        <w:t>astos</w:t>
      </w:r>
      <w:r w:rsidRPr="00976BFF">
        <w:rPr>
          <w:lang w:val="es-ES_tradnl"/>
        </w:rPr>
        <w:t xml:space="preserve">, uno de los pilares del SIIF. Implementado por el MTOP y otras unidades clave encargadas del gasto para todas las actividades incluidas en el </w:t>
      </w:r>
      <w:r w:rsidR="008A1019">
        <w:rPr>
          <w:lang w:val="es-ES_tradnl"/>
        </w:rPr>
        <w:t>programa</w:t>
      </w:r>
      <w:r w:rsidRPr="00976BFF">
        <w:rPr>
          <w:lang w:val="es-ES_tradnl"/>
        </w:rPr>
        <w:t xml:space="preserve">, se trata de una secuencia de contabilidad detallada de cuatro pasos que respalda los controles internos del gasto: 1) </w:t>
      </w:r>
      <w:r w:rsidR="007A5EEC">
        <w:rPr>
          <w:lang w:val="es-ES_tradnl"/>
        </w:rPr>
        <w:t>la a</w:t>
      </w:r>
      <w:r w:rsidRPr="00976BFF">
        <w:rPr>
          <w:lang w:val="es-ES_tradnl"/>
        </w:rPr>
        <w:t>fectación</w:t>
      </w:r>
      <w:r w:rsidR="007A5EEC">
        <w:rPr>
          <w:lang w:val="es-ES_tradnl"/>
        </w:rPr>
        <w:t>, que entraña</w:t>
      </w:r>
      <w:r w:rsidRPr="00976BFF">
        <w:rPr>
          <w:lang w:val="es-ES_tradnl"/>
        </w:rPr>
        <w:t xml:space="preserve"> la inmovilización de fondos dentro del tope que resulta de la planificación financiera y de efectivo acordada entre la unidad encargada del gasto y el MEF; 2) </w:t>
      </w:r>
      <w:r w:rsidR="007A5EEC">
        <w:rPr>
          <w:lang w:val="es-ES_tradnl"/>
        </w:rPr>
        <w:t>el c</w:t>
      </w:r>
      <w:r w:rsidRPr="00976BFF">
        <w:rPr>
          <w:lang w:val="es-ES_tradnl"/>
        </w:rPr>
        <w:t>ompromiso</w:t>
      </w:r>
      <w:r w:rsidR="007A5EEC">
        <w:rPr>
          <w:lang w:val="es-ES_tradnl"/>
        </w:rPr>
        <w:t>, que permite identificar a</w:t>
      </w:r>
      <w:r w:rsidRPr="00976BFF">
        <w:rPr>
          <w:lang w:val="es-ES_tradnl"/>
        </w:rPr>
        <w:t xml:space="preserve"> la contraparte del gasto (proveedor, etc.) y realiza</w:t>
      </w:r>
      <w:r w:rsidR="007A5EEC">
        <w:rPr>
          <w:lang w:val="es-ES_tradnl"/>
        </w:rPr>
        <w:t>r</w:t>
      </w:r>
      <w:r w:rsidRPr="00976BFF">
        <w:rPr>
          <w:lang w:val="es-ES_tradnl"/>
        </w:rPr>
        <w:t xml:space="preserve"> el primer registro en el </w:t>
      </w:r>
      <w:r w:rsidR="00395594">
        <w:rPr>
          <w:lang w:val="es-ES_tradnl"/>
        </w:rPr>
        <w:t>s</w:t>
      </w:r>
      <w:r w:rsidR="00395594" w:rsidRPr="00976BFF">
        <w:rPr>
          <w:lang w:val="es-ES_tradnl"/>
        </w:rPr>
        <w:t xml:space="preserve">istema de </w:t>
      </w:r>
      <w:r w:rsidR="00395594">
        <w:rPr>
          <w:lang w:val="es-ES_tradnl"/>
        </w:rPr>
        <w:t>e</w:t>
      </w:r>
      <w:r w:rsidR="00395594" w:rsidRPr="00976BFF">
        <w:rPr>
          <w:lang w:val="es-ES_tradnl"/>
        </w:rPr>
        <w:t xml:space="preserve">jecución de </w:t>
      </w:r>
      <w:r w:rsidR="00395594">
        <w:rPr>
          <w:lang w:val="es-ES_tradnl"/>
        </w:rPr>
        <w:t>g</w:t>
      </w:r>
      <w:r w:rsidR="00395594" w:rsidRPr="00976BFF">
        <w:rPr>
          <w:lang w:val="es-ES_tradnl"/>
        </w:rPr>
        <w:t>astos</w:t>
      </w:r>
      <w:r w:rsidRPr="00976BFF">
        <w:rPr>
          <w:lang w:val="es-ES_tradnl"/>
        </w:rPr>
        <w:t xml:space="preserve">; 3) </w:t>
      </w:r>
      <w:r w:rsidR="007A5EEC">
        <w:rPr>
          <w:lang w:val="es-ES_tradnl"/>
        </w:rPr>
        <w:t>la o</w:t>
      </w:r>
      <w:r w:rsidRPr="00976BFF">
        <w:rPr>
          <w:lang w:val="es-ES_tradnl"/>
        </w:rPr>
        <w:t>bligación</w:t>
      </w:r>
      <w:r w:rsidR="007A5EEC">
        <w:rPr>
          <w:lang w:val="es-ES_tradnl"/>
        </w:rPr>
        <w:t>, que s</w:t>
      </w:r>
      <w:r w:rsidRPr="00976BFF">
        <w:rPr>
          <w:lang w:val="es-ES_tradnl"/>
        </w:rPr>
        <w:t xml:space="preserve">e refiere a los gastos devengados, a saber, los incurridos legalmente pero aún sin liquidar (también registrados en el </w:t>
      </w:r>
      <w:r w:rsidR="00395594">
        <w:rPr>
          <w:lang w:val="es-ES_tradnl"/>
        </w:rPr>
        <w:t>s</w:t>
      </w:r>
      <w:r w:rsidR="00395594" w:rsidRPr="00976BFF">
        <w:rPr>
          <w:lang w:val="es-ES_tradnl"/>
        </w:rPr>
        <w:t xml:space="preserve">istema de </w:t>
      </w:r>
      <w:r w:rsidR="00395594">
        <w:rPr>
          <w:lang w:val="es-ES_tradnl"/>
        </w:rPr>
        <w:t>e</w:t>
      </w:r>
      <w:r w:rsidR="00395594" w:rsidRPr="00976BFF">
        <w:rPr>
          <w:lang w:val="es-ES_tradnl"/>
        </w:rPr>
        <w:t xml:space="preserve">jecución de </w:t>
      </w:r>
      <w:r w:rsidR="00395594">
        <w:rPr>
          <w:lang w:val="es-ES_tradnl"/>
        </w:rPr>
        <w:t>g</w:t>
      </w:r>
      <w:r w:rsidR="00395594" w:rsidRPr="00976BFF">
        <w:rPr>
          <w:lang w:val="es-ES_tradnl"/>
        </w:rPr>
        <w:t>astos</w:t>
      </w:r>
      <w:r w:rsidRPr="00976BFF">
        <w:rPr>
          <w:lang w:val="es-ES_tradnl"/>
        </w:rPr>
        <w:t>)</w:t>
      </w:r>
      <w:r w:rsidR="00022A05">
        <w:rPr>
          <w:lang w:val="es-ES_tradnl"/>
        </w:rPr>
        <w:t>,</w:t>
      </w:r>
      <w:r w:rsidR="007A5EEC">
        <w:rPr>
          <w:lang w:val="es-ES_tradnl"/>
        </w:rPr>
        <w:t xml:space="preserve"> y</w:t>
      </w:r>
      <w:r w:rsidRPr="00976BFF">
        <w:rPr>
          <w:lang w:val="es-ES_tradnl"/>
        </w:rPr>
        <w:t xml:space="preserve"> 4) </w:t>
      </w:r>
      <w:r w:rsidR="007A5EEC">
        <w:rPr>
          <w:lang w:val="es-ES_tradnl"/>
        </w:rPr>
        <w:t>el p</w:t>
      </w:r>
      <w:r w:rsidRPr="00976BFF">
        <w:rPr>
          <w:lang w:val="es-ES_tradnl"/>
        </w:rPr>
        <w:t>ago</w:t>
      </w:r>
      <w:r w:rsidR="007A5EEC">
        <w:rPr>
          <w:lang w:val="es-ES_tradnl"/>
        </w:rPr>
        <w:t xml:space="preserve">, que consiste en </w:t>
      </w:r>
      <w:r w:rsidRPr="00976BFF">
        <w:rPr>
          <w:lang w:val="es-ES_tradnl"/>
        </w:rPr>
        <w:t xml:space="preserve">el pago efectivo </w:t>
      </w:r>
      <w:r w:rsidR="007A5EEC">
        <w:rPr>
          <w:lang w:val="es-ES_tradnl"/>
        </w:rPr>
        <w:t>a través</w:t>
      </w:r>
      <w:r w:rsidRPr="00976BFF">
        <w:rPr>
          <w:lang w:val="es-ES_tradnl"/>
        </w:rPr>
        <w:t xml:space="preserve"> de una cuenta bancaria administrada por la tesorería. La CGN consolida y </w:t>
      </w:r>
      <w:r w:rsidR="007A5EEC">
        <w:rPr>
          <w:lang w:val="es-ES_tradnl"/>
        </w:rPr>
        <w:t>declara</w:t>
      </w:r>
      <w:r w:rsidRPr="00976BFF">
        <w:rPr>
          <w:lang w:val="es-ES_tradnl"/>
        </w:rPr>
        <w:t xml:space="preserve"> la información registrada en el SIIF en forma mensual. Esta información también está disponible al público</w:t>
      </w:r>
      <w:r w:rsidR="007A5EEC">
        <w:rPr>
          <w:lang w:val="es-ES_tradnl"/>
        </w:rPr>
        <w:t>,</w:t>
      </w:r>
      <w:r w:rsidRPr="00976BFF">
        <w:rPr>
          <w:lang w:val="es-ES_tradnl"/>
        </w:rPr>
        <w:t xml:space="preserve"> normalmente dentro de los tres meses de su ejecución efectiva</w:t>
      </w:r>
      <w:r w:rsidRPr="00976BFF">
        <w:rPr>
          <w:vertAlign w:val="superscript"/>
          <w:lang w:val="es-ES_tradnl"/>
        </w:rPr>
        <w:footnoteReference w:id="27"/>
      </w:r>
      <w:r w:rsidRPr="00976BFF">
        <w:rPr>
          <w:lang w:val="es-ES_tradnl"/>
        </w:rPr>
        <w:t xml:space="preserve">. La CGN emite la </w:t>
      </w:r>
      <w:r w:rsidR="00343B72">
        <w:rPr>
          <w:lang w:val="es-ES_tradnl"/>
        </w:rPr>
        <w:t>rendición de cuentas</w:t>
      </w:r>
      <w:r w:rsidR="00343B72" w:rsidRPr="00976BFF">
        <w:rPr>
          <w:lang w:val="es-ES_tradnl"/>
        </w:rPr>
        <w:t xml:space="preserve"> </w:t>
      </w:r>
      <w:r w:rsidRPr="00976BFF">
        <w:rPr>
          <w:lang w:val="es-ES_tradnl"/>
        </w:rPr>
        <w:t>y la presenta ante el TCR para su auditoría.</w:t>
      </w:r>
    </w:p>
    <w:p w:rsidR="00956A33" w:rsidRPr="00976BFF" w:rsidRDefault="00956A33" w:rsidP="00EB3076">
      <w:pPr>
        <w:pStyle w:val="Heading3"/>
        <w:rPr>
          <w:lang w:val="es-ES_tradnl"/>
        </w:rPr>
      </w:pPr>
      <w:bookmarkStart w:id="84" w:name="_Toc344927209"/>
      <w:r w:rsidRPr="00976BFF">
        <w:rPr>
          <w:lang w:val="es-ES_tradnl"/>
        </w:rPr>
        <w:t>Controles y auditorías</w:t>
      </w:r>
      <w:bookmarkEnd w:id="84"/>
      <w:r w:rsidRPr="00976BFF">
        <w:rPr>
          <w:lang w:val="es-ES_tradnl"/>
        </w:rPr>
        <w:t xml:space="preserve"> </w:t>
      </w:r>
    </w:p>
    <w:p w:rsidR="00956A33" w:rsidRPr="00976BFF" w:rsidRDefault="00956A33" w:rsidP="00EB3076">
      <w:pPr>
        <w:pStyle w:val="Annexmain"/>
        <w:ind w:firstLine="0"/>
        <w:rPr>
          <w:lang w:val="es-ES_tradnl"/>
        </w:rPr>
      </w:pPr>
      <w:r w:rsidRPr="00976BFF">
        <w:rPr>
          <w:u w:val="single"/>
          <w:lang w:val="es-ES_tradnl"/>
        </w:rPr>
        <w:t>Adquisiciones.</w:t>
      </w:r>
      <w:r w:rsidRPr="00976BFF">
        <w:rPr>
          <w:lang w:val="es-ES_tradnl"/>
        </w:rPr>
        <w:t xml:space="preserve"> Existe una clara definición y división de las funciones que forman parte del proceso de adquisiciones. Los funcionarios y los comités que participan en la ejecución de los procesos de adquisiciones trabajan en forma independiente y son responsables de su contribución individual al proceso. Las funciones más importantes de este proceso las desempeñan el ordenador de gasto, el escribano, la comisión asesora de adjudicación y </w:t>
      </w:r>
      <w:r w:rsidR="001C47AE">
        <w:rPr>
          <w:lang w:val="es-ES_tradnl"/>
        </w:rPr>
        <w:t xml:space="preserve">el TCR. El papel que cumple el </w:t>
      </w:r>
      <w:r w:rsidRPr="00976BFF">
        <w:rPr>
          <w:lang w:val="es-ES_tradnl"/>
        </w:rPr>
        <w:t>MTOP es fundamental pues controla los procesos de adquisiciones de CVU</w:t>
      </w:r>
      <w:r w:rsidR="007A5EEC">
        <w:rPr>
          <w:lang w:val="es-ES_tradnl"/>
        </w:rPr>
        <w:t xml:space="preserve">, especialmente la adjudicación de </w:t>
      </w:r>
      <w:r w:rsidRPr="00976BFF">
        <w:rPr>
          <w:lang w:val="es-ES_tradnl"/>
        </w:rPr>
        <w:t>los contratos</w:t>
      </w:r>
      <w:r w:rsidR="007A5EEC">
        <w:rPr>
          <w:lang w:val="es-ES_tradnl"/>
        </w:rPr>
        <w:t xml:space="preserve">, que requiere la aprobación del </w:t>
      </w:r>
      <w:r w:rsidRPr="00976BFF">
        <w:rPr>
          <w:lang w:val="es-ES_tradnl"/>
        </w:rPr>
        <w:t>ministro de Transporte y Obras Públicas. Los contratos financiados por el BID requerirán controles adicionales de</w:t>
      </w:r>
      <w:r w:rsidR="00022A05">
        <w:rPr>
          <w:lang w:val="es-ES_tradnl"/>
        </w:rPr>
        <w:t xml:space="preserve"> esta institución</w:t>
      </w:r>
      <w:r w:rsidRPr="00976BFF">
        <w:rPr>
          <w:lang w:val="es-ES_tradnl"/>
        </w:rPr>
        <w:t xml:space="preserve">, de conformidad con </w:t>
      </w:r>
      <w:r w:rsidR="007A5EEC">
        <w:rPr>
          <w:lang w:val="es-ES_tradnl"/>
        </w:rPr>
        <w:t>su</w:t>
      </w:r>
      <w:r w:rsidRPr="00976BFF">
        <w:rPr>
          <w:lang w:val="es-ES_tradnl"/>
        </w:rPr>
        <w:t>s políticas en materia de adquisiciones.</w:t>
      </w:r>
    </w:p>
    <w:p w:rsidR="00956A33" w:rsidRPr="00976BFF" w:rsidRDefault="00956A33" w:rsidP="00EB3076">
      <w:pPr>
        <w:pStyle w:val="Annexmain"/>
        <w:ind w:firstLine="0"/>
        <w:rPr>
          <w:lang w:val="es-ES_tradnl"/>
        </w:rPr>
      </w:pPr>
      <w:r w:rsidRPr="00976BFF">
        <w:rPr>
          <w:u w:val="single"/>
          <w:lang w:val="es-ES_tradnl"/>
        </w:rPr>
        <w:t>Gestión financiera.</w:t>
      </w:r>
      <w:r w:rsidRPr="00976BFF">
        <w:rPr>
          <w:lang w:val="es-ES_tradnl"/>
        </w:rPr>
        <w:t xml:space="preserve"> i) Controles internos: </w:t>
      </w:r>
      <w:r w:rsidR="00022A05">
        <w:rPr>
          <w:lang w:val="es-ES_tradnl"/>
        </w:rPr>
        <w:t>l</w:t>
      </w:r>
      <w:r w:rsidR="00022A05" w:rsidRPr="00976BFF">
        <w:rPr>
          <w:lang w:val="es-ES_tradnl"/>
        </w:rPr>
        <w:t xml:space="preserve">a </w:t>
      </w:r>
      <w:r w:rsidRPr="00976BFF">
        <w:rPr>
          <w:lang w:val="es-ES_tradnl"/>
        </w:rPr>
        <w:t>autoridad de la Contaduría Central de cada inciso verifica los gastos de la DNV y presenta informes a la CGN así como informes mensuales al TCR. La CGN y la Oficina Nacional de Servicio Civil administran los gastos salariales a través de un sistema centralizado de base de datos denominado Sistema de Gestión Humana. La AIN depende del MEF, y sus tareas de auditoría actuales se aplican principalmente a entidades del sector privado. A nivel del MTOP, una unidad específica se encarga de la auditoría interna. Esta unidad depende del ministro y está vinculada funcionalmente a la AIN</w:t>
      </w:r>
      <w:r w:rsidR="007A5EEC">
        <w:rPr>
          <w:lang w:val="es-ES_tradnl"/>
        </w:rPr>
        <w:t>.</w:t>
      </w:r>
      <w:r w:rsidRPr="00976BFF">
        <w:rPr>
          <w:lang w:val="es-ES_tradnl"/>
        </w:rPr>
        <w:t xml:space="preserve"> ii) Auditoría externa: </w:t>
      </w:r>
      <w:r w:rsidR="00022A05">
        <w:rPr>
          <w:lang w:val="es-ES_tradnl"/>
        </w:rPr>
        <w:t>e</w:t>
      </w:r>
      <w:r w:rsidR="00022A05" w:rsidRPr="00976BFF">
        <w:rPr>
          <w:lang w:val="es-ES_tradnl"/>
        </w:rPr>
        <w:t xml:space="preserve">l </w:t>
      </w:r>
      <w:r w:rsidRPr="00976BFF">
        <w:rPr>
          <w:lang w:val="es-ES_tradnl"/>
        </w:rPr>
        <w:t xml:space="preserve">TCR, que es también la entidad fiscalizadora superior de Uruguay, lleva a cabo estas auditorías, cuya naturaleza es estrictamente financiera e incluyen al sector público consolidado dentro de su ámbito de aplicación. La ejecución del presupuesto del MTOP está sujeta a diversas auditorías, según la fuente de financiamiento del gasto. Cuando los recursos públicos provienen de fondos nacionales, el Departamento 1 del TCR lleva a cabo la auditoría externa, y la información se incluye </w:t>
      </w:r>
      <w:r w:rsidR="007A5EEC">
        <w:rPr>
          <w:lang w:val="es-ES_tradnl"/>
        </w:rPr>
        <w:t>en</w:t>
      </w:r>
      <w:r w:rsidRPr="00976BFF">
        <w:rPr>
          <w:lang w:val="es-ES_tradnl"/>
        </w:rPr>
        <w:t xml:space="preserve"> la partida “Administración </w:t>
      </w:r>
      <w:r w:rsidR="00022A05">
        <w:rPr>
          <w:lang w:val="es-ES_tradnl"/>
        </w:rPr>
        <w:t>c</w:t>
      </w:r>
      <w:r w:rsidR="00022A05" w:rsidRPr="00976BFF">
        <w:rPr>
          <w:lang w:val="es-ES_tradnl"/>
        </w:rPr>
        <w:t>entral</w:t>
      </w:r>
      <w:r w:rsidRPr="00976BFF">
        <w:rPr>
          <w:lang w:val="es-ES_tradnl"/>
        </w:rPr>
        <w:t xml:space="preserve">”, que abarca a otros ministerios y organismos públicos descentralizados. Por el contrario, cuando los gastos se financian en forma externa, el Departamento 5 del TCR </w:t>
      </w:r>
      <w:r w:rsidR="007A5EEC">
        <w:rPr>
          <w:lang w:val="es-ES_tradnl"/>
        </w:rPr>
        <w:t>realiza</w:t>
      </w:r>
      <w:r w:rsidRPr="00976BFF">
        <w:rPr>
          <w:lang w:val="es-ES_tradnl"/>
        </w:rPr>
        <w:t xml:space="preserve"> la auditoría </w:t>
      </w:r>
      <w:r w:rsidR="007A5EEC">
        <w:rPr>
          <w:lang w:val="es-ES_tradnl"/>
        </w:rPr>
        <w:t>de</w:t>
      </w:r>
      <w:r w:rsidRPr="00976BFF">
        <w:rPr>
          <w:lang w:val="es-ES_tradnl"/>
        </w:rPr>
        <w:t xml:space="preserve"> cada operación financiera, de acuerdo con los requisitos de los organismos multilaterales de financiamiento (el BID, el FONPLATA y el Banco). Un auditor privado independiente lleva a cabo la auditoría de los estados financieros de CVU en forma anual.</w:t>
      </w:r>
    </w:p>
    <w:p w:rsidR="00956A33" w:rsidRPr="00976BFF" w:rsidRDefault="00956A33" w:rsidP="00EB3076">
      <w:pPr>
        <w:pStyle w:val="Annexmain"/>
        <w:ind w:firstLine="0"/>
        <w:rPr>
          <w:u w:val="single"/>
          <w:lang w:val="es-ES_tradnl"/>
        </w:rPr>
      </w:pPr>
      <w:r w:rsidRPr="000B5989">
        <w:rPr>
          <w:u w:val="single"/>
          <w:lang w:val="es-ES_tradnl"/>
        </w:rPr>
        <w:t>Acceso a la información.</w:t>
      </w:r>
      <w:r w:rsidRPr="00976BFF">
        <w:rPr>
          <w:b/>
          <w:lang w:val="es-ES_tradnl"/>
        </w:rPr>
        <w:t xml:space="preserve"> </w:t>
      </w:r>
      <w:r w:rsidRPr="00976BFF">
        <w:rPr>
          <w:lang w:val="es-ES_tradnl"/>
        </w:rPr>
        <w:t>Como se indica en el informe del Programa de Gasto Público y Rendición de Cuentas Financiera</w:t>
      </w:r>
      <w:r w:rsidR="007A5EEC">
        <w:rPr>
          <w:lang w:val="es-ES_tradnl"/>
        </w:rPr>
        <w:t>s</w:t>
      </w:r>
      <w:r w:rsidRPr="00976BFF">
        <w:rPr>
          <w:lang w:val="es-ES_tradnl"/>
        </w:rPr>
        <w:t xml:space="preserve"> (PEFA), el acceso público a información fiscal clave es una realidad en Uruguay, ya que la mayor</w:t>
      </w:r>
      <w:r w:rsidR="007A5EEC">
        <w:rPr>
          <w:lang w:val="es-ES_tradnl"/>
        </w:rPr>
        <w:t xml:space="preserve"> parte</w:t>
      </w:r>
      <w:r w:rsidRPr="00976BFF">
        <w:rPr>
          <w:lang w:val="es-ES_tradnl"/>
        </w:rPr>
        <w:t xml:space="preserve"> de la información presupuestaria y financiera está disponible en Internet, de conformidad con la Ley de Acceso a la Información Pública. El sitio web de la CGN brinda acceso oportuno a la Ley de Presupuesto así como al Balance de Ejecución Presupuestal Anual, que incluye </w:t>
      </w:r>
      <w:r w:rsidR="007A5EEC">
        <w:rPr>
          <w:lang w:val="es-ES_tradnl"/>
        </w:rPr>
        <w:t xml:space="preserve">las propuestas presupuestarias y </w:t>
      </w:r>
      <w:r w:rsidRPr="00976BFF">
        <w:rPr>
          <w:lang w:val="es-ES_tradnl"/>
        </w:rPr>
        <w:t xml:space="preserve">los informes mensuales y anuales </w:t>
      </w:r>
      <w:r w:rsidR="007A5EEC">
        <w:rPr>
          <w:lang w:val="es-ES_tradnl"/>
        </w:rPr>
        <w:t>sobre</w:t>
      </w:r>
      <w:r w:rsidRPr="00976BFF">
        <w:rPr>
          <w:lang w:val="es-ES_tradnl"/>
        </w:rPr>
        <w:t xml:space="preserve"> la ejecución </w:t>
      </w:r>
      <w:r w:rsidR="007A5EEC">
        <w:rPr>
          <w:lang w:val="es-ES_tradnl"/>
        </w:rPr>
        <w:t>del presupuesto</w:t>
      </w:r>
      <w:r w:rsidRPr="00976BFF">
        <w:rPr>
          <w:lang w:val="es-ES_tradnl"/>
        </w:rPr>
        <w:t xml:space="preserve">. En su sitio web, el TCR publica los informes y la opinión de auditoría sobre el presupuesto y los estados financieros, mientras que el sitio web de </w:t>
      </w:r>
      <w:r w:rsidR="00022A05">
        <w:rPr>
          <w:lang w:val="es-ES_tradnl"/>
        </w:rPr>
        <w:t>c</w:t>
      </w:r>
      <w:r w:rsidR="00022A05" w:rsidRPr="00976BFF">
        <w:rPr>
          <w:lang w:val="es-ES_tradnl"/>
        </w:rPr>
        <w:t xml:space="preserve">ompras </w:t>
      </w:r>
      <w:r w:rsidRPr="00976BFF">
        <w:rPr>
          <w:lang w:val="es-ES_tradnl"/>
        </w:rPr>
        <w:t xml:space="preserve">y </w:t>
      </w:r>
      <w:r w:rsidR="00022A05">
        <w:rPr>
          <w:lang w:val="es-ES_tradnl"/>
        </w:rPr>
        <w:t>c</w:t>
      </w:r>
      <w:r w:rsidR="00022A05" w:rsidRPr="00976BFF">
        <w:rPr>
          <w:lang w:val="es-ES_tradnl"/>
        </w:rPr>
        <w:t xml:space="preserve">ontrataciones </w:t>
      </w:r>
      <w:r w:rsidR="00022A05">
        <w:rPr>
          <w:lang w:val="es-ES_tradnl"/>
        </w:rPr>
        <w:t>e</w:t>
      </w:r>
      <w:r w:rsidR="00022A05" w:rsidRPr="00976BFF">
        <w:rPr>
          <w:lang w:val="es-ES_tradnl"/>
        </w:rPr>
        <w:t xml:space="preserve">statales </w:t>
      </w:r>
      <w:r w:rsidRPr="00976BFF">
        <w:rPr>
          <w:lang w:val="es-ES_tradnl"/>
        </w:rPr>
        <w:t xml:space="preserve">contiene toda la información sobre la adjudicación de contratos y otros datos conexos. Por último, en el contrato de concesión entre el MTOP y la CND se establece que las invitaciones a presentar ofertas respecto de contratos relacionados con el </w:t>
      </w:r>
      <w:r w:rsidR="008A1019">
        <w:rPr>
          <w:lang w:val="es-ES_tradnl"/>
        </w:rPr>
        <w:t>programa</w:t>
      </w:r>
      <w:r w:rsidRPr="00976BFF">
        <w:rPr>
          <w:lang w:val="es-ES_tradnl"/>
        </w:rPr>
        <w:t xml:space="preserve"> deben publicarse en el sitio web de CVU, así como también las adjudicaciones de contratos y los contratos firmados.</w:t>
      </w:r>
    </w:p>
    <w:p w:rsidR="00956A33" w:rsidRPr="00976BFF" w:rsidRDefault="00956A33" w:rsidP="00EB3076">
      <w:pPr>
        <w:pStyle w:val="Annexmain"/>
        <w:ind w:firstLine="0"/>
        <w:rPr>
          <w:u w:val="single"/>
          <w:lang w:val="es-ES_tradnl"/>
        </w:rPr>
      </w:pPr>
      <w:r w:rsidRPr="000B5989">
        <w:rPr>
          <w:u w:val="single"/>
          <w:lang w:val="es-ES_tradnl"/>
        </w:rPr>
        <w:t>Mecanismos de reclamación.</w:t>
      </w:r>
      <w:r w:rsidRPr="00976BFF">
        <w:rPr>
          <w:lang w:val="es-ES_tradnl"/>
        </w:rPr>
        <w:t xml:space="preserve"> Los licitantes pueden plantear reclamaciones respecto de las decisiones durante el proceso de adquisiciones directamente al organismo que implementa la licitación, y debe enviarse una copia de la reclamación al TCR, a título informativo, dentro de las 48 horas de su presentación. No se requiere que los organismos de ejecución respondan directamente a los reclamantes. El TCR tampoco responde las reclamaciones recibidas pero puede tenerlas en cuenta al examinar la decisión relativa a la adjudicación. Además de reclamar al organismo que ejecuta el proceso de licitación, el otro único recurso para los licitantes disconformes es presentar una queja ante el TCA. El TCA no depende de ninguno de los tres poderes, es independiente a nivel administrativo y solo tiene facultades para anular o confirmar una acción del Gobierno de Uruguay, pero no puede proponer modificaciones. Toda indemnización por daños y perjuicios debe tramitarse ante el Poder Judicial. Las reclamaciones deben presentarse ante el TCA no más de 60 días después de haber agotado los </w:t>
      </w:r>
      <w:r w:rsidR="007A5EEC">
        <w:rPr>
          <w:lang w:val="es-ES_tradnl"/>
        </w:rPr>
        <w:t>otros</w:t>
      </w:r>
      <w:r w:rsidRPr="00976BFF">
        <w:rPr>
          <w:lang w:val="es-ES_tradnl"/>
        </w:rPr>
        <w:t xml:space="preserve"> recursos administrativos.</w:t>
      </w:r>
    </w:p>
    <w:p w:rsidR="00956A33" w:rsidRPr="00976BFF" w:rsidRDefault="00956A33" w:rsidP="00EB3076">
      <w:pPr>
        <w:pStyle w:val="NoSpacing"/>
        <w:rPr>
          <w:rFonts w:ascii="Times New Roman" w:hAnsi="Times New Roman"/>
          <w:lang w:val="es-ES_tradnl"/>
        </w:rPr>
      </w:pPr>
    </w:p>
    <w:p w:rsidR="00956A33" w:rsidRPr="00976BFF" w:rsidRDefault="00956A33" w:rsidP="000B5989">
      <w:pPr>
        <w:pStyle w:val="Heading2"/>
        <w:numPr>
          <w:ilvl w:val="1"/>
          <w:numId w:val="7"/>
        </w:numPr>
        <w:ind w:left="709" w:hanging="567"/>
        <w:rPr>
          <w:rFonts w:ascii="Times New Roman" w:hAnsi="Times New Roman"/>
          <w:b/>
          <w:sz w:val="22"/>
          <w:lang w:val="es-ES_tradnl"/>
        </w:rPr>
      </w:pPr>
      <w:bookmarkStart w:id="85" w:name="_Toc344927210"/>
      <w:bookmarkStart w:id="86" w:name="_Toc327540010"/>
      <w:r w:rsidRPr="00976BFF">
        <w:rPr>
          <w:rFonts w:ascii="Times New Roman" w:hAnsi="Times New Roman"/>
          <w:b/>
          <w:sz w:val="22"/>
          <w:lang w:val="es-ES_tradnl"/>
        </w:rPr>
        <w:t>CAPACIDAD DEL ORGANISMO DE EJECUCIÓN Y DESEMPEÑO FIDUCIARIO DEL PROGRAMA</w:t>
      </w:r>
      <w:bookmarkEnd w:id="85"/>
      <w:r w:rsidRPr="00976BFF">
        <w:rPr>
          <w:rFonts w:ascii="Times New Roman" w:hAnsi="Times New Roman"/>
          <w:b/>
          <w:sz w:val="22"/>
          <w:lang w:val="es-ES_tradnl"/>
        </w:rPr>
        <w:t xml:space="preserve"> </w:t>
      </w:r>
    </w:p>
    <w:p w:rsidR="00956A33" w:rsidRPr="00976BFF" w:rsidRDefault="00956A33" w:rsidP="00EB3076">
      <w:pPr>
        <w:pStyle w:val="Annexmain"/>
        <w:ind w:firstLine="0"/>
        <w:rPr>
          <w:lang w:val="es-ES_tradnl"/>
        </w:rPr>
      </w:pPr>
      <w:bookmarkStart w:id="87" w:name="_Toc320598095"/>
      <w:bookmarkEnd w:id="86"/>
      <w:r w:rsidRPr="00976BFF">
        <w:rPr>
          <w:b/>
          <w:lang w:val="es-ES_tradnl"/>
        </w:rPr>
        <w:t>Experiencia previa del Banco en materia de desempeño fiduciario.</w:t>
      </w:r>
      <w:r w:rsidRPr="00976BFF">
        <w:rPr>
          <w:lang w:val="es-ES_tradnl"/>
        </w:rPr>
        <w:t xml:space="preserve"> El MTOP, y la DNV en particular, tienen un buen historial de desempeño fiduciario, como lo demuestra el proyecto Mantenimiento de la Infraestructura del Transporte y el Acceso Rural (P05781), que finalizó en julio de 2011. Durante los cinco años de ejecución del proyecto, la gestión financiera se calificó como satisfactoria. </w:t>
      </w:r>
      <w:r w:rsidR="007A5EEC">
        <w:rPr>
          <w:lang w:val="es-ES_tradnl"/>
        </w:rPr>
        <w:t>En general, e</w:t>
      </w:r>
      <w:r w:rsidRPr="00976BFF">
        <w:rPr>
          <w:lang w:val="es-ES_tradnl"/>
        </w:rPr>
        <w:t>l proceso de adquisiciones de dicho proyecto se calificó como satisfactorio, pero</w:t>
      </w:r>
      <w:r w:rsidR="007A5EEC">
        <w:rPr>
          <w:lang w:val="es-ES_tradnl"/>
        </w:rPr>
        <w:t xml:space="preserve"> a raíz de</w:t>
      </w:r>
      <w:r w:rsidRPr="00976BFF">
        <w:rPr>
          <w:lang w:val="es-ES_tradnl"/>
        </w:rPr>
        <w:t xml:space="preserve"> algunas deficiencias</w:t>
      </w:r>
      <w:r w:rsidR="007A5EEC">
        <w:rPr>
          <w:lang w:val="es-ES_tradnl"/>
        </w:rPr>
        <w:t xml:space="preserve">, </w:t>
      </w:r>
      <w:r w:rsidRPr="00976BFF">
        <w:rPr>
          <w:lang w:val="es-ES_tradnl"/>
        </w:rPr>
        <w:t xml:space="preserve">en algunos semestres la calificación </w:t>
      </w:r>
      <w:r w:rsidR="007A5EEC">
        <w:rPr>
          <w:lang w:val="es-ES_tradnl"/>
        </w:rPr>
        <w:t>se redujo</w:t>
      </w:r>
      <w:r w:rsidRPr="00976BFF">
        <w:rPr>
          <w:lang w:val="es-ES_tradnl"/>
        </w:rPr>
        <w:t xml:space="preserve"> a moderadamente satisfactorio. Al finalizar el proyecto, las calificaciones tanto de la gestión financiera como del proceso de adquisiciones fueron satisfactorias.</w:t>
      </w:r>
    </w:p>
    <w:p w:rsidR="00956A33" w:rsidRPr="00976BFF" w:rsidRDefault="00956A33" w:rsidP="00EB3076">
      <w:pPr>
        <w:pStyle w:val="Annexmain"/>
        <w:ind w:firstLine="0"/>
        <w:rPr>
          <w:lang w:val="es-ES_tradnl"/>
        </w:rPr>
      </w:pPr>
      <w:bookmarkStart w:id="88" w:name="_Toc320598097"/>
      <w:bookmarkEnd w:id="87"/>
      <w:r w:rsidRPr="00976BFF">
        <w:rPr>
          <w:b/>
          <w:lang w:val="es-ES_tradnl"/>
        </w:rPr>
        <w:t xml:space="preserve">Desempeño </w:t>
      </w:r>
      <w:r w:rsidR="007A5EEC">
        <w:rPr>
          <w:b/>
          <w:lang w:val="es-ES_tradnl"/>
        </w:rPr>
        <w:t xml:space="preserve">en materia </w:t>
      </w:r>
      <w:r w:rsidRPr="00976BFF">
        <w:rPr>
          <w:b/>
          <w:lang w:val="es-ES_tradnl"/>
        </w:rPr>
        <w:t xml:space="preserve">de </w:t>
      </w:r>
      <w:r w:rsidR="007A5EEC">
        <w:rPr>
          <w:b/>
          <w:lang w:val="es-ES_tradnl"/>
        </w:rPr>
        <w:t>planificación y</w:t>
      </w:r>
      <w:r w:rsidRPr="00976BFF">
        <w:rPr>
          <w:b/>
          <w:lang w:val="es-ES_tradnl"/>
        </w:rPr>
        <w:t xml:space="preserve"> gestión presupuestaria. </w:t>
      </w:r>
      <w:r w:rsidRPr="00976BFF">
        <w:rPr>
          <w:lang w:val="es-ES_tradnl"/>
        </w:rPr>
        <w:t>El sistema presupuestario de Uruguay es adecuado y propicio para la ejecución de operaci</w:t>
      </w:r>
      <w:r w:rsidR="00EF33D2">
        <w:rPr>
          <w:lang w:val="es-ES_tradnl"/>
        </w:rPr>
        <w:t>ones</w:t>
      </w:r>
      <w:r w:rsidRPr="00976BFF">
        <w:rPr>
          <w:lang w:val="es-ES_tradnl"/>
        </w:rPr>
        <w:t xml:space="preserve"> del </w:t>
      </w:r>
      <w:r w:rsidR="00EF33D2">
        <w:rPr>
          <w:lang w:val="es-ES_tradnl"/>
        </w:rPr>
        <w:t>p</w:t>
      </w:r>
      <w:r w:rsidR="009B073D" w:rsidRPr="00976BFF">
        <w:rPr>
          <w:lang w:val="es-ES_tradnl"/>
        </w:rPr>
        <w:t>rograma</w:t>
      </w:r>
      <w:r w:rsidRPr="00976BFF">
        <w:rPr>
          <w:lang w:val="es-ES_tradnl"/>
        </w:rPr>
        <w:t xml:space="preserve"> por resultados, ya que se basa fundamentalmente en los </w:t>
      </w:r>
      <w:r w:rsidR="006D44FB">
        <w:rPr>
          <w:lang w:val="es-ES_tradnl"/>
        </w:rPr>
        <w:t>programas</w:t>
      </w:r>
      <w:r w:rsidRPr="00976BFF">
        <w:rPr>
          <w:lang w:val="es-ES_tradnl"/>
        </w:rPr>
        <w:t xml:space="preserve"> del Gobierno de Uruguay que abarcan varias áreas (incluido el transporte) y se aprueban por un período de cinco años que coincide con el mandato del Gobierno electo. Este enfoque le proporciona al </w:t>
      </w:r>
      <w:r w:rsidR="00CF07C3">
        <w:rPr>
          <w:lang w:val="es-ES_tradnl"/>
        </w:rPr>
        <w:t>G</w:t>
      </w:r>
      <w:r w:rsidR="00CF07C3" w:rsidRPr="00976BFF">
        <w:rPr>
          <w:lang w:val="es-ES_tradnl"/>
        </w:rPr>
        <w:t xml:space="preserve">obierno </w:t>
      </w:r>
      <w:r w:rsidRPr="00976BFF">
        <w:rPr>
          <w:lang w:val="es-ES_tradnl"/>
        </w:rPr>
        <w:t xml:space="preserve">central de Uruguay una perspectiva plurianual que, por una parte, contribuye a reflejar las políticas del Gobierno en el presupuesto y los planes y, por la otra, permite gestionar los </w:t>
      </w:r>
      <w:r w:rsidR="006D44FB">
        <w:rPr>
          <w:lang w:val="es-ES_tradnl"/>
        </w:rPr>
        <w:t>programas</w:t>
      </w:r>
      <w:r w:rsidRPr="00976BFF">
        <w:rPr>
          <w:lang w:val="es-ES_tradnl"/>
        </w:rPr>
        <w:t xml:space="preserve"> y los proyectos con la flexibilidad necesaria para lograr los resultados previstos.</w:t>
      </w:r>
    </w:p>
    <w:bookmarkEnd w:id="88"/>
    <w:p w:rsidR="00956A33" w:rsidRPr="00976BFF" w:rsidRDefault="00EF33D2" w:rsidP="00EB3076">
      <w:pPr>
        <w:pStyle w:val="Annexmain"/>
        <w:ind w:firstLine="0"/>
        <w:rPr>
          <w:lang w:val="es-ES_tradnl"/>
        </w:rPr>
      </w:pPr>
      <w:r>
        <w:rPr>
          <w:lang w:val="es-ES_tradnl"/>
        </w:rPr>
        <w:t>En g</w:t>
      </w:r>
      <w:r w:rsidR="00956A33" w:rsidRPr="00976BFF">
        <w:rPr>
          <w:lang w:val="es-ES_tradnl"/>
        </w:rPr>
        <w:t xml:space="preserve">eneral, el gasto real </w:t>
      </w:r>
      <w:r>
        <w:rPr>
          <w:lang w:val="es-ES_tradnl"/>
        </w:rPr>
        <w:t>fue</w:t>
      </w:r>
      <w:r w:rsidR="00956A33" w:rsidRPr="00976BFF">
        <w:rPr>
          <w:lang w:val="es-ES_tradnl"/>
        </w:rPr>
        <w:t xml:space="preserve"> muy inferior al monto presupuestado inicial</w:t>
      </w:r>
      <w:r>
        <w:rPr>
          <w:lang w:val="es-ES_tradnl"/>
        </w:rPr>
        <w:t>mente</w:t>
      </w:r>
      <w:r w:rsidR="00956A33" w:rsidRPr="00976BFF">
        <w:rPr>
          <w:lang w:val="es-ES_tradnl"/>
        </w:rPr>
        <w:t xml:space="preserve"> debido a que los presupuestos</w:t>
      </w:r>
      <w:r>
        <w:rPr>
          <w:lang w:val="es-ES_tradnl"/>
        </w:rPr>
        <w:t xml:space="preserve"> más recientes</w:t>
      </w:r>
      <w:r w:rsidR="00956A33" w:rsidRPr="00976BFF">
        <w:rPr>
          <w:lang w:val="es-ES_tradnl"/>
        </w:rPr>
        <w:t xml:space="preserve"> se basaban en las necesidades de los </w:t>
      </w:r>
      <w:r w:rsidR="006D44FB">
        <w:rPr>
          <w:lang w:val="es-ES_tradnl"/>
        </w:rPr>
        <w:t>programas</w:t>
      </w:r>
      <w:r w:rsidR="00956A33" w:rsidRPr="00976BFF">
        <w:rPr>
          <w:lang w:val="es-ES_tradnl"/>
        </w:rPr>
        <w:t xml:space="preserve"> pero no tenían en cuenta las limitaciones de los recursos. Por lo tanto, la sostenibilidad de los </w:t>
      </w:r>
      <w:r w:rsidR="006D44FB">
        <w:rPr>
          <w:lang w:val="es-ES_tradnl"/>
        </w:rPr>
        <w:t>programas</w:t>
      </w:r>
      <w:r w:rsidR="00956A33" w:rsidRPr="00976BFF">
        <w:rPr>
          <w:lang w:val="es-ES_tradnl"/>
        </w:rPr>
        <w:t xml:space="preserve"> de la DNV depend</w:t>
      </w:r>
      <w:r>
        <w:rPr>
          <w:lang w:val="es-ES_tradnl"/>
        </w:rPr>
        <w:t>e</w:t>
      </w:r>
      <w:r w:rsidR="00956A33" w:rsidRPr="00976BFF">
        <w:rPr>
          <w:lang w:val="es-ES_tradnl"/>
        </w:rPr>
        <w:t xml:space="preserve"> principalmente de la existencia de topes de gastos. En el futuro, será necesario controlar que el </w:t>
      </w:r>
      <w:r w:rsidR="008A1019">
        <w:rPr>
          <w:lang w:val="es-ES_tradnl"/>
        </w:rPr>
        <w:t>programa</w:t>
      </w:r>
      <w:r w:rsidR="00956A33" w:rsidRPr="00976BFF">
        <w:rPr>
          <w:lang w:val="es-ES_tradnl"/>
        </w:rPr>
        <w:t xml:space="preserve"> reciba fondos suficientes para poder lograr los resultados previstos. Durante la etapa de preparación, el MEF se comprometió a mantener los topes previstos para el financiamiento del </w:t>
      </w:r>
      <w:r w:rsidR="008A1019">
        <w:rPr>
          <w:lang w:val="es-ES_tradnl"/>
        </w:rPr>
        <w:t>programa</w:t>
      </w:r>
      <w:r w:rsidR="00956A33" w:rsidRPr="00976BFF">
        <w:rPr>
          <w:lang w:val="es-ES_tradnl"/>
        </w:rPr>
        <w:t xml:space="preserve">. El historial del </w:t>
      </w:r>
      <w:r>
        <w:rPr>
          <w:lang w:val="es-ES_tradnl"/>
        </w:rPr>
        <w:t>p</w:t>
      </w:r>
      <w:r w:rsidR="009B073D" w:rsidRPr="00976BFF">
        <w:rPr>
          <w:lang w:val="es-ES_tradnl"/>
        </w:rPr>
        <w:t>rograma</w:t>
      </w:r>
      <w:r w:rsidR="00956A33" w:rsidRPr="00976BFF">
        <w:rPr>
          <w:lang w:val="es-ES_tradnl"/>
        </w:rPr>
        <w:t xml:space="preserve"> vial del Gobierno de Uruguay demuestra que, durante los últimos años, el financiamiento real del </w:t>
      </w:r>
      <w:r>
        <w:rPr>
          <w:lang w:val="es-ES_tradnl"/>
        </w:rPr>
        <w:t>p</w:t>
      </w:r>
      <w:r w:rsidR="00956A33" w:rsidRPr="00976BFF">
        <w:rPr>
          <w:lang w:val="es-ES_tradnl"/>
        </w:rPr>
        <w:t>rograma ha superado siempre el financiamiento previsto.</w:t>
      </w:r>
    </w:p>
    <w:p w:rsidR="00956A33" w:rsidRPr="00976BFF" w:rsidRDefault="00956A33" w:rsidP="00EB3076">
      <w:pPr>
        <w:pStyle w:val="Annexmain"/>
        <w:ind w:firstLine="0"/>
        <w:rPr>
          <w:lang w:val="es-ES_tradnl"/>
        </w:rPr>
      </w:pPr>
      <w:r w:rsidRPr="00976BFF">
        <w:rPr>
          <w:b/>
          <w:lang w:val="es-ES_tradnl"/>
        </w:rPr>
        <w:t xml:space="preserve">Desempeño </w:t>
      </w:r>
      <w:r w:rsidR="00EF33D2">
        <w:rPr>
          <w:b/>
          <w:lang w:val="es-ES_tradnl"/>
        </w:rPr>
        <w:t>en materia</w:t>
      </w:r>
      <w:r w:rsidRPr="00976BFF">
        <w:rPr>
          <w:b/>
          <w:lang w:val="es-ES_tradnl"/>
        </w:rPr>
        <w:t xml:space="preserve"> de adquisiciones. </w:t>
      </w:r>
      <w:r w:rsidRPr="00976BFF">
        <w:rPr>
          <w:lang w:val="es-ES_tradnl"/>
        </w:rPr>
        <w:t>El equipo del Banco examinó los datos de todos los contratos de las obras que la DNV adjudicó entre enero de 2008 y noviembre de 2011. Las conclusiones principales se enumeran a continuación:</w:t>
      </w:r>
    </w:p>
    <w:p w:rsidR="00956A33" w:rsidRPr="00976BFF" w:rsidRDefault="00956A33" w:rsidP="00956A33">
      <w:pPr>
        <w:pStyle w:val="Bullet"/>
        <w:ind w:left="1460"/>
        <w:rPr>
          <w:lang w:val="es-ES_tradnl"/>
        </w:rPr>
      </w:pPr>
      <w:r w:rsidRPr="00976BFF">
        <w:rPr>
          <w:u w:val="single"/>
          <w:lang w:val="es-ES_tradnl"/>
        </w:rPr>
        <w:t>Competitividad.</w:t>
      </w:r>
      <w:r w:rsidRPr="00976BFF">
        <w:rPr>
          <w:lang w:val="es-ES_tradnl"/>
        </w:rPr>
        <w:t xml:space="preserve"> El 86% de todos los contratos (el 98% de todos los gastos de la DNV) se adjudicó a través de procesos de adquisiciones abiertos y competitivos, mientras que el 12% siguió métodos menos competitivos y el 2% se adjudicó sin competencia. La DNV recibió un promedio de cinco ofertas por licitación al implementar procesos de licitación </w:t>
      </w:r>
      <w:r w:rsidR="00EF33D2">
        <w:rPr>
          <w:lang w:val="es-ES_tradnl"/>
        </w:rPr>
        <w:t>pública</w:t>
      </w:r>
      <w:r w:rsidRPr="00976BFF">
        <w:rPr>
          <w:lang w:val="es-ES_tradnl"/>
        </w:rPr>
        <w:t xml:space="preserve"> durante este período.</w:t>
      </w:r>
    </w:p>
    <w:p w:rsidR="00956A33" w:rsidRPr="00976BFF" w:rsidRDefault="002F7C2C" w:rsidP="00956A33">
      <w:pPr>
        <w:pStyle w:val="Bullet"/>
        <w:ind w:left="1460"/>
        <w:rPr>
          <w:lang w:val="es-ES_tradnl"/>
        </w:rPr>
      </w:pPr>
      <w:r>
        <w:rPr>
          <w:u w:val="single"/>
          <w:lang w:val="es-ES_tradnl"/>
        </w:rPr>
        <w:t>Monto</w:t>
      </w:r>
      <w:r w:rsidRPr="00976BFF">
        <w:rPr>
          <w:u w:val="single"/>
          <w:lang w:val="es-ES_tradnl"/>
        </w:rPr>
        <w:t xml:space="preserve"> </w:t>
      </w:r>
      <w:r w:rsidR="00956A33" w:rsidRPr="00976BFF">
        <w:rPr>
          <w:u w:val="single"/>
          <w:lang w:val="es-ES_tradnl"/>
        </w:rPr>
        <w:t>de los contratos.</w:t>
      </w:r>
      <w:r w:rsidR="00956A33" w:rsidRPr="00976BFF">
        <w:rPr>
          <w:lang w:val="es-ES_tradnl"/>
        </w:rPr>
        <w:t xml:space="preserve"> El valor contractual medio para las obras adjudicadas por la DNV fue de US$4,5 millones en el caso de los procesos de licitación pública. El contrato de mayor valor adjudicado durante el mismo período ascendió a US$14 millones.</w:t>
      </w:r>
    </w:p>
    <w:p w:rsidR="00956A33" w:rsidRPr="00976BFF" w:rsidRDefault="00956A33" w:rsidP="00956A33">
      <w:pPr>
        <w:pStyle w:val="Bullet"/>
        <w:ind w:left="1460"/>
        <w:rPr>
          <w:lang w:val="es-ES_tradnl"/>
        </w:rPr>
      </w:pPr>
      <w:r w:rsidRPr="00976BFF">
        <w:rPr>
          <w:u w:val="single"/>
          <w:lang w:val="es-ES_tradnl"/>
        </w:rPr>
        <w:t>Criterios de adjudicación.</w:t>
      </w:r>
      <w:r w:rsidRPr="00976BFF">
        <w:rPr>
          <w:lang w:val="es-ES_tradnl"/>
        </w:rPr>
        <w:t xml:space="preserve"> En la mayoría de los casos, las obras se adjudicaron a</w:t>
      </w:r>
      <w:r w:rsidR="00EF33D2">
        <w:rPr>
          <w:lang w:val="es-ES_tradnl"/>
        </w:rPr>
        <w:t xml:space="preserve"> </w:t>
      </w:r>
      <w:r w:rsidRPr="00976BFF">
        <w:rPr>
          <w:lang w:val="es-ES_tradnl"/>
        </w:rPr>
        <w:t>l</w:t>
      </w:r>
      <w:r w:rsidR="00EF33D2">
        <w:rPr>
          <w:lang w:val="es-ES_tradnl"/>
        </w:rPr>
        <w:t>a</w:t>
      </w:r>
      <w:r w:rsidRPr="00976BFF">
        <w:rPr>
          <w:lang w:val="es-ES_tradnl"/>
        </w:rPr>
        <w:t xml:space="preserve"> </w:t>
      </w:r>
      <w:r w:rsidR="00EF33D2">
        <w:rPr>
          <w:lang w:val="es-ES_tradnl"/>
        </w:rPr>
        <w:t>oferta</w:t>
      </w:r>
      <w:r w:rsidRPr="00976BFF">
        <w:rPr>
          <w:lang w:val="es-ES_tradnl"/>
        </w:rPr>
        <w:t xml:space="preserve"> de menor precio. La evaluación también indicó que, por norma, la DNV rechaza las ofertas cuyo valor es más de un 30% inferior al costo estimado a nivel oficial. De acuerdo con los datos examinados por el Banco en el área de adquisición de obras, en el 64% de los casos el contrato se adjudicó al licitante evaluado que presentó la oferta más baja durante el período 2008-11. </w:t>
      </w:r>
      <w:r w:rsidR="002F7C2C">
        <w:rPr>
          <w:lang w:val="es-ES_tradnl"/>
        </w:rPr>
        <w:t xml:space="preserve">Siempre </w:t>
      </w:r>
      <w:r w:rsidRPr="00976BFF">
        <w:rPr>
          <w:lang w:val="es-ES_tradnl"/>
        </w:rPr>
        <w:t xml:space="preserve">que se rechazó la oferta más baja se cumplieron las disposiciones del TOCAF. </w:t>
      </w:r>
    </w:p>
    <w:p w:rsidR="00956A33" w:rsidRPr="00976BFF" w:rsidRDefault="00956A33" w:rsidP="00956A33">
      <w:pPr>
        <w:pStyle w:val="Bullet"/>
        <w:ind w:left="1460"/>
        <w:rPr>
          <w:lang w:val="es-ES_tradnl"/>
        </w:rPr>
      </w:pPr>
      <w:r w:rsidRPr="00976BFF">
        <w:rPr>
          <w:u w:val="single"/>
          <w:lang w:val="es-ES_tradnl"/>
        </w:rPr>
        <w:t>P</w:t>
      </w:r>
      <w:r w:rsidR="00EF33D2">
        <w:rPr>
          <w:u w:val="single"/>
          <w:lang w:val="es-ES_tradnl"/>
        </w:rPr>
        <w:t>lazos</w:t>
      </w:r>
      <w:r w:rsidRPr="00976BFF">
        <w:rPr>
          <w:u w:val="single"/>
          <w:lang w:val="es-ES_tradnl"/>
        </w:rPr>
        <w:t>.</w:t>
      </w:r>
      <w:r w:rsidRPr="00976BFF">
        <w:rPr>
          <w:lang w:val="es-ES_tradnl"/>
        </w:rPr>
        <w:t xml:space="preserve"> E</w:t>
      </w:r>
      <w:r w:rsidR="00EF33D2">
        <w:rPr>
          <w:lang w:val="es-ES_tradnl"/>
        </w:rPr>
        <w:t>l</w:t>
      </w:r>
      <w:r w:rsidRPr="00976BFF">
        <w:rPr>
          <w:lang w:val="es-ES_tradnl"/>
        </w:rPr>
        <w:t xml:space="preserve"> tiempo medio que demoró la DNV para adjudicar contratos de obras a través de una licitación pública durante este período fue </w:t>
      </w:r>
      <w:r w:rsidR="002F7C2C">
        <w:rPr>
          <w:lang w:val="es-ES_tradnl"/>
        </w:rPr>
        <w:t xml:space="preserve">de </w:t>
      </w:r>
      <w:r w:rsidRPr="00976BFF">
        <w:rPr>
          <w:lang w:val="es-ES_tradnl"/>
        </w:rPr>
        <w:t xml:space="preserve">ocho meses. La mayor parte del tiempo que lleva resolver un proceso de adquisiciones corresponde a la evaluación de las ofertas y la recomendación de la adjudicación. En promedio, la DNV dedicó 200 días al examen de las ofertas y la tramitación de todos los procedimientos internos necesarios para tomar una decisión de adjudicación. </w:t>
      </w:r>
    </w:p>
    <w:p w:rsidR="00956A33" w:rsidRPr="00976BFF" w:rsidRDefault="00956A33" w:rsidP="00EB3076">
      <w:pPr>
        <w:pStyle w:val="Annexmain"/>
        <w:ind w:firstLine="0"/>
        <w:rPr>
          <w:lang w:val="es-ES_tradnl"/>
        </w:rPr>
      </w:pPr>
      <w:r w:rsidRPr="00976BFF">
        <w:rPr>
          <w:lang w:val="es-ES_tradnl"/>
        </w:rPr>
        <w:t xml:space="preserve">Aunque la comparación de dichos resultados con los parámetros de referencia internacionales es difícil, y solo parcialmente </w:t>
      </w:r>
      <w:r w:rsidR="00636EC9">
        <w:rPr>
          <w:lang w:val="es-ES_tradnl"/>
        </w:rPr>
        <w:t>pertinente</w:t>
      </w:r>
      <w:r w:rsidRPr="00976BFF">
        <w:rPr>
          <w:lang w:val="es-ES_tradnl"/>
        </w:rPr>
        <w:t xml:space="preserve">, el desempeño de las adquisiciones sobre la base de estos indicadores cuantitativos se considera adecuado, con excepción del tiempo que demandan los procesos de adquisiciones. Un período de alrededor de 200 días entre el examen de las ofertas y la adjudicación del contrato reduce marcadamente la eficiencia del proceso de adquisiciones del </w:t>
      </w:r>
      <w:r w:rsidR="008A1019">
        <w:rPr>
          <w:lang w:val="es-ES_tradnl"/>
        </w:rPr>
        <w:t>programa</w:t>
      </w:r>
      <w:r w:rsidRPr="00976BFF">
        <w:rPr>
          <w:lang w:val="es-ES_tradnl"/>
        </w:rPr>
        <w:t>.</w:t>
      </w:r>
    </w:p>
    <w:p w:rsidR="00956A33" w:rsidRPr="00976BFF" w:rsidRDefault="00956A33" w:rsidP="00EB3076">
      <w:pPr>
        <w:pStyle w:val="Annexmain"/>
        <w:ind w:firstLine="0"/>
        <w:rPr>
          <w:lang w:val="es-ES_tradnl"/>
        </w:rPr>
      </w:pPr>
      <w:r w:rsidRPr="00976BFF">
        <w:rPr>
          <w:lang w:val="es-ES_tradnl"/>
        </w:rPr>
        <w:t>Las especificidades del BID y el FONPLATA con respecto a las adquisiciones se consideran compatibles con los requisitos de la OP 9.00. En el caso del BID, sus políticas en materia de adquisiciones coinciden totalmente con los requisitos de economía, eficiencia y transparencia establecidos en la OP 9.00. El FONPLATA, por su parte, exige que todos los contratos que financia se adjudiquen a empresas pertenecientes a sus países miembros (Argentina, Bolivia, Brasil, Paraguay y Uruguay), y se constató que durante el período 2008</w:t>
      </w:r>
      <w:r w:rsidR="00636EC9">
        <w:rPr>
          <w:lang w:val="es-ES_tradnl"/>
        </w:rPr>
        <w:noBreakHyphen/>
      </w:r>
      <w:r w:rsidRPr="00976BFF">
        <w:rPr>
          <w:lang w:val="es-ES_tradnl"/>
        </w:rPr>
        <w:t xml:space="preserve">11 todas las empresas que presentaron ofertas para contratos de rehabilitación y mantenimiento vial pertenecían efectivamente a esos países, y una gran proporción eran firmas uruguayas. Esta situación es producto del tamaño relativamente pequeño de los contratos, así como de su escasa complejidad técnica. Por lo tanto, se considera que, a los fines del </w:t>
      </w:r>
      <w:r w:rsidR="008A1019">
        <w:rPr>
          <w:lang w:val="es-ES_tradnl"/>
        </w:rPr>
        <w:t>programa</w:t>
      </w:r>
      <w:r w:rsidRPr="00976BFF">
        <w:rPr>
          <w:lang w:val="es-ES_tradnl"/>
        </w:rPr>
        <w:t>, la restricción relativa al país de origen de los contratistas en el caso de los contratos financiados por el FONPLATA no menoscabaría la competitividad de las adquisiciones.</w:t>
      </w:r>
    </w:p>
    <w:p w:rsidR="00956A33" w:rsidRPr="00976BFF" w:rsidRDefault="00956A33" w:rsidP="00EB3076">
      <w:pPr>
        <w:pStyle w:val="Annexmain"/>
        <w:ind w:firstLine="0"/>
        <w:rPr>
          <w:lang w:val="es-ES_tradnl"/>
        </w:rPr>
      </w:pPr>
      <w:r w:rsidRPr="00976BFF">
        <w:rPr>
          <w:b/>
          <w:lang w:val="es-ES_tradnl"/>
        </w:rPr>
        <w:t>Administración de contratos.</w:t>
      </w:r>
      <w:r w:rsidRPr="00976BFF">
        <w:rPr>
          <w:lang w:val="es-ES_tradnl"/>
        </w:rPr>
        <w:t xml:space="preserve"> De los 11 contratos de rehabilitación y mantenimiento en curso </w:t>
      </w:r>
      <w:r w:rsidR="00636EC9">
        <w:rPr>
          <w:lang w:val="es-ES_tradnl"/>
        </w:rPr>
        <w:t>que administra</w:t>
      </w:r>
      <w:r w:rsidRPr="00976BFF">
        <w:rPr>
          <w:lang w:val="es-ES_tradnl"/>
        </w:rPr>
        <w:t xml:space="preserve"> la DNV, en </w:t>
      </w:r>
      <w:r w:rsidR="002F7C2C">
        <w:rPr>
          <w:lang w:val="es-ES_tradnl"/>
        </w:rPr>
        <w:t>5</w:t>
      </w:r>
      <w:r w:rsidR="002F7C2C" w:rsidRPr="00976BFF">
        <w:rPr>
          <w:lang w:val="es-ES_tradnl"/>
        </w:rPr>
        <w:t xml:space="preserve"> </w:t>
      </w:r>
      <w:r w:rsidRPr="00976BFF">
        <w:rPr>
          <w:lang w:val="es-ES_tradnl"/>
        </w:rPr>
        <w:t>se han incorporado modificaciones a raíz del aumento de los costos y la duración. En esta muestra reciente (cuatro contratos), el aumento de precio</w:t>
      </w:r>
      <w:r w:rsidR="00636EC9">
        <w:rPr>
          <w:lang w:val="es-ES_tradnl"/>
        </w:rPr>
        <w:t>s</w:t>
      </w:r>
      <w:r w:rsidRPr="00976BFF">
        <w:rPr>
          <w:lang w:val="es-ES_tradnl"/>
        </w:rPr>
        <w:t xml:space="preserve"> oscila entre un 10% y un 54% respecto del precio inicial del contrato (aumento cuantitativo). Se incorporaron modificaciones en cuatro contratos para prolongar su plazo entre un 25% y un 50% del plazo inicial del contrato.</w:t>
      </w:r>
    </w:p>
    <w:p w:rsidR="00956A33" w:rsidRPr="00976BFF" w:rsidRDefault="00956A33" w:rsidP="00EB3076">
      <w:pPr>
        <w:pStyle w:val="Annexmain"/>
        <w:ind w:firstLine="0"/>
        <w:rPr>
          <w:lang w:val="es-ES_tradnl"/>
        </w:rPr>
      </w:pPr>
      <w:r w:rsidRPr="00976BFF">
        <w:rPr>
          <w:b/>
          <w:lang w:val="es-ES_tradnl"/>
        </w:rPr>
        <w:t xml:space="preserve">Pagos y flujo de fondos. </w:t>
      </w:r>
      <w:r w:rsidRPr="00976BFF">
        <w:rPr>
          <w:lang w:val="es-ES_tradnl"/>
        </w:rPr>
        <w:t>No hay datos confiables para evaluar la puntualidad de los pagos a proveedores, según el informe del PEFA. Sin embargo, se estima que los pagos atrasados rondaron el 3% en el período 2007-09, según se establece a través del concepto de “deuda flotante” utilizado en Uruguay.</w:t>
      </w:r>
    </w:p>
    <w:p w:rsidR="00956A33" w:rsidRPr="00976BFF" w:rsidRDefault="00956A33" w:rsidP="00EB3076">
      <w:pPr>
        <w:pStyle w:val="Annexmain"/>
        <w:autoSpaceDE w:val="0"/>
        <w:ind w:firstLine="0"/>
        <w:rPr>
          <w:lang w:val="es-ES_tradnl"/>
        </w:rPr>
      </w:pPr>
      <w:r w:rsidRPr="00976BFF">
        <w:rPr>
          <w:b/>
          <w:lang w:val="es-ES_tradnl"/>
        </w:rPr>
        <w:t>Inform</w:t>
      </w:r>
      <w:r w:rsidR="00636EC9">
        <w:rPr>
          <w:b/>
          <w:lang w:val="es-ES_tradnl"/>
        </w:rPr>
        <w:t>es</w:t>
      </w:r>
      <w:r w:rsidRPr="00976BFF">
        <w:rPr>
          <w:b/>
          <w:lang w:val="es-ES_tradnl"/>
        </w:rPr>
        <w:t xml:space="preserve"> contable</w:t>
      </w:r>
      <w:r w:rsidR="00636EC9">
        <w:rPr>
          <w:b/>
          <w:lang w:val="es-ES_tradnl"/>
        </w:rPr>
        <w:t>s</w:t>
      </w:r>
      <w:r w:rsidRPr="00976BFF">
        <w:rPr>
          <w:b/>
          <w:lang w:val="es-ES_tradnl"/>
        </w:rPr>
        <w:t xml:space="preserve"> y financier</w:t>
      </w:r>
      <w:r w:rsidR="00636EC9">
        <w:rPr>
          <w:b/>
          <w:lang w:val="es-ES_tradnl"/>
        </w:rPr>
        <w:t>os</w:t>
      </w:r>
      <w:r w:rsidRPr="00976BFF">
        <w:rPr>
          <w:b/>
          <w:lang w:val="es-ES_tradnl"/>
        </w:rPr>
        <w:t xml:space="preserve">. </w:t>
      </w:r>
      <w:r w:rsidR="00EC1E2A">
        <w:rPr>
          <w:lang w:val="es-ES_tradnl"/>
        </w:rPr>
        <w:t>Una de</w:t>
      </w:r>
      <w:r w:rsidRPr="00976BFF">
        <w:rPr>
          <w:lang w:val="es-ES_tradnl"/>
        </w:rPr>
        <w:t xml:space="preserve"> las desventajas identificadas </w:t>
      </w:r>
      <w:r w:rsidR="00EC1E2A">
        <w:rPr>
          <w:lang w:val="es-ES_tradnl"/>
        </w:rPr>
        <w:t>es</w:t>
      </w:r>
      <w:r w:rsidRPr="00976BFF">
        <w:rPr>
          <w:lang w:val="es-ES_tradnl"/>
        </w:rPr>
        <w:t xml:space="preserve"> que las actuales herramientas contables</w:t>
      </w:r>
      <w:r w:rsidRPr="00976BFF">
        <w:rPr>
          <w:vertAlign w:val="superscript"/>
          <w:lang w:val="es-ES_tradnl"/>
        </w:rPr>
        <w:footnoteReference w:id="28"/>
      </w:r>
      <w:r w:rsidRPr="00976BFF">
        <w:rPr>
          <w:lang w:val="es-ES_tradnl"/>
        </w:rPr>
        <w:t xml:space="preserve"> no permiten un registro exhaustivo y actualizado de los activos y pas</w:t>
      </w:r>
      <w:r w:rsidR="00636EC9">
        <w:rPr>
          <w:lang w:val="es-ES_tradnl"/>
        </w:rPr>
        <w:t>ivos públicos en el ámbito del G</w:t>
      </w:r>
      <w:r w:rsidRPr="00976BFF">
        <w:rPr>
          <w:lang w:val="es-ES_tradnl"/>
        </w:rPr>
        <w:t xml:space="preserve">obierno central. Para elaborar el informe anual de activos y pasivos financieros del </w:t>
      </w:r>
      <w:r w:rsidR="00636EC9">
        <w:rPr>
          <w:lang w:val="es-ES_tradnl"/>
        </w:rPr>
        <w:t>G</w:t>
      </w:r>
      <w:r w:rsidRPr="00976BFF">
        <w:rPr>
          <w:lang w:val="es-ES_tradnl"/>
        </w:rPr>
        <w:t xml:space="preserve">obierno central incluido en el Balance de Ejecución Presupuestal Anual, la CGN recaba datos en forma manual y garantiza la coherencia con los otros informes que emite el SIIF. Además, es posible que la clasificación presupuestaria necesite ser más detallada </w:t>
      </w:r>
      <w:r w:rsidR="002F7C2C">
        <w:rPr>
          <w:lang w:val="es-ES_tradnl"/>
        </w:rPr>
        <w:t xml:space="preserve">para </w:t>
      </w:r>
      <w:r w:rsidRPr="00976BFF">
        <w:rPr>
          <w:lang w:val="es-ES_tradnl"/>
        </w:rPr>
        <w:t xml:space="preserve">mejorar los informes sobre los </w:t>
      </w:r>
      <w:r w:rsidR="006D44FB">
        <w:rPr>
          <w:lang w:val="es-ES_tradnl"/>
        </w:rPr>
        <w:t>programas</w:t>
      </w:r>
      <w:r w:rsidRPr="00976BFF">
        <w:rPr>
          <w:lang w:val="es-ES_tradnl"/>
        </w:rPr>
        <w:t xml:space="preserve"> y los proyectos del Gobierno de Uruguay, así como su seguimiento.</w:t>
      </w:r>
    </w:p>
    <w:p w:rsidR="00956A33" w:rsidRPr="00976BFF" w:rsidRDefault="00956A33" w:rsidP="00EB3076">
      <w:pPr>
        <w:pStyle w:val="Annexmain"/>
        <w:autoSpaceDE w:val="0"/>
        <w:ind w:firstLine="0"/>
        <w:rPr>
          <w:lang w:val="es-ES_tradnl"/>
        </w:rPr>
      </w:pPr>
      <w:r w:rsidRPr="00976BFF">
        <w:rPr>
          <w:b/>
          <w:lang w:val="es-ES_tradnl"/>
        </w:rPr>
        <w:t>Controles internos/</w:t>
      </w:r>
      <w:r w:rsidR="003824A7">
        <w:rPr>
          <w:b/>
          <w:lang w:val="es-ES_tradnl"/>
        </w:rPr>
        <w:t>a</w:t>
      </w:r>
      <w:r w:rsidRPr="00976BFF">
        <w:rPr>
          <w:b/>
          <w:lang w:val="es-ES_tradnl"/>
        </w:rPr>
        <w:t>uditorías.</w:t>
      </w:r>
      <w:r w:rsidRPr="00976BFF">
        <w:rPr>
          <w:lang w:val="es-ES_tradnl"/>
        </w:rPr>
        <w:t xml:space="preserve"> Existe un sistema institucional bastante sólido para controlar los gastos en el ámbito del Gobierno </w:t>
      </w:r>
      <w:r w:rsidR="00636EC9">
        <w:rPr>
          <w:lang w:val="es-ES_tradnl"/>
        </w:rPr>
        <w:t>c</w:t>
      </w:r>
      <w:r w:rsidRPr="00976BFF">
        <w:rPr>
          <w:lang w:val="es-ES_tradnl"/>
        </w:rPr>
        <w:t>entral de Uruguay, que se asienta, fundamentalmente, en la amplia cobertura del SIIF y los controles internos preventivos descritos en detalle en el TOCAF</w:t>
      </w:r>
      <w:r w:rsidRPr="00976BFF">
        <w:rPr>
          <w:vertAlign w:val="superscript"/>
          <w:lang w:val="es-ES_tradnl"/>
        </w:rPr>
        <w:footnoteReference w:id="29"/>
      </w:r>
      <w:r w:rsidRPr="00976BFF">
        <w:rPr>
          <w:lang w:val="es-ES_tradnl"/>
        </w:rPr>
        <w:t xml:space="preserve">. En consonancia con este sistema, en el informe del PEFA se señaló que existe en general un alto grado de cumplimiento de los procedimientos de control interno en el ámbito del Gobierno </w:t>
      </w:r>
      <w:r w:rsidR="00636EC9">
        <w:rPr>
          <w:lang w:val="es-ES_tradnl"/>
        </w:rPr>
        <w:t>c</w:t>
      </w:r>
      <w:r w:rsidRPr="00976BFF">
        <w:rPr>
          <w:lang w:val="es-ES_tradnl"/>
        </w:rPr>
        <w:t>entral y sus actores principales.</w:t>
      </w:r>
    </w:p>
    <w:p w:rsidR="00956A33" w:rsidRPr="00976BFF" w:rsidRDefault="00956A33" w:rsidP="00EB3076">
      <w:pPr>
        <w:pStyle w:val="Annexmain"/>
        <w:ind w:firstLine="0"/>
        <w:rPr>
          <w:lang w:val="es-ES_tradnl"/>
        </w:rPr>
      </w:pPr>
      <w:r w:rsidRPr="00976BFF">
        <w:rPr>
          <w:lang w:val="es-ES_tradnl"/>
        </w:rPr>
        <w:t>La auditoría del sector público está sujeta a limitaciones tanto a nivel conceptual, pues se focaliza solo en el cumplimiento de los procesos internos y las reglamentaciones</w:t>
      </w:r>
      <w:r w:rsidR="001C47AE">
        <w:rPr>
          <w:lang w:val="es-ES_tradnl"/>
        </w:rPr>
        <w:t xml:space="preserve">, como en lo que respecta a su </w:t>
      </w:r>
      <w:r w:rsidRPr="00976BFF">
        <w:rPr>
          <w:lang w:val="es-ES_tradnl"/>
        </w:rPr>
        <w:t>alcance, dado que los planes de auditoría no cubren varios incisos y ministerios del Poder Ejecutivo. El MTOP es una de las pocas unidades enc</w:t>
      </w:r>
      <w:r w:rsidR="00636EC9">
        <w:rPr>
          <w:lang w:val="es-ES_tradnl"/>
        </w:rPr>
        <w:t>argadas del gasto del Gobierno c</w:t>
      </w:r>
      <w:r w:rsidRPr="00976BFF">
        <w:rPr>
          <w:lang w:val="es-ES_tradnl"/>
        </w:rPr>
        <w:t xml:space="preserve">entral dotada de una auditoría interna institucional que responde directamente al ministro. Sin embargo, es preciso fortalecer esta unidad para que pueda llevar a cabo auditorías basadas en riesgos y superar varios puntos débiles, como la falta de coordinación de las tareas de auditoría, el alcance limitado de los planes de auditoría y la insuficiencia de personal. </w:t>
      </w:r>
    </w:p>
    <w:p w:rsidR="00956A33" w:rsidRPr="00976BFF" w:rsidRDefault="00956A33" w:rsidP="00EB3076">
      <w:pPr>
        <w:pStyle w:val="Annexmain"/>
        <w:ind w:firstLine="0"/>
        <w:rPr>
          <w:lang w:val="es-ES_tradnl"/>
        </w:rPr>
      </w:pPr>
      <w:r w:rsidRPr="00976BFF">
        <w:rPr>
          <w:lang w:val="es-ES_tradnl"/>
        </w:rPr>
        <w:t xml:space="preserve">El TCR </w:t>
      </w:r>
      <w:r w:rsidR="00636EC9">
        <w:rPr>
          <w:lang w:val="es-ES_tradnl"/>
        </w:rPr>
        <w:t>realiza</w:t>
      </w:r>
      <w:r w:rsidRPr="00976BFF">
        <w:rPr>
          <w:lang w:val="es-ES_tradnl"/>
        </w:rPr>
        <w:t xml:space="preserve"> la auditoría externa y presenta un informe al Poder Legislativo. Uruguay constituye un caso de práctica recomendada en América Latina, pues las auditorías externas se asientan en los sistemas nacionales. De todos modos, cabe señalar que, por el momento, la información sobre la presupuestación basada en el desempeño no se incluye como un elemento de juicio en las actividades de auditoría del TCR, y que esas auditorías son solo financieras.</w:t>
      </w:r>
    </w:p>
    <w:p w:rsidR="00956A33" w:rsidRPr="00976BFF" w:rsidRDefault="00956A33" w:rsidP="00EB3076">
      <w:pPr>
        <w:pStyle w:val="Annexmain"/>
        <w:ind w:firstLine="0"/>
        <w:rPr>
          <w:lang w:val="es-ES_tradnl"/>
        </w:rPr>
      </w:pPr>
      <w:r w:rsidRPr="00976BFF">
        <w:rPr>
          <w:b/>
          <w:lang w:val="es-ES_tradnl"/>
        </w:rPr>
        <w:t xml:space="preserve">Mecanismo </w:t>
      </w:r>
      <w:r w:rsidRPr="00766354">
        <w:rPr>
          <w:b/>
          <w:lang w:val="es-ES_tradnl"/>
        </w:rPr>
        <w:t>de reclamación.</w:t>
      </w:r>
      <w:r w:rsidRPr="00976BFF">
        <w:rPr>
          <w:lang w:val="es-ES_tradnl"/>
        </w:rPr>
        <w:t xml:space="preserve"> Aunque las reclamaciones se deben incluir en el informe de evaluación de todos los contratos adjudicados, la ley uruguaya no exige a los organismos públicos que realizan la licitación ni al TCR que respondan a los reclamantes. En su lugar, la decisión final se hace pública. El TCA también puede recibir reclamaciones una vez agotados </w:t>
      </w:r>
      <w:r w:rsidR="00636EC9">
        <w:rPr>
          <w:lang w:val="es-ES_tradnl"/>
        </w:rPr>
        <w:t xml:space="preserve">todos </w:t>
      </w:r>
      <w:r w:rsidRPr="00976BFF">
        <w:rPr>
          <w:lang w:val="es-ES_tradnl"/>
        </w:rPr>
        <w:t xml:space="preserve">los </w:t>
      </w:r>
      <w:r w:rsidR="00636EC9">
        <w:rPr>
          <w:lang w:val="es-ES_tradnl"/>
        </w:rPr>
        <w:t>otros</w:t>
      </w:r>
      <w:r w:rsidRPr="00976BFF">
        <w:rPr>
          <w:lang w:val="es-ES_tradnl"/>
        </w:rPr>
        <w:t xml:space="preserve"> canales administrativos. Sus facultades, empero, son limitadas, ya que solo puede confirmar o anular una acción del Gobierno de Uruguay.</w:t>
      </w:r>
    </w:p>
    <w:p w:rsidR="00956A33" w:rsidRPr="00976BFF" w:rsidRDefault="00956A33" w:rsidP="00EB3076">
      <w:pPr>
        <w:pStyle w:val="Annexmain"/>
        <w:ind w:firstLine="0"/>
        <w:rPr>
          <w:lang w:val="es-ES_tradnl"/>
        </w:rPr>
      </w:pPr>
      <w:r w:rsidRPr="00976BFF">
        <w:rPr>
          <w:b/>
          <w:lang w:val="es-ES_tradnl"/>
        </w:rPr>
        <w:t>Fraude y corrupción.</w:t>
      </w:r>
      <w:r w:rsidRPr="00976BFF">
        <w:rPr>
          <w:lang w:val="es-ES_tradnl"/>
        </w:rPr>
        <w:t xml:space="preserve"> En términos generales, se considera que el marco fiduciario es lo suficientemente racional y sólido como para prevenir y abordar el fraude y la corrupción en el marco del </w:t>
      </w:r>
      <w:r w:rsidR="008A1019">
        <w:rPr>
          <w:lang w:val="es-ES_tradnl"/>
        </w:rPr>
        <w:t>programa</w:t>
      </w:r>
      <w:r w:rsidRPr="00976BFF">
        <w:rPr>
          <w:lang w:val="es-ES_tradnl"/>
        </w:rPr>
        <w:t>, promueve especialmente la transparencia, e incluye características interesantes, como el mencionado Registro Nacional de Empresas de Obras Públicas. No obstante, existen algunas cuestiones o inquietudes, como la falta de rotación de los miembros de</w:t>
      </w:r>
      <w:r w:rsidR="00636EC9">
        <w:rPr>
          <w:lang w:val="es-ES_tradnl"/>
        </w:rPr>
        <w:t xml:space="preserve"> </w:t>
      </w:r>
      <w:r w:rsidRPr="00976BFF">
        <w:rPr>
          <w:lang w:val="es-ES_tradnl"/>
        </w:rPr>
        <w:t>l</w:t>
      </w:r>
      <w:r w:rsidR="00636EC9">
        <w:rPr>
          <w:lang w:val="es-ES_tradnl"/>
        </w:rPr>
        <w:t>os</w:t>
      </w:r>
      <w:r w:rsidRPr="00976BFF">
        <w:rPr>
          <w:lang w:val="es-ES_tradnl"/>
        </w:rPr>
        <w:t xml:space="preserve"> comité</w:t>
      </w:r>
      <w:r w:rsidR="00636EC9">
        <w:rPr>
          <w:lang w:val="es-ES_tradnl"/>
        </w:rPr>
        <w:t>s</w:t>
      </w:r>
      <w:r w:rsidRPr="00976BFF">
        <w:rPr>
          <w:lang w:val="es-ES_tradnl"/>
        </w:rPr>
        <w:t xml:space="preserve"> de evaluación de ofertas. Otras inquietudes se relacionan con los posibles conflictos de intereses que podrían surgir a raíz del reducido tamaño del sector de la construcción de Uruguay. No obstante, se considera que los riesgos conexos de fraude y corrupción son limitados y manejables, como lo demuestra el desempeño pasado y actual y el profundo respeto por el imperio de la ley que existe en el país, las normas éticas de la administración pública y el marco institucional y la capacidad de los organismos de control y supervisión que integran el sistema de lucha contra la corrupción.</w:t>
      </w:r>
    </w:p>
    <w:p w:rsidR="00956A33" w:rsidRPr="00976BFF" w:rsidRDefault="00956A33" w:rsidP="00EB3076">
      <w:pPr>
        <w:pStyle w:val="Heading3"/>
        <w:rPr>
          <w:lang w:val="es-ES_tradnl"/>
        </w:rPr>
      </w:pPr>
      <w:bookmarkStart w:id="89" w:name="_Toc344927211"/>
      <w:r w:rsidRPr="00976BFF">
        <w:rPr>
          <w:lang w:val="es-ES_tradnl"/>
        </w:rPr>
        <w:t>Capacidad y desempeño de CVU</w:t>
      </w:r>
      <w:bookmarkEnd w:id="89"/>
    </w:p>
    <w:p w:rsidR="00956A33" w:rsidRPr="00976BFF" w:rsidRDefault="00956A33" w:rsidP="00EB3076">
      <w:pPr>
        <w:pStyle w:val="Annexmain"/>
        <w:autoSpaceDE w:val="0"/>
        <w:ind w:firstLine="0"/>
        <w:rPr>
          <w:lang w:val="es-ES_tradnl"/>
        </w:rPr>
      </w:pPr>
      <w:r w:rsidRPr="00976BFF">
        <w:rPr>
          <w:lang w:val="es-ES_tradnl"/>
        </w:rPr>
        <w:t xml:space="preserve">Sobre la base de la información proporcionada, se ha determinado que CVU puede implementar los procesos de licitación más rápidamente que la DNV, ya que no está sujeta a las mismas instancias de control que esta última, como el examen previo que llevan a cabo el TCR, la CGN y el ordenador de gasto. Además, el contrato de concesión del MTOP y la CND requiere que CVU implemente los procesos de licitación </w:t>
      </w:r>
      <w:r w:rsidR="00636EC9">
        <w:rPr>
          <w:lang w:val="es-ES_tradnl"/>
        </w:rPr>
        <w:t>en un plazo</w:t>
      </w:r>
      <w:r w:rsidRPr="00976BFF">
        <w:rPr>
          <w:lang w:val="es-ES_tradnl"/>
        </w:rPr>
        <w:t xml:space="preserve"> de 80 días</w:t>
      </w:r>
      <w:r w:rsidRPr="00976BFF">
        <w:rPr>
          <w:vertAlign w:val="superscript"/>
          <w:lang w:val="es-ES_tradnl"/>
        </w:rPr>
        <w:footnoteReference w:id="30"/>
      </w:r>
      <w:r w:rsidRPr="00976BFF">
        <w:rPr>
          <w:lang w:val="es-ES_tradnl"/>
        </w:rPr>
        <w:t>. En teoría, por lo tanto, es significativamente más rápido que el plazo medio de 237 días que requiere la DNV para las licitaciones públicas. De hecho, el Banco examinó los datos de los procesos de adquisiciones que llevó a cabo CVU y confirmó que la evaluación de las ofertas de los contratos financiados por CVU es mucho más rápida.</w:t>
      </w:r>
    </w:p>
    <w:p w:rsidR="00956A33" w:rsidRPr="00976BFF" w:rsidRDefault="00956A33" w:rsidP="00EB3076">
      <w:pPr>
        <w:pStyle w:val="Annexmain"/>
        <w:ind w:firstLine="0"/>
        <w:rPr>
          <w:lang w:val="es-ES_tradnl"/>
        </w:rPr>
      </w:pPr>
      <w:r w:rsidRPr="00976BFF">
        <w:rPr>
          <w:lang w:val="es-ES_tradnl"/>
        </w:rPr>
        <w:t xml:space="preserve">Desde la perspectiva de la gestión financiera, en la evaluación se concluye que los mecanismos de gestión financiera existentes en CVU brindan un grado razonable de seguridad de que los fondos se utilizarán para los fines previstos. No se han identificado deficiencias importantes. El examen de la estructura organizativa de CVU y del personal profesional también garantiza de manera razonable que las funciones de gestión financiera, incluidas la presupuestación, la contabilidad, el control interno, los pagos y los informes financieros, se llevan a cabo en forma adecuada. Específicamente, CVU prepara estados financieros anuales y semestrales (de período intermedio) en consonancia con las </w:t>
      </w:r>
      <w:r w:rsidR="002F7C2C">
        <w:rPr>
          <w:lang w:val="es-ES_tradnl"/>
        </w:rPr>
        <w:t>n</w:t>
      </w:r>
      <w:r w:rsidR="002F7C2C" w:rsidRPr="00976BFF">
        <w:rPr>
          <w:lang w:val="es-ES_tradnl"/>
        </w:rPr>
        <w:t xml:space="preserve">ormas </w:t>
      </w:r>
      <w:r w:rsidR="002F7C2C">
        <w:rPr>
          <w:lang w:val="es-ES_tradnl"/>
        </w:rPr>
        <w:t>i</w:t>
      </w:r>
      <w:r w:rsidR="002F7C2C" w:rsidRPr="00976BFF">
        <w:rPr>
          <w:lang w:val="es-ES_tradnl"/>
        </w:rPr>
        <w:t xml:space="preserve">nternacionales </w:t>
      </w:r>
      <w:r w:rsidRPr="00976BFF">
        <w:rPr>
          <w:lang w:val="es-ES_tradnl"/>
        </w:rPr>
        <w:t xml:space="preserve">de </w:t>
      </w:r>
      <w:r w:rsidR="002F7C2C">
        <w:rPr>
          <w:lang w:val="es-ES_tradnl"/>
        </w:rPr>
        <w:t>i</w:t>
      </w:r>
      <w:r w:rsidR="002F7C2C" w:rsidRPr="00976BFF">
        <w:rPr>
          <w:lang w:val="es-ES_tradnl"/>
        </w:rPr>
        <w:t xml:space="preserve">nformación </w:t>
      </w:r>
      <w:r w:rsidR="002F7C2C">
        <w:rPr>
          <w:lang w:val="es-ES_tradnl"/>
        </w:rPr>
        <w:t>f</w:t>
      </w:r>
      <w:r w:rsidR="002F7C2C" w:rsidRPr="00976BFF">
        <w:rPr>
          <w:lang w:val="es-ES_tradnl"/>
        </w:rPr>
        <w:t>inanciera</w:t>
      </w:r>
      <w:r w:rsidRPr="00976BFF">
        <w:rPr>
          <w:lang w:val="es-ES_tradnl"/>
        </w:rPr>
        <w:t xml:space="preserve">, que están sujetos a auditoría externa y se presentan al TCR en </w:t>
      </w:r>
      <w:r w:rsidR="004A26E3" w:rsidRPr="00976BFF">
        <w:rPr>
          <w:lang w:val="es-ES_tradnl"/>
        </w:rPr>
        <w:t>el</w:t>
      </w:r>
      <w:r w:rsidRPr="00976BFF">
        <w:rPr>
          <w:lang w:val="es-ES_tradnl"/>
        </w:rPr>
        <w:t xml:space="preserve"> marco de los informes de la CND. Durante los últimos tres años, los auditores emitieron opiniones sin reservas respecto de los estados financieros.</w:t>
      </w:r>
    </w:p>
    <w:p w:rsidR="00956A33" w:rsidRPr="00976BFF" w:rsidRDefault="00956A33" w:rsidP="00EB3076">
      <w:pPr>
        <w:pStyle w:val="Heading2"/>
        <w:numPr>
          <w:ilvl w:val="1"/>
          <w:numId w:val="7"/>
        </w:numPr>
        <w:ind w:firstLine="0"/>
        <w:rPr>
          <w:rFonts w:ascii="Times New Roman" w:hAnsi="Times New Roman"/>
          <w:b/>
          <w:sz w:val="22"/>
          <w:lang w:val="es-ES_tradnl"/>
        </w:rPr>
      </w:pPr>
      <w:bookmarkStart w:id="90" w:name="_Toc344927212"/>
      <w:bookmarkStart w:id="91" w:name="_Toc327540011"/>
      <w:r w:rsidRPr="00976BFF">
        <w:rPr>
          <w:rFonts w:ascii="Times New Roman" w:hAnsi="Times New Roman"/>
          <w:b/>
          <w:sz w:val="22"/>
          <w:lang w:val="es-ES_tradnl"/>
        </w:rPr>
        <w:t>EVALUACIÓN DE LOS RIESGOS FIDUCIARIOS</w:t>
      </w:r>
      <w:bookmarkEnd w:id="90"/>
    </w:p>
    <w:bookmarkEnd w:id="91"/>
    <w:p w:rsidR="00956A33" w:rsidRPr="00976BFF" w:rsidRDefault="00956A33" w:rsidP="00EB3076">
      <w:pPr>
        <w:pStyle w:val="Annexmain"/>
        <w:ind w:firstLine="0"/>
        <w:rPr>
          <w:lang w:val="es-ES_tradnl"/>
        </w:rPr>
      </w:pPr>
      <w:r w:rsidRPr="00976BFF">
        <w:rPr>
          <w:lang w:val="es-ES_tradnl"/>
        </w:rPr>
        <w:t>Sobre la base de los datos disponibles para todos los contratos de obras celebrados durante 2008-11, la lentitud del proceso decisorio durante la evaluación de las ofertas y la adjudicación de los contratos es el principal aspecto que pone en riesgo la consecución de resultados en el plazo previsto. La DNV cuenta con personal muy calificado en materia de adquisiciones, pero el equipo no cuenta con personal suficiente. La falta de personal podría agravar el problema si aumenta la demanda de procesos de adquisiciones, aunque no se espera que se registren aumentos de es</w:t>
      </w:r>
      <w:r w:rsidR="002F7C2C">
        <w:rPr>
          <w:lang w:val="es-ES_tradnl"/>
        </w:rPr>
        <w:t>t</w:t>
      </w:r>
      <w:r w:rsidRPr="00976BFF">
        <w:rPr>
          <w:lang w:val="es-ES_tradnl"/>
        </w:rPr>
        <w:t xml:space="preserve">e tipo, dado que el nivel de gastos previsto del </w:t>
      </w:r>
      <w:r w:rsidR="008A1019">
        <w:rPr>
          <w:lang w:val="es-ES_tradnl"/>
        </w:rPr>
        <w:t>programa</w:t>
      </w:r>
      <w:r w:rsidRPr="00976BFF">
        <w:rPr>
          <w:lang w:val="es-ES_tradnl"/>
        </w:rPr>
        <w:t xml:space="preserve"> concuerda en gran medida con el historial</w:t>
      </w:r>
      <w:r w:rsidR="00FA0E36">
        <w:rPr>
          <w:lang w:val="es-ES_tradnl"/>
        </w:rPr>
        <w:t xml:space="preserve"> anterior</w:t>
      </w:r>
      <w:r w:rsidRPr="00976BFF">
        <w:rPr>
          <w:lang w:val="es-ES_tradnl"/>
        </w:rPr>
        <w:t xml:space="preserve">. En las modificaciones del TOCAF propuestas para 2012 se establecerán plazos para la labor que realizan los comités de evaluación de ofertas y el TCR. </w:t>
      </w:r>
    </w:p>
    <w:p w:rsidR="00956A33" w:rsidRPr="00976BFF" w:rsidRDefault="00956A33" w:rsidP="00EB3076">
      <w:pPr>
        <w:pStyle w:val="Annexmain"/>
        <w:ind w:firstLine="0"/>
        <w:rPr>
          <w:lang w:val="es-ES_tradnl"/>
        </w:rPr>
      </w:pPr>
      <w:r w:rsidRPr="00976BFF">
        <w:rPr>
          <w:lang w:val="es-ES_tradnl"/>
        </w:rPr>
        <w:t xml:space="preserve">Se considera, además, que los mecanismos de gestión financiera del </w:t>
      </w:r>
      <w:r w:rsidR="008A1019">
        <w:rPr>
          <w:lang w:val="es-ES_tradnl"/>
        </w:rPr>
        <w:t>programa</w:t>
      </w:r>
      <w:r w:rsidRPr="00976BFF">
        <w:rPr>
          <w:lang w:val="es-ES_tradnl"/>
        </w:rPr>
        <w:t xml:space="preserve"> son, en líneas generales, adecuados en lo que respecta a los procedimientos y resultados; los sistemas de gestión financiera del </w:t>
      </w:r>
      <w:r w:rsidR="008A1019">
        <w:rPr>
          <w:lang w:val="es-ES_tradnl"/>
        </w:rPr>
        <w:t>programa</w:t>
      </w:r>
      <w:r w:rsidRPr="00976BFF">
        <w:rPr>
          <w:lang w:val="es-ES_tradnl"/>
        </w:rPr>
        <w:t xml:space="preserve"> no plantean grandes riesgos que impidan lograr resultados en lo referente a la gestión de recursos del </w:t>
      </w:r>
      <w:r w:rsidR="008A1019">
        <w:rPr>
          <w:lang w:val="es-ES_tradnl"/>
        </w:rPr>
        <w:t>programa</w:t>
      </w:r>
      <w:r w:rsidRPr="00976BFF">
        <w:rPr>
          <w:lang w:val="es-ES_tradnl"/>
        </w:rPr>
        <w:t xml:space="preserve"> y la información financiera para las partes interesadas. Se están llevando a cabo, o se prevén, </w:t>
      </w:r>
      <w:r w:rsidR="00636EC9">
        <w:rPr>
          <w:lang w:val="es-ES_tradnl"/>
        </w:rPr>
        <w:t>medidas</w:t>
      </w:r>
      <w:r w:rsidRPr="00976BFF">
        <w:rPr>
          <w:lang w:val="es-ES_tradnl"/>
        </w:rPr>
        <w:t xml:space="preserve"> de reforma</w:t>
      </w:r>
      <w:r w:rsidR="00636EC9">
        <w:rPr>
          <w:lang w:val="es-ES_tradnl"/>
        </w:rPr>
        <w:t xml:space="preserve"> de la gestión de las finanzas públicas</w:t>
      </w:r>
      <w:r w:rsidRPr="00976BFF">
        <w:rPr>
          <w:lang w:val="es-ES_tradnl"/>
        </w:rPr>
        <w:t xml:space="preserve"> que permitirían reforzar y mejorar el sistema de gestión financiera para abordar áreas específicas de riesgo presupuestario y financiero. No obstante, durante la ejecución del </w:t>
      </w:r>
      <w:r w:rsidR="008A1019">
        <w:rPr>
          <w:lang w:val="es-ES_tradnl"/>
        </w:rPr>
        <w:t>programa</w:t>
      </w:r>
      <w:r w:rsidRPr="00976BFF">
        <w:rPr>
          <w:lang w:val="es-ES_tradnl"/>
        </w:rPr>
        <w:t xml:space="preserve"> se deberían abordar dos áreas deficientes: i) la disponibilidad de presupuesto y, por lo tanto, el riesgo relativo a la sostenibilidad del </w:t>
      </w:r>
      <w:r w:rsidR="008A1019">
        <w:rPr>
          <w:lang w:val="es-ES_tradnl"/>
        </w:rPr>
        <w:t>programa</w:t>
      </w:r>
      <w:r w:rsidRPr="00976BFF">
        <w:rPr>
          <w:lang w:val="es-ES_tradnl"/>
        </w:rPr>
        <w:t xml:space="preserve">; ii) la débil función de auditoría interna en el MTOP, </w:t>
      </w:r>
      <w:r w:rsidR="002F7C2C">
        <w:rPr>
          <w:lang w:val="es-ES_tradnl"/>
        </w:rPr>
        <w:t xml:space="preserve">para </w:t>
      </w:r>
      <w:r w:rsidRPr="00976BFF">
        <w:rPr>
          <w:lang w:val="es-ES_tradnl"/>
        </w:rPr>
        <w:t>permitir un seguimiento adecuado y la mitigación de los riesgos fiduciarios.</w:t>
      </w:r>
    </w:p>
    <w:p w:rsidR="00956A33" w:rsidRPr="00976BFF" w:rsidRDefault="00956A33" w:rsidP="00EB3076">
      <w:pPr>
        <w:pStyle w:val="Annexmain"/>
        <w:ind w:firstLine="0"/>
        <w:rPr>
          <w:lang w:val="es-ES_tradnl"/>
        </w:rPr>
      </w:pPr>
      <w:r w:rsidRPr="00976BFF">
        <w:rPr>
          <w:lang w:val="es-ES_tradnl"/>
        </w:rPr>
        <w:t>Sobre la base de los mencionados elementos, se considera que el riesgo fiduciario general es moderado.</w:t>
      </w:r>
    </w:p>
    <w:p w:rsidR="00956A33" w:rsidRPr="00976BFF" w:rsidRDefault="00956A33" w:rsidP="00EB3076">
      <w:pPr>
        <w:rPr>
          <w:lang w:val="es-ES_tradnl"/>
        </w:rPr>
      </w:pPr>
    </w:p>
    <w:p w:rsidR="00956A33" w:rsidRPr="00976BFF" w:rsidRDefault="002F7C2C" w:rsidP="00EB3076">
      <w:pPr>
        <w:pStyle w:val="Heading2"/>
        <w:numPr>
          <w:ilvl w:val="1"/>
          <w:numId w:val="7"/>
        </w:numPr>
        <w:ind w:firstLine="0"/>
        <w:rPr>
          <w:rFonts w:ascii="Times New Roman" w:hAnsi="Times New Roman"/>
          <w:b/>
          <w:sz w:val="22"/>
          <w:lang w:val="es-ES_tradnl"/>
        </w:rPr>
      </w:pPr>
      <w:bookmarkStart w:id="92" w:name="_Toc344927213"/>
      <w:bookmarkStart w:id="93" w:name="_Toc327540012"/>
      <w:r>
        <w:rPr>
          <w:rFonts w:ascii="Times New Roman" w:hAnsi="Times New Roman"/>
          <w:b/>
          <w:sz w:val="22"/>
          <w:lang w:val="es-ES_tradnl"/>
        </w:rPr>
        <w:t>MEJORA DEL DESEMPEÑO DE LOS SISTEMAS FIDUCIARIOS</w:t>
      </w:r>
      <w:r w:rsidR="00956A33" w:rsidRPr="00976BFF">
        <w:rPr>
          <w:rFonts w:ascii="Times New Roman" w:hAnsi="Times New Roman"/>
          <w:b/>
          <w:sz w:val="22"/>
          <w:lang w:val="es-ES_tradnl"/>
        </w:rPr>
        <w:t xml:space="preserve"> DEL PROGRAMA</w:t>
      </w:r>
      <w:bookmarkEnd w:id="92"/>
    </w:p>
    <w:bookmarkEnd w:id="93"/>
    <w:p w:rsidR="00956A33" w:rsidRPr="00976BFF" w:rsidRDefault="00956A33" w:rsidP="00EB3076">
      <w:pPr>
        <w:pStyle w:val="Annexmain"/>
        <w:ind w:firstLine="0"/>
        <w:rPr>
          <w:lang w:val="es-ES_tradnl"/>
        </w:rPr>
      </w:pPr>
      <w:r w:rsidRPr="00976BFF">
        <w:rPr>
          <w:lang w:val="es-ES_tradnl"/>
        </w:rPr>
        <w:t xml:space="preserve">Sobre la base de la evaluación fiduciaria y los principales riesgos identificados </w:t>
      </w:r>
      <w:r w:rsidR="00636EC9">
        <w:rPr>
          <w:lang w:val="es-ES_tradnl"/>
        </w:rPr>
        <w:t>con respecto a</w:t>
      </w:r>
      <w:r w:rsidRPr="00976BFF">
        <w:rPr>
          <w:lang w:val="es-ES_tradnl"/>
        </w:rPr>
        <w:t xml:space="preserve"> los mecanismos fiduciarios del </w:t>
      </w:r>
      <w:r w:rsidR="008A1019">
        <w:rPr>
          <w:lang w:val="es-ES_tradnl"/>
        </w:rPr>
        <w:t>programa</w:t>
      </w:r>
      <w:r w:rsidRPr="00976BFF">
        <w:rPr>
          <w:lang w:val="es-ES_tradnl"/>
        </w:rPr>
        <w:t>, se sugiere</w:t>
      </w:r>
      <w:r w:rsidR="00636EC9">
        <w:rPr>
          <w:lang w:val="es-ES_tradnl"/>
        </w:rPr>
        <w:t xml:space="preserve"> incluir</w:t>
      </w:r>
      <w:r w:rsidRPr="00976BFF">
        <w:rPr>
          <w:lang w:val="es-ES_tradnl"/>
        </w:rPr>
        <w:t xml:space="preserve"> las siguientes </w:t>
      </w:r>
      <w:r w:rsidR="00636EC9">
        <w:rPr>
          <w:lang w:val="es-ES_tradnl"/>
        </w:rPr>
        <w:t>actividades en el</w:t>
      </w:r>
      <w:r w:rsidRPr="00976BFF">
        <w:rPr>
          <w:lang w:val="es-ES_tradnl"/>
        </w:rPr>
        <w:t xml:space="preserve"> Plan de Acción del </w:t>
      </w:r>
      <w:r w:rsidR="008A1019">
        <w:rPr>
          <w:lang w:val="es-ES_tradnl"/>
        </w:rPr>
        <w:t>programa</w:t>
      </w:r>
      <w:r w:rsidRPr="00976BFF">
        <w:rPr>
          <w:lang w:val="es-ES_tradnl"/>
        </w:rPr>
        <w:t xml:space="preserve"> </w:t>
      </w:r>
      <w:r w:rsidR="002F7C2C">
        <w:rPr>
          <w:lang w:val="es-ES_tradnl"/>
        </w:rPr>
        <w:t xml:space="preserve">para </w:t>
      </w:r>
      <w:r w:rsidRPr="00976BFF">
        <w:rPr>
          <w:lang w:val="es-ES_tradnl"/>
        </w:rPr>
        <w:t>mejorar el desempeño de los sistemas fiduciarios que respaldan su ejecución:</w:t>
      </w:r>
    </w:p>
    <w:p w:rsidR="00956A33" w:rsidRPr="00976BFF" w:rsidRDefault="00956A33" w:rsidP="00956A33">
      <w:pPr>
        <w:pStyle w:val="Bullet"/>
        <w:ind w:left="1460"/>
        <w:rPr>
          <w:lang w:val="es-ES_tradnl"/>
        </w:rPr>
      </w:pPr>
      <w:r w:rsidRPr="00976BFF">
        <w:rPr>
          <w:lang w:val="es-ES_tradnl"/>
        </w:rPr>
        <w:t xml:space="preserve">Elaborar un diagnóstico detallado de todos los pasos internos que deben </w:t>
      </w:r>
      <w:r w:rsidR="00E56DEE">
        <w:rPr>
          <w:lang w:val="es-ES_tradnl"/>
        </w:rPr>
        <w:t>cumplirse</w:t>
      </w:r>
      <w:r w:rsidRPr="00976BFF">
        <w:rPr>
          <w:lang w:val="es-ES_tradnl"/>
        </w:rPr>
        <w:t xml:space="preserve"> durante la evaluación de las ofertas y las decisiones de adjudicación. Este diagnóstico debe enumerar todos los pasos y el tiempo medio que toma cada uno. En las modificaciones propuestas del TOCAF pa</w:t>
      </w:r>
      <w:r w:rsidR="001C47AE">
        <w:rPr>
          <w:lang w:val="es-ES_tradnl"/>
        </w:rPr>
        <w:t xml:space="preserve">ra 2012 se establecerán plazos </w:t>
      </w:r>
      <w:r w:rsidRPr="00976BFF">
        <w:rPr>
          <w:lang w:val="es-ES_tradnl"/>
        </w:rPr>
        <w:t xml:space="preserve">para la labor del comité de evaluación de ofertas y el TCR durante la evaluación de ofertas y la adjudicación de contratos. El Banco hará un seguimiento de los datos </w:t>
      </w:r>
      <w:r w:rsidR="002F7C2C">
        <w:rPr>
          <w:lang w:val="es-ES_tradnl"/>
        </w:rPr>
        <w:t>para</w:t>
      </w:r>
      <w:r w:rsidRPr="00976BFF">
        <w:rPr>
          <w:lang w:val="es-ES_tradnl"/>
        </w:rPr>
        <w:t xml:space="preserve"> controlar si esta iniciativa legal mejora los resultados. Esta actividad se ha incluido en el Plan de Acción del </w:t>
      </w:r>
      <w:r w:rsidR="008A1019">
        <w:rPr>
          <w:lang w:val="es-ES_tradnl"/>
        </w:rPr>
        <w:t>programa</w:t>
      </w:r>
      <w:r w:rsidRPr="00976BFF">
        <w:rPr>
          <w:lang w:val="es-ES_tradnl"/>
        </w:rPr>
        <w:t>.</w:t>
      </w:r>
    </w:p>
    <w:p w:rsidR="00956A33" w:rsidRPr="00976BFF" w:rsidRDefault="00956A33" w:rsidP="00956A33">
      <w:pPr>
        <w:pStyle w:val="Bullet"/>
        <w:ind w:left="1460"/>
        <w:rPr>
          <w:lang w:val="es-ES_tradnl"/>
        </w:rPr>
      </w:pPr>
      <w:r w:rsidRPr="00976BFF">
        <w:rPr>
          <w:lang w:val="es-ES_tradnl"/>
        </w:rPr>
        <w:t xml:space="preserve">Considerar la contratación de especialistas adicionales en materia de adquisiciones para respaldar un aumento de la demanda de procesos de adquisiciones en caso de que dicha actividad se incremente. Esta actividad </w:t>
      </w:r>
      <w:r w:rsidR="00636EC9">
        <w:rPr>
          <w:lang w:val="es-ES_tradnl"/>
        </w:rPr>
        <w:t xml:space="preserve">no se incluyó en oportunidad de la </w:t>
      </w:r>
      <w:r w:rsidRPr="00976BFF">
        <w:rPr>
          <w:lang w:val="es-ES_tradnl"/>
        </w:rPr>
        <w:t>evaluación inicial</w:t>
      </w:r>
      <w:r w:rsidR="00636EC9">
        <w:rPr>
          <w:lang w:val="es-ES_tradnl"/>
        </w:rPr>
        <w:t xml:space="preserve"> pues se consideró que no planteaba</w:t>
      </w:r>
      <w:r w:rsidRPr="00976BFF">
        <w:rPr>
          <w:lang w:val="es-ES_tradnl"/>
        </w:rPr>
        <w:t xml:space="preserve"> un riesgo importante para la ejecución del </w:t>
      </w:r>
      <w:r w:rsidR="008A1019">
        <w:rPr>
          <w:lang w:val="es-ES_tradnl"/>
        </w:rPr>
        <w:t>programa</w:t>
      </w:r>
      <w:r w:rsidRPr="00976BFF">
        <w:rPr>
          <w:lang w:val="es-ES_tradnl"/>
        </w:rPr>
        <w:t xml:space="preserve"> en el corto plazo.</w:t>
      </w:r>
    </w:p>
    <w:p w:rsidR="00A764A2" w:rsidRPr="00976BFF" w:rsidRDefault="00956A33" w:rsidP="00956A33">
      <w:pPr>
        <w:pStyle w:val="Bullet"/>
        <w:ind w:left="1457" w:hanging="357"/>
        <w:rPr>
          <w:lang w:val="es-ES_tradnl"/>
        </w:rPr>
      </w:pPr>
      <w:r w:rsidRPr="00976BFF">
        <w:rPr>
          <w:lang w:val="es-ES_tradnl"/>
        </w:rPr>
        <w:t xml:space="preserve">Llevar a cabo actividades de capacitación del personal de la Unidad de Auditoría Interna del MTOP </w:t>
      </w:r>
      <w:r w:rsidR="002F7C2C">
        <w:rPr>
          <w:lang w:val="es-ES_tradnl"/>
        </w:rPr>
        <w:t>para</w:t>
      </w:r>
      <w:r w:rsidRPr="00976BFF">
        <w:rPr>
          <w:lang w:val="es-ES_tradnl"/>
        </w:rPr>
        <w:t xml:space="preserve"> fortalecer su capacidad, especialmente con respecto a las auditorías basadas en riesgos. Esta actividad se ha incluido en el Plan de Acción del </w:t>
      </w:r>
      <w:r w:rsidR="008A1019">
        <w:rPr>
          <w:lang w:val="es-ES_tradnl"/>
        </w:rPr>
        <w:t>programa</w:t>
      </w:r>
      <w:r w:rsidR="00E07A96" w:rsidRPr="00976BFF">
        <w:rPr>
          <w:lang w:val="es-ES_tradnl"/>
        </w:rPr>
        <w:t>.</w:t>
      </w:r>
    </w:p>
    <w:p w:rsidR="00956A33" w:rsidRPr="00976BFF" w:rsidRDefault="00956A33">
      <w:pPr>
        <w:rPr>
          <w:rFonts w:ascii="Times New Roman" w:hAnsi="Times New Roman" w:cs="Times New Roman"/>
          <w:sz w:val="24"/>
          <w:szCs w:val="24"/>
          <w:lang w:val="es-ES_tradnl"/>
        </w:rPr>
      </w:pPr>
      <w:r w:rsidRPr="00976BFF">
        <w:rPr>
          <w:lang w:val="es-ES_tradnl"/>
        </w:rPr>
        <w:br w:type="page"/>
      </w:r>
    </w:p>
    <w:p w:rsidR="00404DDA" w:rsidRPr="00976BFF" w:rsidRDefault="00404DDA" w:rsidP="00404DDA">
      <w:pPr>
        <w:pStyle w:val="Heading1"/>
        <w:numPr>
          <w:ilvl w:val="0"/>
          <w:numId w:val="0"/>
        </w:numPr>
        <w:rPr>
          <w:lang w:val="es-ES_tradnl"/>
        </w:rPr>
      </w:pPr>
      <w:bookmarkStart w:id="94" w:name="_Toc344927214"/>
      <w:r w:rsidRPr="00976BFF">
        <w:rPr>
          <w:lang w:val="es-ES_tradnl"/>
        </w:rPr>
        <w:t xml:space="preserve">Anexo 6. Resumen de la </w:t>
      </w:r>
      <w:r w:rsidR="003824A7">
        <w:rPr>
          <w:lang w:val="es-ES_tradnl"/>
        </w:rPr>
        <w:t>e</w:t>
      </w:r>
      <w:r w:rsidR="003824A7" w:rsidRPr="00976BFF">
        <w:rPr>
          <w:lang w:val="es-ES_tradnl"/>
        </w:rPr>
        <w:t xml:space="preserve">valuación </w:t>
      </w:r>
      <w:r w:rsidRPr="00976BFF">
        <w:rPr>
          <w:lang w:val="es-ES_tradnl"/>
        </w:rPr>
        <w:t xml:space="preserve">de los </w:t>
      </w:r>
      <w:r w:rsidR="003824A7">
        <w:rPr>
          <w:lang w:val="es-ES_tradnl"/>
        </w:rPr>
        <w:t>s</w:t>
      </w:r>
      <w:r w:rsidR="003824A7" w:rsidRPr="00976BFF">
        <w:rPr>
          <w:lang w:val="es-ES_tradnl"/>
        </w:rPr>
        <w:t xml:space="preserve">istemas </w:t>
      </w:r>
      <w:r w:rsidR="003824A7">
        <w:rPr>
          <w:lang w:val="es-ES_tradnl"/>
        </w:rPr>
        <w:t>a</w:t>
      </w:r>
      <w:r w:rsidR="003824A7" w:rsidRPr="00976BFF">
        <w:rPr>
          <w:lang w:val="es-ES_tradnl"/>
        </w:rPr>
        <w:t xml:space="preserve">mbientales </w:t>
      </w:r>
      <w:r w:rsidRPr="00976BFF">
        <w:rPr>
          <w:lang w:val="es-ES_tradnl"/>
        </w:rPr>
        <w:t xml:space="preserve">y </w:t>
      </w:r>
      <w:bookmarkEnd w:id="94"/>
      <w:r w:rsidR="003824A7">
        <w:rPr>
          <w:lang w:val="es-ES_tradnl"/>
        </w:rPr>
        <w:t>s</w:t>
      </w:r>
      <w:r w:rsidR="003824A7" w:rsidRPr="00976BFF">
        <w:rPr>
          <w:lang w:val="es-ES_tradnl"/>
        </w:rPr>
        <w:t>ociales</w:t>
      </w:r>
    </w:p>
    <w:p w:rsidR="00404DDA" w:rsidRPr="00976BFF" w:rsidRDefault="00404DDA" w:rsidP="00746A45">
      <w:pPr>
        <w:pStyle w:val="NoSpacing"/>
        <w:rPr>
          <w:rFonts w:ascii="Times New Roman" w:hAnsi="Times New Roman" w:cs="Times New Roman"/>
          <w:lang w:val="es-ES_tradnl"/>
        </w:rPr>
      </w:pPr>
    </w:p>
    <w:p w:rsidR="00404DDA" w:rsidRPr="00976BFF" w:rsidRDefault="00404DDA" w:rsidP="00EB3076">
      <w:pPr>
        <w:pStyle w:val="Annexmain"/>
        <w:numPr>
          <w:ilvl w:val="0"/>
          <w:numId w:val="43"/>
        </w:numPr>
        <w:ind w:firstLine="0"/>
        <w:rPr>
          <w:lang w:val="es-ES_tradnl"/>
        </w:rPr>
      </w:pPr>
      <w:r w:rsidRPr="00976BFF">
        <w:rPr>
          <w:lang w:val="es-ES_tradnl"/>
        </w:rPr>
        <w:t xml:space="preserve">Este anexo se basa en la evaluación de los sistemas ambientales y sociales del </w:t>
      </w:r>
      <w:r w:rsidR="008A1019">
        <w:rPr>
          <w:lang w:val="es-ES_tradnl"/>
        </w:rPr>
        <w:t>programa</w:t>
      </w:r>
      <w:r w:rsidRPr="00976BFF">
        <w:rPr>
          <w:lang w:val="es-ES_tradnl"/>
        </w:rPr>
        <w:t xml:space="preserve"> y abarca los aspectos ambientales y sociales del </w:t>
      </w:r>
      <w:r w:rsidR="008A1019">
        <w:rPr>
          <w:lang w:val="es-ES_tradnl"/>
        </w:rPr>
        <w:t>programa</w:t>
      </w:r>
      <w:r w:rsidRPr="00976BFF">
        <w:rPr>
          <w:lang w:val="es-ES_tradnl"/>
        </w:rPr>
        <w:t xml:space="preserve">, según se detalla a continuación: 1) los impactos y riesgos ambientales y sociales del </w:t>
      </w:r>
      <w:r w:rsidR="008A1019">
        <w:rPr>
          <w:lang w:val="es-ES_tradnl"/>
        </w:rPr>
        <w:t>programa</w:t>
      </w:r>
      <w:r w:rsidRPr="00976BFF">
        <w:rPr>
          <w:lang w:val="es-ES_tradnl"/>
        </w:rPr>
        <w:t xml:space="preserve">; 2) los sistemas de gestión ambiental y social del </w:t>
      </w:r>
      <w:r w:rsidR="008A1019">
        <w:rPr>
          <w:lang w:val="es-ES_tradnl"/>
        </w:rPr>
        <w:t>programa</w:t>
      </w:r>
      <w:r w:rsidRPr="00976BFF">
        <w:rPr>
          <w:lang w:val="es-ES_tradnl"/>
        </w:rPr>
        <w:t>; 3) la evaluación de los sistemas de gestión ambiental y social; 4) la</w:t>
      </w:r>
      <w:r w:rsidR="00084484">
        <w:rPr>
          <w:lang w:val="es-ES_tradnl"/>
        </w:rPr>
        <w:t>s actividades incorporadas</w:t>
      </w:r>
      <w:r w:rsidRPr="00976BFF">
        <w:rPr>
          <w:lang w:val="es-ES_tradnl"/>
        </w:rPr>
        <w:t xml:space="preserve"> al </w:t>
      </w:r>
      <w:r w:rsidR="007A653A" w:rsidRPr="00976BFF">
        <w:rPr>
          <w:lang w:val="es-ES_tradnl"/>
        </w:rPr>
        <w:t xml:space="preserve">Plan de Acción del </w:t>
      </w:r>
      <w:r w:rsidR="008A1019">
        <w:rPr>
          <w:lang w:val="es-ES_tradnl"/>
        </w:rPr>
        <w:t>programa</w:t>
      </w:r>
      <w:r w:rsidRPr="00976BFF">
        <w:rPr>
          <w:lang w:val="es-ES_tradnl"/>
        </w:rPr>
        <w:t xml:space="preserve">, y 5) </w:t>
      </w:r>
      <w:r w:rsidR="002F7C2C" w:rsidRPr="00976BFF">
        <w:rPr>
          <w:lang w:val="es-ES_tradnl"/>
        </w:rPr>
        <w:t>l</w:t>
      </w:r>
      <w:r w:rsidR="002F7C2C">
        <w:rPr>
          <w:lang w:val="es-ES_tradnl"/>
        </w:rPr>
        <w:t>a</w:t>
      </w:r>
      <w:r w:rsidR="002F7C2C" w:rsidRPr="00976BFF">
        <w:rPr>
          <w:lang w:val="es-ES_tradnl"/>
        </w:rPr>
        <w:t xml:space="preserve">s </w:t>
      </w:r>
      <w:r w:rsidR="002F7C2C">
        <w:rPr>
          <w:lang w:val="es-ES_tradnl"/>
        </w:rPr>
        <w:t xml:space="preserve">conclusiones </w:t>
      </w:r>
      <w:r w:rsidRPr="00976BFF">
        <w:rPr>
          <w:lang w:val="es-ES_tradnl"/>
        </w:rPr>
        <w:t>del proceso de consulta.</w:t>
      </w:r>
    </w:p>
    <w:p w:rsidR="00404DDA" w:rsidRPr="00976BFF" w:rsidRDefault="00404DDA" w:rsidP="00EB3076">
      <w:pPr>
        <w:rPr>
          <w:lang w:val="es-ES_tradnl"/>
        </w:rPr>
      </w:pPr>
    </w:p>
    <w:p w:rsidR="00404DDA" w:rsidRPr="00976BFF" w:rsidRDefault="00404DDA" w:rsidP="00EB3076">
      <w:pPr>
        <w:pStyle w:val="Heading2"/>
        <w:numPr>
          <w:ilvl w:val="1"/>
          <w:numId w:val="13"/>
        </w:numPr>
        <w:spacing w:before="0" w:beforeAutospacing="0"/>
        <w:ind w:firstLine="0"/>
        <w:rPr>
          <w:rFonts w:ascii="Times New Roman" w:hAnsi="Times New Roman" w:cs="Times New Roman"/>
          <w:b/>
          <w:sz w:val="22"/>
          <w:szCs w:val="22"/>
          <w:lang w:val="es-ES_tradnl"/>
        </w:rPr>
      </w:pPr>
      <w:bookmarkStart w:id="95" w:name="_Toc327540014"/>
      <w:bookmarkStart w:id="96" w:name="_Toc344927215"/>
      <w:r w:rsidRPr="00976BFF">
        <w:rPr>
          <w:rFonts w:ascii="Times New Roman" w:hAnsi="Times New Roman" w:cs="Times New Roman"/>
          <w:b/>
          <w:sz w:val="22"/>
          <w:szCs w:val="22"/>
          <w:lang w:val="es-ES_tradnl"/>
        </w:rPr>
        <w:t xml:space="preserve">IMPACTOS Y RIESGOS AMBIENTALES Y SOCIALES </w:t>
      </w:r>
      <w:bookmarkEnd w:id="95"/>
      <w:r w:rsidRPr="00976BFF">
        <w:rPr>
          <w:rFonts w:ascii="Times New Roman" w:hAnsi="Times New Roman" w:cs="Times New Roman"/>
          <w:b/>
          <w:sz w:val="22"/>
          <w:szCs w:val="22"/>
          <w:lang w:val="es-ES_tradnl"/>
        </w:rPr>
        <w:t>DEL PROGRAMA</w:t>
      </w:r>
      <w:bookmarkEnd w:id="96"/>
    </w:p>
    <w:p w:rsidR="00404DDA" w:rsidRPr="00976BFF" w:rsidRDefault="00404DDA" w:rsidP="00EB3076">
      <w:pPr>
        <w:pStyle w:val="Annexmain"/>
        <w:ind w:firstLine="0"/>
        <w:rPr>
          <w:lang w:val="es-ES_tradnl"/>
        </w:rPr>
      </w:pPr>
      <w:r w:rsidRPr="00976BFF">
        <w:rPr>
          <w:lang w:val="es-ES_tradnl"/>
        </w:rPr>
        <w:t xml:space="preserve">El alcance geográfico del </w:t>
      </w:r>
      <w:r w:rsidR="008A1019">
        <w:rPr>
          <w:lang w:val="es-ES_tradnl"/>
        </w:rPr>
        <w:t>programa</w:t>
      </w:r>
      <w:r w:rsidRPr="00976BFF">
        <w:rPr>
          <w:lang w:val="es-ES_tradnl"/>
        </w:rPr>
        <w:t xml:space="preserve"> de rehabilitación y mantenimiento vial es la red vial nacional de Uruguay, que </w:t>
      </w:r>
      <w:r w:rsidR="00084484">
        <w:rPr>
          <w:lang w:val="es-ES_tradnl"/>
        </w:rPr>
        <w:t>presta servicios</w:t>
      </w:r>
      <w:r w:rsidRPr="00976BFF">
        <w:rPr>
          <w:lang w:val="es-ES_tradnl"/>
        </w:rPr>
        <w:t xml:space="preserve"> a todo el país. A continuación se detallan las principales actividades que incluye el </w:t>
      </w:r>
      <w:r w:rsidR="008A1019">
        <w:rPr>
          <w:lang w:val="es-ES_tradnl"/>
        </w:rPr>
        <w:t>programa</w:t>
      </w:r>
      <w:r w:rsidRPr="00976BFF">
        <w:rPr>
          <w:lang w:val="es-ES_tradnl"/>
        </w:rPr>
        <w:t>:</w:t>
      </w:r>
    </w:p>
    <w:p w:rsidR="00404DDA" w:rsidRPr="00976BFF" w:rsidRDefault="00404DDA" w:rsidP="00404DDA">
      <w:pPr>
        <w:pStyle w:val="Bullet"/>
        <w:rPr>
          <w:lang w:val="es-ES_tradnl"/>
        </w:rPr>
      </w:pPr>
      <w:r w:rsidRPr="00976BFF">
        <w:rPr>
          <w:lang w:val="es-ES_tradnl"/>
        </w:rPr>
        <w:t>La rehabilitación y reconstrucción del pavimento de las rutas requerirá el funcionamiento de plantas asfálticas y el transporte de materiales desde los pozos de relleno</w:t>
      </w:r>
      <w:r w:rsidR="002F7C2C">
        <w:rPr>
          <w:lang w:val="es-ES_tradnl"/>
        </w:rPr>
        <w:t>.</w:t>
      </w:r>
    </w:p>
    <w:p w:rsidR="00404DDA" w:rsidRPr="00976BFF" w:rsidRDefault="00404DDA" w:rsidP="00404DDA">
      <w:pPr>
        <w:pStyle w:val="Bullet"/>
        <w:rPr>
          <w:lang w:val="es-ES_tradnl"/>
        </w:rPr>
      </w:pPr>
      <w:r w:rsidRPr="00976BFF">
        <w:rPr>
          <w:lang w:val="es-ES_tradnl"/>
        </w:rPr>
        <w:t>El tratamiento de grietas con materiales bituminosos requerirá la elaboración de compuestos conforme a l</w:t>
      </w:r>
      <w:r w:rsidR="00084484">
        <w:rPr>
          <w:lang w:val="es-ES_tradnl"/>
        </w:rPr>
        <w:t>a</w:t>
      </w:r>
      <w:r w:rsidRPr="00976BFF">
        <w:rPr>
          <w:lang w:val="es-ES_tradnl"/>
        </w:rPr>
        <w:t xml:space="preserve">s </w:t>
      </w:r>
      <w:r w:rsidR="00084484">
        <w:rPr>
          <w:lang w:val="es-ES_tradnl"/>
        </w:rPr>
        <w:t>normas</w:t>
      </w:r>
      <w:r w:rsidRPr="00976BFF">
        <w:rPr>
          <w:lang w:val="es-ES_tradnl"/>
        </w:rPr>
        <w:t xml:space="preserve"> de calidad que se </w:t>
      </w:r>
      <w:r w:rsidR="00084484">
        <w:rPr>
          <w:lang w:val="es-ES_tradnl"/>
        </w:rPr>
        <w:t>determinen</w:t>
      </w:r>
      <w:r w:rsidRPr="00976BFF">
        <w:rPr>
          <w:lang w:val="es-ES_tradnl"/>
        </w:rPr>
        <w:t xml:space="preserve"> en los laboratorios de materiales </w:t>
      </w:r>
      <w:r w:rsidR="00084484">
        <w:rPr>
          <w:lang w:val="es-ES_tradnl"/>
        </w:rPr>
        <w:t xml:space="preserve">situados </w:t>
      </w:r>
      <w:r w:rsidRPr="00976BFF">
        <w:rPr>
          <w:lang w:val="es-ES_tradnl"/>
        </w:rPr>
        <w:t>en los campamentos.</w:t>
      </w:r>
    </w:p>
    <w:p w:rsidR="00404DDA" w:rsidRPr="00976BFF" w:rsidRDefault="00404DDA" w:rsidP="00404DDA">
      <w:pPr>
        <w:pStyle w:val="Bullet"/>
        <w:rPr>
          <w:lang w:val="es-ES_tradnl"/>
        </w:rPr>
      </w:pPr>
      <w:r w:rsidRPr="00976BFF">
        <w:rPr>
          <w:lang w:val="es-ES_tradnl"/>
        </w:rPr>
        <w:t>Las obras locales de reordenamiento</w:t>
      </w:r>
      <w:r w:rsidR="00084484">
        <w:rPr>
          <w:lang w:val="es-ES_tradnl"/>
        </w:rPr>
        <w:t xml:space="preserve"> vial</w:t>
      </w:r>
      <w:r w:rsidRPr="00976BFF">
        <w:rPr>
          <w:lang w:val="es-ES_tradnl"/>
        </w:rPr>
        <w:t xml:space="preserve"> (rectificación de curvas, mejoramiento de intersecciones, tercer carril local) podrían requerir la creación de terraplenes y pendientes e intervenciones en tierras públicas y privadas</w:t>
      </w:r>
      <w:r w:rsidR="002F7C2C">
        <w:rPr>
          <w:lang w:val="es-ES_tradnl"/>
        </w:rPr>
        <w:t>.</w:t>
      </w:r>
    </w:p>
    <w:p w:rsidR="00404DDA" w:rsidRPr="00976BFF" w:rsidRDefault="00404DDA" w:rsidP="00404DDA">
      <w:pPr>
        <w:pStyle w:val="Bullet"/>
        <w:rPr>
          <w:lang w:val="es-ES_tradnl"/>
        </w:rPr>
      </w:pPr>
      <w:r w:rsidRPr="00976BFF">
        <w:rPr>
          <w:lang w:val="es-ES_tradnl"/>
        </w:rPr>
        <w:t>La rehabilitación de banquinas requerirá material de ripio de los pozos de relleno</w:t>
      </w:r>
      <w:r w:rsidR="002F7C2C">
        <w:rPr>
          <w:lang w:val="es-ES_tradnl"/>
        </w:rPr>
        <w:t>.</w:t>
      </w:r>
    </w:p>
    <w:p w:rsidR="00404DDA" w:rsidRPr="00976BFF" w:rsidRDefault="00404DDA" w:rsidP="00404DDA">
      <w:pPr>
        <w:pStyle w:val="Bullet"/>
        <w:rPr>
          <w:lang w:val="es-ES_tradnl"/>
        </w:rPr>
      </w:pPr>
      <w:r w:rsidRPr="00976BFF">
        <w:rPr>
          <w:lang w:val="es-ES_tradnl"/>
        </w:rPr>
        <w:t>Las obras de rehabilitación o reconstrucción de drenajes podrían entrañar movimientos del suelo en terraplenes y formación de pendientes</w:t>
      </w:r>
      <w:r w:rsidR="002F7C2C">
        <w:rPr>
          <w:lang w:val="es-ES_tradnl"/>
        </w:rPr>
        <w:t>.</w:t>
      </w:r>
    </w:p>
    <w:p w:rsidR="00404DDA" w:rsidRPr="00976BFF" w:rsidRDefault="00404DDA" w:rsidP="00404DDA">
      <w:pPr>
        <w:pStyle w:val="Bullet"/>
        <w:rPr>
          <w:lang w:val="es-ES_tradnl"/>
        </w:rPr>
      </w:pPr>
      <w:r w:rsidRPr="00976BFF">
        <w:rPr>
          <w:lang w:val="es-ES_tradnl"/>
        </w:rPr>
        <w:t xml:space="preserve">El ensanchamiento y </w:t>
      </w:r>
      <w:r w:rsidR="00084484">
        <w:rPr>
          <w:lang w:val="es-ES_tradnl"/>
        </w:rPr>
        <w:t>refuerzo</w:t>
      </w:r>
      <w:r w:rsidRPr="00976BFF">
        <w:rPr>
          <w:lang w:val="es-ES_tradnl"/>
        </w:rPr>
        <w:t xml:space="preserve"> de puentes podría requerir obras civiles en cauce</w:t>
      </w:r>
      <w:r w:rsidR="00084484">
        <w:rPr>
          <w:lang w:val="es-ES_tradnl"/>
        </w:rPr>
        <w:t>s</w:t>
      </w:r>
      <w:r w:rsidRPr="00976BFF">
        <w:rPr>
          <w:lang w:val="es-ES_tradnl"/>
        </w:rPr>
        <w:t xml:space="preserve"> de río</w:t>
      </w:r>
      <w:r w:rsidR="00084484">
        <w:rPr>
          <w:lang w:val="es-ES_tradnl"/>
        </w:rPr>
        <w:t>s</w:t>
      </w:r>
      <w:r w:rsidRPr="00976BFF">
        <w:rPr>
          <w:lang w:val="es-ES_tradnl"/>
        </w:rPr>
        <w:t>, limpieza de la vegetación e intervenciones en tierras públicas y privadas</w:t>
      </w:r>
      <w:r w:rsidR="002F7C2C">
        <w:rPr>
          <w:lang w:val="es-ES_tradnl"/>
        </w:rPr>
        <w:t>.</w:t>
      </w:r>
    </w:p>
    <w:p w:rsidR="00404DDA" w:rsidRPr="00976BFF" w:rsidRDefault="00404DDA" w:rsidP="00404DDA">
      <w:pPr>
        <w:pStyle w:val="Bullet"/>
        <w:rPr>
          <w:lang w:val="es-ES_tradnl"/>
        </w:rPr>
      </w:pPr>
      <w:r w:rsidRPr="00976BFF">
        <w:rPr>
          <w:lang w:val="es-ES_tradnl"/>
        </w:rPr>
        <w:t xml:space="preserve">Trabajos de jardinería en servidumbres de paso que podrían incluir la poda o plantación de árboles (en su mayoría especies no nativas) </w:t>
      </w:r>
      <w:r w:rsidR="002F7C2C">
        <w:rPr>
          <w:lang w:val="es-ES_tradnl"/>
        </w:rPr>
        <w:t xml:space="preserve">para </w:t>
      </w:r>
      <w:r w:rsidRPr="00976BFF">
        <w:rPr>
          <w:lang w:val="es-ES_tradnl"/>
        </w:rPr>
        <w:t>aumentar la seguridad vial o mejorar el paisaje</w:t>
      </w:r>
      <w:r w:rsidR="002F7C2C">
        <w:rPr>
          <w:lang w:val="es-ES_tradnl"/>
        </w:rPr>
        <w:t>.</w:t>
      </w:r>
    </w:p>
    <w:p w:rsidR="00404DDA" w:rsidRPr="00976BFF" w:rsidRDefault="00404DDA" w:rsidP="00404DDA">
      <w:pPr>
        <w:pStyle w:val="Bullet"/>
        <w:rPr>
          <w:lang w:val="es-ES_tradnl"/>
        </w:rPr>
      </w:pPr>
      <w:r w:rsidRPr="00976BFF">
        <w:rPr>
          <w:lang w:val="es-ES_tradnl"/>
        </w:rPr>
        <w:t>La señalización vial entrañaría repintar las señales existentes o cambiarlas por otras nuevas; las señales viejas se convierten en pasivos ambientales.</w:t>
      </w:r>
    </w:p>
    <w:p w:rsidR="00404DDA" w:rsidRPr="00976BFF" w:rsidRDefault="00404DDA" w:rsidP="00EB3076">
      <w:pPr>
        <w:pStyle w:val="Annexmain"/>
        <w:ind w:firstLine="0"/>
        <w:rPr>
          <w:lang w:val="es-ES_tradnl"/>
        </w:rPr>
      </w:pPr>
      <w:r w:rsidRPr="00976BFF">
        <w:rPr>
          <w:lang w:val="es-ES_tradnl"/>
        </w:rPr>
        <w:t xml:space="preserve">Durante la preparación se confirmó que el </w:t>
      </w:r>
      <w:r w:rsidR="008A1019">
        <w:rPr>
          <w:lang w:val="es-ES_tradnl"/>
        </w:rPr>
        <w:t>programa</w:t>
      </w:r>
      <w:r w:rsidRPr="00976BFF">
        <w:rPr>
          <w:lang w:val="es-ES_tradnl"/>
        </w:rPr>
        <w:t xml:space="preserve"> no incluye actividades que podrían </w:t>
      </w:r>
      <w:r w:rsidR="00084484">
        <w:rPr>
          <w:lang w:val="es-ES_tradnl"/>
        </w:rPr>
        <w:t>tener</w:t>
      </w:r>
      <w:r w:rsidRPr="00976BFF">
        <w:rPr>
          <w:lang w:val="es-ES_tradnl"/>
        </w:rPr>
        <w:t xml:space="preserve"> impactos negativos</w:t>
      </w:r>
      <w:r w:rsidR="00084484">
        <w:rPr>
          <w:lang w:val="es-ES_tradnl"/>
        </w:rPr>
        <w:t xml:space="preserve"> significativos</w:t>
      </w:r>
      <w:r w:rsidRPr="00976BFF">
        <w:rPr>
          <w:lang w:val="es-ES_tradnl"/>
        </w:rPr>
        <w:t xml:space="preserve"> en el medio ambiente o las personas afectadas. El </w:t>
      </w:r>
      <w:r w:rsidR="008A1019">
        <w:rPr>
          <w:lang w:val="es-ES_tradnl"/>
        </w:rPr>
        <w:t>programa</w:t>
      </w:r>
      <w:r w:rsidRPr="00976BFF">
        <w:rPr>
          <w:lang w:val="es-ES_tradnl"/>
        </w:rPr>
        <w:t xml:space="preserve"> no comprende inversiones en obras nuevas de infr</w:t>
      </w:r>
      <w:r w:rsidR="001C47AE">
        <w:rPr>
          <w:lang w:val="es-ES_tradnl"/>
        </w:rPr>
        <w:t>aestructura de gran escala o en</w:t>
      </w:r>
      <w:r w:rsidRPr="00976BFF">
        <w:rPr>
          <w:lang w:val="es-ES_tradnl"/>
        </w:rPr>
        <w:t xml:space="preserve"> ampliacione</w:t>
      </w:r>
      <w:r w:rsidR="001C47AE">
        <w:rPr>
          <w:lang w:val="es-ES_tradnl"/>
        </w:rPr>
        <w:t xml:space="preserve">s importantes de la existente, </w:t>
      </w:r>
      <w:r w:rsidRPr="00976BFF">
        <w:rPr>
          <w:lang w:val="es-ES_tradnl"/>
        </w:rPr>
        <w:t>ni otras actividades de inversión.</w:t>
      </w:r>
    </w:p>
    <w:p w:rsidR="00404DDA" w:rsidRPr="00976BFF" w:rsidRDefault="00404DDA" w:rsidP="00EB3076">
      <w:pPr>
        <w:pStyle w:val="Annexmain"/>
        <w:ind w:firstLine="0"/>
        <w:rPr>
          <w:lang w:val="es-ES_tradnl"/>
        </w:rPr>
      </w:pPr>
      <w:r w:rsidRPr="00976BFF">
        <w:rPr>
          <w:lang w:val="es-ES_tradnl"/>
        </w:rPr>
        <w:t xml:space="preserve">Se prevén pocos impactos ambientales en el marco del </w:t>
      </w:r>
      <w:r w:rsidR="008A1019">
        <w:rPr>
          <w:lang w:val="es-ES_tradnl"/>
        </w:rPr>
        <w:t>programa</w:t>
      </w:r>
      <w:r w:rsidRPr="00976BFF">
        <w:rPr>
          <w:lang w:val="es-ES_tradnl"/>
        </w:rPr>
        <w:t>; las obras de rehabilitación y mantenimiento se harán principalmente en zonas rurales y los principales impactos negativos ocurrirán durante el período de rehabilitación y mantenimiento. Algunos de los principales impactos ambientales están relacionados con obras en puentes, campamentos (incluidos los emplazamientos de contratistas y de la Dirección Nacional de Vialidad), el funcionamiento de las</w:t>
      </w:r>
      <w:r w:rsidR="00B647E4">
        <w:rPr>
          <w:lang w:val="es-ES_tradnl"/>
        </w:rPr>
        <w:t xml:space="preserve"> plantas asfálticas (emisiones en</w:t>
      </w:r>
      <w:r w:rsidRPr="00976BFF">
        <w:rPr>
          <w:lang w:val="es-ES_tradnl"/>
        </w:rPr>
        <w:t xml:space="preserve"> la atmósfera) y la </w:t>
      </w:r>
      <w:r w:rsidR="00084484">
        <w:rPr>
          <w:lang w:val="es-ES_tradnl"/>
        </w:rPr>
        <w:t>excavación</w:t>
      </w:r>
      <w:r w:rsidRPr="00976BFF">
        <w:rPr>
          <w:lang w:val="es-ES_tradnl"/>
        </w:rPr>
        <w:t xml:space="preserve"> de pozos de relleno (cambios en el terreno y </w:t>
      </w:r>
      <w:r w:rsidR="008856B2">
        <w:rPr>
          <w:lang w:val="es-ES_tradnl"/>
        </w:rPr>
        <w:t xml:space="preserve">los </w:t>
      </w:r>
      <w:r w:rsidRPr="008856B2">
        <w:rPr>
          <w:lang w:val="es-ES_tradnl"/>
        </w:rPr>
        <w:t xml:space="preserve">patrones de suelo </w:t>
      </w:r>
      <w:r w:rsidR="008856B2">
        <w:rPr>
          <w:lang w:val="es-ES_tradnl"/>
        </w:rPr>
        <w:t>y agua</w:t>
      </w:r>
      <w:r w:rsidRPr="00976BFF">
        <w:rPr>
          <w:lang w:val="es-ES_tradnl"/>
        </w:rPr>
        <w:t xml:space="preserve">), </w:t>
      </w:r>
      <w:r w:rsidR="003A56DA">
        <w:rPr>
          <w:lang w:val="es-ES_tradnl"/>
        </w:rPr>
        <w:t xml:space="preserve">la </w:t>
      </w:r>
      <w:r w:rsidRPr="00976BFF">
        <w:rPr>
          <w:lang w:val="es-ES_tradnl"/>
        </w:rPr>
        <w:t xml:space="preserve">generación de desechos, </w:t>
      </w:r>
      <w:r w:rsidR="003A56DA">
        <w:rPr>
          <w:lang w:val="es-ES_tradnl"/>
        </w:rPr>
        <w:t xml:space="preserve">la </w:t>
      </w:r>
      <w:r w:rsidRPr="00976BFF">
        <w:rPr>
          <w:lang w:val="es-ES_tradnl"/>
        </w:rPr>
        <w:t xml:space="preserve">higiene y </w:t>
      </w:r>
      <w:r w:rsidR="003A56DA">
        <w:rPr>
          <w:lang w:val="es-ES_tradnl"/>
        </w:rPr>
        <w:t xml:space="preserve">la </w:t>
      </w:r>
      <w:r w:rsidRPr="00976BFF">
        <w:rPr>
          <w:lang w:val="es-ES_tradnl"/>
        </w:rPr>
        <w:t xml:space="preserve">seguridad. Pueden producirse impactos ambientales acumulativos (pasivos ambientales) en campamentos y pozos de relleno (suelo contaminado, desechos de petróleo y maquinaria). En algunos casos que incluyen obras </w:t>
      </w:r>
      <w:r w:rsidR="003A56DA">
        <w:rPr>
          <w:lang w:val="es-ES_tradnl"/>
        </w:rPr>
        <w:t xml:space="preserve">localizadas </w:t>
      </w:r>
      <w:r w:rsidRPr="00976BFF">
        <w:rPr>
          <w:lang w:val="es-ES_tradnl"/>
        </w:rPr>
        <w:t xml:space="preserve">de reordenamiento vial y adquisición de tierras, </w:t>
      </w:r>
      <w:r w:rsidR="003A56DA">
        <w:rPr>
          <w:lang w:val="es-ES_tradnl"/>
        </w:rPr>
        <w:t>la duración de los</w:t>
      </w:r>
      <w:r w:rsidRPr="00976BFF">
        <w:rPr>
          <w:lang w:val="es-ES_tradnl"/>
        </w:rPr>
        <w:t xml:space="preserve"> impactos ambientales </w:t>
      </w:r>
      <w:r w:rsidR="003A56DA">
        <w:rPr>
          <w:lang w:val="es-ES_tradnl"/>
        </w:rPr>
        <w:t>podría ser mayor</w:t>
      </w:r>
      <w:r w:rsidRPr="00976BFF">
        <w:rPr>
          <w:lang w:val="es-ES_tradnl"/>
        </w:rPr>
        <w:t>. Las obras de mantenimiento vial de rutina suelen ser largas, pero sus impactos ambientales y sociales son mucho menores.</w:t>
      </w:r>
    </w:p>
    <w:p w:rsidR="00404DDA" w:rsidRPr="00976BFF" w:rsidRDefault="00404DDA" w:rsidP="00EB3076">
      <w:pPr>
        <w:pStyle w:val="Annexmain"/>
        <w:ind w:firstLine="0"/>
        <w:rPr>
          <w:lang w:val="es-ES_tradnl"/>
        </w:rPr>
      </w:pPr>
      <w:r w:rsidRPr="00976BFF">
        <w:rPr>
          <w:lang w:val="es-ES_tradnl"/>
        </w:rPr>
        <w:t xml:space="preserve">Asimismo, se considera que el </w:t>
      </w:r>
      <w:r w:rsidR="008A1019">
        <w:rPr>
          <w:lang w:val="es-ES_tradnl"/>
        </w:rPr>
        <w:t>programa</w:t>
      </w:r>
      <w:r w:rsidRPr="00976BFF">
        <w:rPr>
          <w:lang w:val="es-ES_tradnl"/>
        </w:rPr>
        <w:t xml:space="preserve"> tendrá pocos impactos sociales. El </w:t>
      </w:r>
      <w:r w:rsidR="008A1019">
        <w:rPr>
          <w:lang w:val="es-ES_tradnl"/>
        </w:rPr>
        <w:t>programa</w:t>
      </w:r>
      <w:r w:rsidRPr="00976BFF">
        <w:rPr>
          <w:lang w:val="es-ES_tradnl"/>
        </w:rPr>
        <w:t xml:space="preserve"> no afectará a pueblos indígenas, </w:t>
      </w:r>
      <w:r w:rsidR="00A82B46">
        <w:rPr>
          <w:lang w:val="es-ES_tradnl"/>
        </w:rPr>
        <w:t>ya que en Uruguay no hay grupos o comunidades que se identifiquen como tales</w:t>
      </w:r>
      <w:r w:rsidRPr="00976BFF">
        <w:rPr>
          <w:lang w:val="es-ES_tradnl"/>
        </w:rPr>
        <w:t xml:space="preserve">. No se requerirá la adquisición de </w:t>
      </w:r>
      <w:r w:rsidRPr="00766354">
        <w:rPr>
          <w:lang w:val="es-ES_tradnl"/>
        </w:rPr>
        <w:t>servidumbres de paso,</w:t>
      </w:r>
      <w:r w:rsidRPr="00976BFF">
        <w:rPr>
          <w:lang w:val="es-ES_tradnl"/>
        </w:rPr>
        <w:t xml:space="preserve"> salvo </w:t>
      </w:r>
      <w:r w:rsidR="002F7C2C">
        <w:rPr>
          <w:lang w:val="es-ES_tradnl"/>
        </w:rPr>
        <w:t xml:space="preserve">cuando </w:t>
      </w:r>
      <w:r w:rsidRPr="00976BFF">
        <w:rPr>
          <w:lang w:val="es-ES_tradnl"/>
        </w:rPr>
        <w:t>el reordenamiento vial deba modificarse a nivel local para corregir curvas o realizar otras mejoras que permitan aumentar la seguridad vial. En las raras ocasiones en que ello sucede, el impacto social es pequeño: por lo general solo es necesario adquirir franjas estrechas de tierra sin casas ni otras estructuras.</w:t>
      </w:r>
    </w:p>
    <w:p w:rsidR="00404DDA" w:rsidRPr="00976BFF" w:rsidRDefault="00404DDA" w:rsidP="00EB3076">
      <w:pPr>
        <w:rPr>
          <w:lang w:val="es-ES_tradnl"/>
        </w:rPr>
      </w:pPr>
    </w:p>
    <w:p w:rsidR="00404DDA" w:rsidRPr="00976BFF" w:rsidRDefault="00404DDA" w:rsidP="00EB3076">
      <w:pPr>
        <w:pStyle w:val="Heading2"/>
        <w:numPr>
          <w:ilvl w:val="1"/>
          <w:numId w:val="13"/>
        </w:numPr>
        <w:spacing w:before="0" w:beforeAutospacing="0"/>
        <w:ind w:firstLine="0"/>
        <w:rPr>
          <w:rFonts w:ascii="Times New Roman" w:hAnsi="Times New Roman" w:cs="Times New Roman"/>
          <w:b/>
          <w:sz w:val="22"/>
          <w:szCs w:val="22"/>
          <w:lang w:val="es-ES_tradnl"/>
        </w:rPr>
      </w:pPr>
      <w:bookmarkStart w:id="97" w:name="_Toc327540015"/>
      <w:bookmarkStart w:id="98" w:name="_Toc344927216"/>
      <w:r w:rsidRPr="00976BFF">
        <w:rPr>
          <w:rFonts w:ascii="Times New Roman" w:hAnsi="Times New Roman" w:cs="Times New Roman"/>
          <w:b/>
          <w:sz w:val="22"/>
          <w:szCs w:val="22"/>
          <w:lang w:val="es-ES_tradnl"/>
        </w:rPr>
        <w:t>SISTEMA DE GESTIÓN AMBIENTAL Y SOCIAL DEL PROGRAMA</w:t>
      </w:r>
      <w:bookmarkEnd w:id="97"/>
      <w:bookmarkEnd w:id="98"/>
    </w:p>
    <w:p w:rsidR="00404DDA" w:rsidRPr="00976BFF" w:rsidRDefault="00404DDA" w:rsidP="00EB3076">
      <w:pPr>
        <w:pStyle w:val="Heading3"/>
        <w:rPr>
          <w:lang w:val="es-ES_tradnl"/>
        </w:rPr>
      </w:pPr>
      <w:bookmarkStart w:id="99" w:name="_Toc344927217"/>
      <w:bookmarkStart w:id="100" w:name="_Toc327540016"/>
      <w:r w:rsidRPr="00976BFF">
        <w:rPr>
          <w:lang w:val="es-ES_tradnl"/>
        </w:rPr>
        <w:t>El sistema de gestión ambiental</w:t>
      </w:r>
      <w:bookmarkEnd w:id="99"/>
      <w:r w:rsidRPr="00976BFF">
        <w:rPr>
          <w:lang w:val="es-ES_tradnl"/>
        </w:rPr>
        <w:t xml:space="preserve"> </w:t>
      </w:r>
      <w:bookmarkEnd w:id="100"/>
    </w:p>
    <w:p w:rsidR="00404DDA" w:rsidRPr="00976BFF" w:rsidRDefault="00404DDA" w:rsidP="00EB3076">
      <w:pPr>
        <w:pStyle w:val="Annexmain"/>
        <w:ind w:firstLine="0"/>
        <w:rPr>
          <w:bCs/>
          <w:lang w:val="es-ES_tradnl"/>
        </w:rPr>
      </w:pPr>
      <w:r w:rsidRPr="00976BFF">
        <w:rPr>
          <w:b/>
          <w:lang w:val="es-ES_tradnl"/>
        </w:rPr>
        <w:t>Marco regulatorio.</w:t>
      </w:r>
      <w:r w:rsidRPr="00976BFF">
        <w:rPr>
          <w:lang w:val="es-ES_tradnl"/>
        </w:rPr>
        <w:t xml:space="preserve"> El marco regulatorio de Uruguay que se aplica a la gestión ambiental del </w:t>
      </w:r>
      <w:r w:rsidR="003A56DA">
        <w:rPr>
          <w:lang w:val="es-ES_tradnl"/>
        </w:rPr>
        <w:t>p</w:t>
      </w:r>
      <w:r w:rsidR="009B073D" w:rsidRPr="00976BFF">
        <w:rPr>
          <w:lang w:val="es-ES_tradnl"/>
        </w:rPr>
        <w:t>rograma</w:t>
      </w:r>
      <w:r w:rsidRPr="00976BFF">
        <w:rPr>
          <w:lang w:val="es-ES_tradnl"/>
        </w:rPr>
        <w:t xml:space="preserve"> vial de la DNV es muy amplio, abarca más de 50 leyes y decretos en diversos sectores que incluyen, entre otros, los siguientes: evaluación del impacto ambiental, zonas protegidas, conservación del medio ambiente, higiene y seguridad, gestión de desechos, seguridad vial y conservación de recursos culturales. </w:t>
      </w:r>
      <w:r w:rsidR="003A56DA">
        <w:rPr>
          <w:lang w:val="es-ES_tradnl"/>
        </w:rPr>
        <w:t>L</w:t>
      </w:r>
      <w:r w:rsidRPr="00976BFF">
        <w:rPr>
          <w:lang w:val="es-ES_tradnl"/>
        </w:rPr>
        <w:t xml:space="preserve">as reglamentaciones más </w:t>
      </w:r>
      <w:r w:rsidR="003A56DA">
        <w:rPr>
          <w:lang w:val="es-ES_tradnl"/>
        </w:rPr>
        <w:t>importantes</w:t>
      </w:r>
      <w:r w:rsidRPr="00976BFF">
        <w:rPr>
          <w:lang w:val="es-ES_tradnl"/>
        </w:rPr>
        <w:t xml:space="preserve"> que se aplican al </w:t>
      </w:r>
      <w:r w:rsidR="008A1019">
        <w:rPr>
          <w:lang w:val="es-ES_tradnl"/>
        </w:rPr>
        <w:t>programa</w:t>
      </w:r>
      <w:r w:rsidRPr="00976BFF">
        <w:rPr>
          <w:lang w:val="es-ES_tradnl"/>
        </w:rPr>
        <w:t xml:space="preserve"> incluyen, entre otras: i) el artículo 47 de la Constitución, en cuyo marco se declara de interés nacional la protección del medio ambiente</w:t>
      </w:r>
      <w:r w:rsidR="0011695E">
        <w:rPr>
          <w:lang w:val="es-ES_tradnl"/>
        </w:rPr>
        <w:t>;</w:t>
      </w:r>
      <w:r w:rsidR="0011695E" w:rsidRPr="00976BFF">
        <w:rPr>
          <w:lang w:val="es-ES_tradnl"/>
        </w:rPr>
        <w:t xml:space="preserve"> </w:t>
      </w:r>
      <w:r w:rsidRPr="00976BFF">
        <w:rPr>
          <w:lang w:val="es-ES_tradnl"/>
        </w:rPr>
        <w:t>ii) la Ley General de Protección del Medio Ambiente (</w:t>
      </w:r>
      <w:r w:rsidR="008877A5">
        <w:rPr>
          <w:lang w:val="es-ES_tradnl"/>
        </w:rPr>
        <w:t>l</w:t>
      </w:r>
      <w:r w:rsidR="008877A5" w:rsidRPr="00976BFF">
        <w:rPr>
          <w:lang w:val="es-ES_tradnl"/>
        </w:rPr>
        <w:t xml:space="preserve">ey </w:t>
      </w:r>
      <w:r w:rsidRPr="00976BFF">
        <w:rPr>
          <w:lang w:val="es-ES_tradnl"/>
        </w:rPr>
        <w:t>17283</w:t>
      </w:r>
      <w:r w:rsidR="0011695E" w:rsidRPr="00976BFF">
        <w:rPr>
          <w:lang w:val="es-ES_tradnl"/>
        </w:rPr>
        <w:t>)</w:t>
      </w:r>
      <w:r w:rsidR="0011695E">
        <w:rPr>
          <w:lang w:val="es-ES_tradnl"/>
        </w:rPr>
        <w:t>;</w:t>
      </w:r>
      <w:r w:rsidR="0011695E" w:rsidRPr="00976BFF">
        <w:rPr>
          <w:lang w:val="es-ES_tradnl"/>
        </w:rPr>
        <w:t xml:space="preserve"> </w:t>
      </w:r>
      <w:r w:rsidRPr="00976BFF">
        <w:rPr>
          <w:lang w:val="es-ES_tradnl"/>
        </w:rPr>
        <w:t>iii)</w:t>
      </w:r>
      <w:r w:rsidRPr="00976BFF">
        <w:rPr>
          <w:sz w:val="20"/>
          <w:szCs w:val="20"/>
          <w:lang w:val="es-ES_tradnl"/>
        </w:rPr>
        <w:t xml:space="preserve"> </w:t>
      </w:r>
      <w:r w:rsidRPr="00976BFF">
        <w:rPr>
          <w:lang w:val="es-ES_tradnl"/>
        </w:rPr>
        <w:t xml:space="preserve">la </w:t>
      </w:r>
      <w:r w:rsidR="008877A5">
        <w:rPr>
          <w:lang w:val="es-ES_tradnl"/>
        </w:rPr>
        <w:t>l</w:t>
      </w:r>
      <w:r w:rsidR="008877A5" w:rsidRPr="00976BFF">
        <w:rPr>
          <w:lang w:val="es-ES_tradnl"/>
        </w:rPr>
        <w:t xml:space="preserve">ey </w:t>
      </w:r>
      <w:r w:rsidRPr="00976BFF">
        <w:rPr>
          <w:lang w:val="es-ES_tradnl"/>
        </w:rPr>
        <w:t xml:space="preserve">16466 (evaluación del impacto ambiental) y su </w:t>
      </w:r>
      <w:r w:rsidR="008877A5">
        <w:rPr>
          <w:lang w:val="es-ES_tradnl"/>
        </w:rPr>
        <w:t>d</w:t>
      </w:r>
      <w:r w:rsidR="008877A5" w:rsidRPr="00976BFF">
        <w:rPr>
          <w:lang w:val="es-ES_tradnl"/>
        </w:rPr>
        <w:t xml:space="preserve">ecreto </w:t>
      </w:r>
      <w:r w:rsidRPr="00976BFF">
        <w:rPr>
          <w:lang w:val="es-ES_tradnl"/>
        </w:rPr>
        <w:t>reglamentario n.° 435/94</w:t>
      </w:r>
      <w:r w:rsidR="0011695E">
        <w:rPr>
          <w:lang w:val="es-ES_tradnl"/>
        </w:rPr>
        <w:t>;</w:t>
      </w:r>
      <w:r w:rsidR="0011695E" w:rsidRPr="00976BFF">
        <w:rPr>
          <w:lang w:val="es-ES_tradnl"/>
        </w:rPr>
        <w:t xml:space="preserve"> </w:t>
      </w:r>
      <w:r w:rsidRPr="00976BFF">
        <w:rPr>
          <w:lang w:val="es-ES_tradnl"/>
        </w:rPr>
        <w:t>iv)</w:t>
      </w:r>
      <w:r w:rsidRPr="00976BFF">
        <w:rPr>
          <w:bCs/>
          <w:sz w:val="20"/>
          <w:szCs w:val="20"/>
          <w:lang w:val="es-ES_tradnl"/>
        </w:rPr>
        <w:t xml:space="preserve"> </w:t>
      </w:r>
      <w:r w:rsidRPr="00976BFF">
        <w:rPr>
          <w:bCs/>
          <w:lang w:val="es-ES_tradnl"/>
        </w:rPr>
        <w:t xml:space="preserve">la </w:t>
      </w:r>
      <w:r w:rsidR="008877A5">
        <w:rPr>
          <w:bCs/>
          <w:lang w:val="es-ES_tradnl"/>
        </w:rPr>
        <w:t>l</w:t>
      </w:r>
      <w:r w:rsidR="008877A5" w:rsidRPr="00976BFF">
        <w:rPr>
          <w:bCs/>
          <w:lang w:val="es-ES_tradnl"/>
        </w:rPr>
        <w:t xml:space="preserve">ey </w:t>
      </w:r>
      <w:r w:rsidRPr="00976BFF">
        <w:rPr>
          <w:bCs/>
          <w:lang w:val="es-ES_tradnl"/>
        </w:rPr>
        <w:t>15939 (protección forestal), v)</w:t>
      </w:r>
      <w:r w:rsidRPr="00976BFF">
        <w:rPr>
          <w:bCs/>
          <w:sz w:val="20"/>
          <w:szCs w:val="20"/>
          <w:lang w:val="es-ES_tradnl"/>
        </w:rPr>
        <w:t xml:space="preserve"> </w:t>
      </w:r>
      <w:r w:rsidRPr="00976BFF">
        <w:rPr>
          <w:bCs/>
          <w:lang w:val="es-ES_tradnl"/>
        </w:rPr>
        <w:t xml:space="preserve">la </w:t>
      </w:r>
      <w:r w:rsidR="008877A5">
        <w:rPr>
          <w:bCs/>
          <w:lang w:val="es-ES_tradnl"/>
        </w:rPr>
        <w:t>l</w:t>
      </w:r>
      <w:r w:rsidR="008877A5" w:rsidRPr="00976BFF">
        <w:rPr>
          <w:bCs/>
          <w:lang w:val="es-ES_tradnl"/>
        </w:rPr>
        <w:t xml:space="preserve">ey </w:t>
      </w:r>
      <w:r w:rsidRPr="00976BFF">
        <w:rPr>
          <w:bCs/>
          <w:lang w:val="es-ES_tradnl"/>
        </w:rPr>
        <w:t xml:space="preserve">17234 (zonas protegidas) y su </w:t>
      </w:r>
      <w:r w:rsidR="008877A5">
        <w:rPr>
          <w:bCs/>
          <w:lang w:val="es-ES_tradnl"/>
        </w:rPr>
        <w:t>d</w:t>
      </w:r>
      <w:r w:rsidR="008877A5" w:rsidRPr="00976BFF">
        <w:rPr>
          <w:bCs/>
          <w:lang w:val="es-ES_tradnl"/>
        </w:rPr>
        <w:t xml:space="preserve">ecreto </w:t>
      </w:r>
      <w:r w:rsidRPr="00976BFF">
        <w:rPr>
          <w:bCs/>
          <w:lang w:val="es-ES_tradnl"/>
        </w:rPr>
        <w:t xml:space="preserve">reglamentario </w:t>
      </w:r>
      <w:r w:rsidRPr="00976BFF">
        <w:rPr>
          <w:lang w:val="es-ES_tradnl"/>
        </w:rPr>
        <w:t xml:space="preserve">n.° </w:t>
      </w:r>
      <w:r w:rsidRPr="00976BFF">
        <w:rPr>
          <w:bCs/>
          <w:lang w:val="es-ES_tradnl"/>
        </w:rPr>
        <w:t>52, y v)</w:t>
      </w:r>
      <w:r w:rsidRPr="00976BFF">
        <w:rPr>
          <w:bCs/>
          <w:sz w:val="20"/>
          <w:szCs w:val="20"/>
          <w:lang w:val="es-ES_tradnl"/>
        </w:rPr>
        <w:t xml:space="preserve"> </w:t>
      </w:r>
      <w:r w:rsidRPr="00976BFF">
        <w:rPr>
          <w:bCs/>
          <w:lang w:val="es-ES_tradnl"/>
        </w:rPr>
        <w:t xml:space="preserve">la </w:t>
      </w:r>
      <w:r w:rsidR="008877A5">
        <w:rPr>
          <w:bCs/>
          <w:lang w:val="es-ES_tradnl"/>
        </w:rPr>
        <w:t>l</w:t>
      </w:r>
      <w:r w:rsidR="008877A5" w:rsidRPr="00976BFF">
        <w:rPr>
          <w:bCs/>
          <w:lang w:val="es-ES_tradnl"/>
        </w:rPr>
        <w:t xml:space="preserve">ey </w:t>
      </w:r>
      <w:r w:rsidRPr="00976BFF">
        <w:rPr>
          <w:bCs/>
          <w:lang w:val="es-ES_tradnl"/>
        </w:rPr>
        <w:t xml:space="preserve">15965 (higiene y seguridad). Este marco regulatorio se aplica a todas las actividades de obras incluidas en el </w:t>
      </w:r>
      <w:r w:rsidR="008A1019">
        <w:rPr>
          <w:bCs/>
          <w:lang w:val="es-ES_tradnl"/>
        </w:rPr>
        <w:t>programa</w:t>
      </w:r>
      <w:r w:rsidRPr="00976BFF">
        <w:rPr>
          <w:bCs/>
          <w:lang w:val="es-ES_tradnl"/>
        </w:rPr>
        <w:t>, independientemente del organismo de financiamiento (incluidas, en especial, las actividades financia</w:t>
      </w:r>
      <w:r w:rsidR="001C47AE">
        <w:rPr>
          <w:bCs/>
          <w:lang w:val="es-ES_tradnl"/>
        </w:rPr>
        <w:t xml:space="preserve">das por el BID y el FONPLATA). </w:t>
      </w:r>
    </w:p>
    <w:p w:rsidR="00404DDA" w:rsidRPr="00976BFF" w:rsidRDefault="00404DDA" w:rsidP="00EB3076">
      <w:pPr>
        <w:pStyle w:val="Annexmain"/>
        <w:ind w:firstLine="0"/>
        <w:rPr>
          <w:lang w:val="es-ES_tradnl"/>
        </w:rPr>
      </w:pPr>
      <w:r w:rsidRPr="00976BFF">
        <w:rPr>
          <w:u w:val="single"/>
          <w:lang w:val="es-ES_tradnl"/>
        </w:rPr>
        <w:t>Manual ambiental de la Dirección Nacional de Vialidad</w:t>
      </w:r>
      <w:r w:rsidRPr="00976BFF">
        <w:rPr>
          <w:lang w:val="es-ES_tradnl"/>
        </w:rPr>
        <w:t xml:space="preserve">. Es el instrumento regulatorio en materia de medio ambiente más importante para el </w:t>
      </w:r>
      <w:r w:rsidR="008A1019">
        <w:rPr>
          <w:lang w:val="es-ES_tradnl"/>
        </w:rPr>
        <w:t>programa</w:t>
      </w:r>
      <w:r w:rsidRPr="00976BFF">
        <w:rPr>
          <w:lang w:val="es-ES_tradnl"/>
        </w:rPr>
        <w:t xml:space="preserve">; en el </w:t>
      </w:r>
      <w:r w:rsidR="008877A5">
        <w:rPr>
          <w:lang w:val="es-ES_tradnl"/>
        </w:rPr>
        <w:t>d</w:t>
      </w:r>
      <w:r w:rsidR="008877A5" w:rsidRPr="00976BFF">
        <w:rPr>
          <w:lang w:val="es-ES_tradnl"/>
        </w:rPr>
        <w:t xml:space="preserve">ecreto </w:t>
      </w:r>
      <w:r w:rsidRPr="00976BFF">
        <w:rPr>
          <w:lang w:val="es-ES_tradnl"/>
        </w:rPr>
        <w:t xml:space="preserve">n.° 176/003 se establece que es el instrumento ambiental oficial que regula la gestión ambiental de todas las operaciones de la DNV. </w:t>
      </w:r>
      <w:r w:rsidR="003A56DA">
        <w:rPr>
          <w:lang w:val="es-ES_tradnl"/>
        </w:rPr>
        <w:t xml:space="preserve">El manual </w:t>
      </w:r>
      <w:r w:rsidR="0011695E">
        <w:rPr>
          <w:lang w:val="es-ES_tradnl"/>
        </w:rPr>
        <w:t xml:space="preserve">es de </w:t>
      </w:r>
      <w:r w:rsidR="003A56DA">
        <w:rPr>
          <w:lang w:val="es-ES_tradnl"/>
        </w:rPr>
        <w:t>carácter obligatorio para t</w:t>
      </w:r>
      <w:r w:rsidRPr="00976BFF">
        <w:rPr>
          <w:lang w:val="es-ES_tradnl"/>
        </w:rPr>
        <w:t xml:space="preserve">odos los contratistas y las obras viales de la DNV. Es un instrumento ambiental que se respeta internamente en el MTOP y externamente por parte de la DINAMA, el Ministerio de Ganadería, Agricultura y Pesca (MGAP) y los contratistas. </w:t>
      </w:r>
      <w:r w:rsidR="003A56DA">
        <w:rPr>
          <w:lang w:val="es-ES_tradnl"/>
        </w:rPr>
        <w:t>Contiene</w:t>
      </w:r>
      <w:r w:rsidRPr="00976BFF">
        <w:rPr>
          <w:lang w:val="es-ES_tradnl"/>
        </w:rPr>
        <w:t xml:space="preserve"> las reglamentaciones del país en materia de gestión ambiental e incluye medidas y procedimientos para prevenir y reducir </w:t>
      </w:r>
      <w:r w:rsidR="003A56DA">
        <w:rPr>
          <w:lang w:val="es-ES_tradnl"/>
        </w:rPr>
        <w:t>e</w:t>
      </w:r>
      <w:r w:rsidRPr="00976BFF">
        <w:rPr>
          <w:lang w:val="es-ES_tradnl"/>
        </w:rPr>
        <w:t>l impacto de las obras viales de la DNV. Su contenido se aplica a esta operación, pero el manual deberá actualizarse (parte del marco de resultados, a través del IVD-3).</w:t>
      </w:r>
    </w:p>
    <w:p w:rsidR="00404DDA" w:rsidRPr="00976BFF" w:rsidRDefault="00404DDA" w:rsidP="00EB3076">
      <w:pPr>
        <w:pStyle w:val="Annexmain"/>
        <w:ind w:firstLine="0"/>
        <w:rPr>
          <w:b/>
          <w:lang w:val="es-ES_tradnl"/>
        </w:rPr>
      </w:pPr>
      <w:r w:rsidRPr="00976BFF">
        <w:rPr>
          <w:lang w:val="es-ES_tradnl"/>
        </w:rPr>
        <w:t xml:space="preserve">Si bien la gestión ambiental de los contratos financiados por el BID incluidos en el </w:t>
      </w:r>
      <w:r w:rsidR="008A1019">
        <w:rPr>
          <w:lang w:val="es-ES_tradnl"/>
        </w:rPr>
        <w:t>programa</w:t>
      </w:r>
      <w:r w:rsidRPr="00976BFF">
        <w:rPr>
          <w:lang w:val="es-ES_tradnl"/>
        </w:rPr>
        <w:t xml:space="preserve"> se asentará en los sistemas nacionales, las políticas de financiamiento del BID requirieron la preparación de un instrumento de salvaguarda específico para el préstamo</w:t>
      </w:r>
      <w:r w:rsidR="003A56DA">
        <w:rPr>
          <w:lang w:val="es-ES_tradnl"/>
        </w:rPr>
        <w:t>:</w:t>
      </w:r>
      <w:r w:rsidRPr="00976BFF">
        <w:rPr>
          <w:lang w:val="es-ES_tradnl"/>
        </w:rPr>
        <w:t xml:space="preserve"> el </w:t>
      </w:r>
      <w:r w:rsidR="0011695E">
        <w:rPr>
          <w:lang w:val="es-ES_tradnl"/>
        </w:rPr>
        <w:t>P</w:t>
      </w:r>
      <w:r w:rsidR="0011695E" w:rsidRPr="00976BFF">
        <w:rPr>
          <w:lang w:val="es-ES_tradnl"/>
        </w:rPr>
        <w:t xml:space="preserve">lan </w:t>
      </w:r>
      <w:r w:rsidRPr="00976BFF">
        <w:rPr>
          <w:lang w:val="es-ES_tradnl"/>
        </w:rPr>
        <w:t xml:space="preserve">de </w:t>
      </w:r>
      <w:r w:rsidR="0011695E">
        <w:rPr>
          <w:lang w:val="es-ES_tradnl"/>
        </w:rPr>
        <w:t>G</w:t>
      </w:r>
      <w:r w:rsidR="0011695E" w:rsidRPr="00976BFF">
        <w:rPr>
          <w:lang w:val="es-ES_tradnl"/>
        </w:rPr>
        <w:t xml:space="preserve">estión </w:t>
      </w:r>
      <w:r w:rsidR="0011695E">
        <w:rPr>
          <w:lang w:val="es-ES_tradnl"/>
        </w:rPr>
        <w:t>A</w:t>
      </w:r>
      <w:r w:rsidR="0011695E" w:rsidRPr="00976BFF">
        <w:rPr>
          <w:lang w:val="es-ES_tradnl"/>
        </w:rPr>
        <w:t xml:space="preserve">mbiental </w:t>
      </w:r>
      <w:r w:rsidRPr="00976BFF">
        <w:rPr>
          <w:lang w:val="es-ES_tradnl"/>
        </w:rPr>
        <w:t xml:space="preserve">y </w:t>
      </w:r>
      <w:r w:rsidR="0011695E">
        <w:rPr>
          <w:lang w:val="es-ES_tradnl"/>
        </w:rPr>
        <w:t>S</w:t>
      </w:r>
      <w:r w:rsidR="0011695E" w:rsidRPr="00976BFF">
        <w:rPr>
          <w:lang w:val="es-ES_tradnl"/>
        </w:rPr>
        <w:t>ocial</w:t>
      </w:r>
      <w:r w:rsidRPr="00976BFF">
        <w:rPr>
          <w:lang w:val="es-ES_tradnl"/>
        </w:rPr>
        <w:t xml:space="preserve">. Este instrumento </w:t>
      </w:r>
      <w:r w:rsidR="003A56DA">
        <w:rPr>
          <w:lang w:val="es-ES_tradnl"/>
        </w:rPr>
        <w:t>se remite</w:t>
      </w:r>
      <w:r w:rsidRPr="00976BFF">
        <w:rPr>
          <w:lang w:val="es-ES_tradnl"/>
        </w:rPr>
        <w:t xml:space="preserve"> básicamente al manual ambiental de la DNV y a los procedimientos y requisitos establecidos a nivel nacional. </w:t>
      </w:r>
      <w:r w:rsidR="003A56DA">
        <w:rPr>
          <w:lang w:val="es-ES_tradnl"/>
        </w:rPr>
        <w:t>El</w:t>
      </w:r>
      <w:r w:rsidRPr="00976BFF">
        <w:rPr>
          <w:lang w:val="es-ES_tradnl"/>
        </w:rPr>
        <w:t xml:space="preserve"> plan también incluye algunas recomendaciones y requisitos que complementan los sistemas de gestión ambiental de las obras viales de la DNV, en especial en lo que respecta a los informes ambientales y al fortalecimiento de la </w:t>
      </w:r>
      <w:r w:rsidR="00423929">
        <w:rPr>
          <w:lang w:val="es-ES_tradnl"/>
        </w:rPr>
        <w:t>UAV</w:t>
      </w:r>
      <w:r w:rsidRPr="00976BFF">
        <w:rPr>
          <w:lang w:val="es-ES_tradnl"/>
        </w:rPr>
        <w:t xml:space="preserve">. Los contratos financiados por el FONPLATA en el marco del </w:t>
      </w:r>
      <w:r w:rsidR="008A1019">
        <w:rPr>
          <w:lang w:val="es-ES_tradnl"/>
        </w:rPr>
        <w:t>programa</w:t>
      </w:r>
      <w:r w:rsidRPr="00976BFF">
        <w:rPr>
          <w:lang w:val="es-ES_tradnl"/>
        </w:rPr>
        <w:t xml:space="preserve"> se ejecutarán con los mismos instrumentos y sistemas de salvaguarda ambiental y social que la </w:t>
      </w:r>
      <w:r w:rsidR="004A26E3" w:rsidRPr="00976BFF">
        <w:rPr>
          <w:lang w:val="es-ES_tradnl"/>
        </w:rPr>
        <w:t>DNV</w:t>
      </w:r>
      <w:r w:rsidRPr="00976BFF">
        <w:rPr>
          <w:lang w:val="es-ES_tradnl"/>
        </w:rPr>
        <w:t xml:space="preserve"> utiliza en la actualidad (manual ambiental).</w:t>
      </w:r>
    </w:p>
    <w:p w:rsidR="00404DDA" w:rsidRPr="00976BFF" w:rsidRDefault="00404DDA" w:rsidP="00EB3076">
      <w:pPr>
        <w:pStyle w:val="Annexmain"/>
        <w:ind w:firstLine="0"/>
        <w:rPr>
          <w:lang w:val="es-ES_tradnl"/>
        </w:rPr>
      </w:pPr>
      <w:r w:rsidRPr="00976BFF">
        <w:rPr>
          <w:lang w:val="es-ES_tradnl"/>
        </w:rPr>
        <w:t xml:space="preserve"> </w:t>
      </w:r>
      <w:r w:rsidRPr="00976BFF">
        <w:rPr>
          <w:b/>
          <w:lang w:val="es-ES_tradnl"/>
        </w:rPr>
        <w:t>Partes interesadas en la gestión ambiental.</w:t>
      </w:r>
      <w:r w:rsidRPr="00976BFF">
        <w:rPr>
          <w:lang w:val="es-ES_tradnl"/>
        </w:rPr>
        <w:t xml:space="preserve"> Dentro de la DNV, la UAV es la principal responsable de la preparación de la documentación ambiental, el análisis y el seguimiento de la supervisión ambiental. Sin embargo, en la actualidad los ingenieros de la Gerencia de Construcciones de la DNV están a cargo de la supervisión técnica y ambiental </w:t>
      </w:r>
      <w:r w:rsidR="003A56DA" w:rsidRPr="003A56DA">
        <w:rPr>
          <w:i/>
          <w:lang w:val="es-ES_tradnl"/>
        </w:rPr>
        <w:t>in situ</w:t>
      </w:r>
      <w:r w:rsidR="003A56DA">
        <w:rPr>
          <w:lang w:val="es-ES_tradnl"/>
        </w:rPr>
        <w:t xml:space="preserve"> </w:t>
      </w:r>
      <w:r w:rsidRPr="00976BFF">
        <w:rPr>
          <w:lang w:val="es-ES_tradnl"/>
        </w:rPr>
        <w:t xml:space="preserve">de las obras viales. Hay pocos ingenieros (siete al momento de la evaluación) y, en consecuencia, generalmente dependen de asistentes técnicos para realizar la supervisión general de los contratos, incluso el cumplimiento de las normas ambientales. La función de la </w:t>
      </w:r>
      <w:r w:rsidR="00423929">
        <w:rPr>
          <w:lang w:val="es-ES_tradnl"/>
        </w:rPr>
        <w:t>UAV</w:t>
      </w:r>
      <w:r w:rsidR="00423929" w:rsidRPr="00976BFF">
        <w:rPr>
          <w:lang w:val="es-ES_tradnl"/>
        </w:rPr>
        <w:t xml:space="preserve"> </w:t>
      </w:r>
      <w:r w:rsidRPr="00976BFF">
        <w:rPr>
          <w:lang w:val="es-ES_tradnl"/>
        </w:rPr>
        <w:t xml:space="preserve">es informar a la DINAMA </w:t>
      </w:r>
      <w:r w:rsidR="001C47AE">
        <w:rPr>
          <w:lang w:val="es-ES_tradnl"/>
        </w:rPr>
        <w:t>las propuestas de</w:t>
      </w:r>
      <w:r w:rsidRPr="00976BFF">
        <w:rPr>
          <w:lang w:val="es-ES_tradnl"/>
        </w:rPr>
        <w:t xml:space="preserve"> proyectos viales y hacer un seguimiento de los informes de los contratistas. Un técnico en higiene y seguridad de la UAV realiza misiones periódicas de supervisión de las obras y presenta los informes al Ministerio de Trabajo.</w:t>
      </w:r>
    </w:p>
    <w:p w:rsidR="00404DDA" w:rsidRPr="00976BFF" w:rsidRDefault="00404DDA" w:rsidP="00EB3076">
      <w:pPr>
        <w:pStyle w:val="Annexmain"/>
        <w:ind w:firstLine="0"/>
        <w:rPr>
          <w:lang w:val="es-ES_tradnl"/>
        </w:rPr>
      </w:pPr>
      <w:r w:rsidRPr="00976BFF">
        <w:rPr>
          <w:lang w:val="es-ES_tradnl"/>
        </w:rPr>
        <w:t xml:space="preserve">Además de la </w:t>
      </w:r>
      <w:r w:rsidR="00423929">
        <w:rPr>
          <w:lang w:val="es-ES_tradnl"/>
        </w:rPr>
        <w:t>UAV</w:t>
      </w:r>
      <w:r w:rsidRPr="00976BFF">
        <w:rPr>
          <w:lang w:val="es-ES_tradnl"/>
        </w:rPr>
        <w:t xml:space="preserve">, otras partes interesadas intervienen en el sistema de gestión ambiental del </w:t>
      </w:r>
      <w:r w:rsidR="008A1019">
        <w:rPr>
          <w:lang w:val="es-ES_tradnl"/>
        </w:rPr>
        <w:t>programa</w:t>
      </w:r>
      <w:r w:rsidRPr="00976BFF">
        <w:rPr>
          <w:lang w:val="es-ES_tradnl"/>
        </w:rPr>
        <w:t>:</w:t>
      </w:r>
    </w:p>
    <w:p w:rsidR="00404DDA" w:rsidRPr="00976BFF" w:rsidRDefault="00404DDA" w:rsidP="00404DDA">
      <w:pPr>
        <w:pStyle w:val="Bullet"/>
        <w:rPr>
          <w:lang w:val="es-ES_tradnl"/>
        </w:rPr>
      </w:pPr>
      <w:r w:rsidRPr="00976BFF">
        <w:rPr>
          <w:lang w:val="es-ES_tradnl"/>
        </w:rPr>
        <w:t>Dentro de la DNV, los departamentos o gerencias de: i) construcciones, ii) mantenimiento, iii) estudios y proyectos, iv) infraestructura (puentes), v) seguridad vial, vi) manejo de árboles en servidumbres de paso</w:t>
      </w:r>
      <w:r w:rsidR="0011695E">
        <w:rPr>
          <w:lang w:val="es-ES_tradnl"/>
        </w:rPr>
        <w:t>.</w:t>
      </w:r>
    </w:p>
    <w:p w:rsidR="00404DDA" w:rsidRPr="00976BFF" w:rsidRDefault="00404DDA" w:rsidP="00404DDA">
      <w:pPr>
        <w:pStyle w:val="Bullet"/>
        <w:rPr>
          <w:lang w:val="es-ES_tradnl"/>
        </w:rPr>
      </w:pPr>
      <w:r w:rsidRPr="00976BFF">
        <w:rPr>
          <w:lang w:val="es-ES_tradnl"/>
        </w:rPr>
        <w:t>Fuera de la DNV: i) el MVOTMA, en especial la DINAMA,</w:t>
      </w:r>
      <w:r w:rsidR="003A56DA">
        <w:rPr>
          <w:lang w:val="es-ES_tradnl"/>
        </w:rPr>
        <w:t xml:space="preserve"> que realiza</w:t>
      </w:r>
      <w:r w:rsidRPr="00976BFF">
        <w:rPr>
          <w:lang w:val="es-ES_tradnl"/>
        </w:rPr>
        <w:t xml:space="preserve"> la evaluación ambiental de los proyectos</w:t>
      </w:r>
      <w:r w:rsidR="003A56DA">
        <w:rPr>
          <w:lang w:val="es-ES_tradnl"/>
        </w:rPr>
        <w:t xml:space="preserve"> y otorga las licencias ambientales;</w:t>
      </w:r>
      <w:r w:rsidRPr="00976BFF">
        <w:rPr>
          <w:lang w:val="es-ES_tradnl"/>
        </w:rPr>
        <w:t xml:space="preserve"> la</w:t>
      </w:r>
      <w:r w:rsidR="001C47AE">
        <w:rPr>
          <w:lang w:val="es-ES_tradnl"/>
        </w:rPr>
        <w:t xml:space="preserve"> División Biodiversidad y Áreas</w:t>
      </w:r>
      <w:r w:rsidRPr="00976BFF">
        <w:rPr>
          <w:lang w:val="es-ES_tradnl"/>
        </w:rPr>
        <w:t xml:space="preserve"> Protegidas, a cargo del Sistema Nacional de las Áreas Protegidas, y la División Control y Desempeño Ambiental; ii) el MGAP, donde la Dirección General Forestal es responsable de conceder permisos forestales</w:t>
      </w:r>
      <w:r w:rsidR="0011695E">
        <w:rPr>
          <w:lang w:val="es-ES_tradnl"/>
        </w:rPr>
        <w:t>;</w:t>
      </w:r>
      <w:r w:rsidR="0011695E" w:rsidRPr="00976BFF">
        <w:rPr>
          <w:lang w:val="es-ES_tradnl"/>
        </w:rPr>
        <w:t xml:space="preserve"> </w:t>
      </w:r>
      <w:r w:rsidRPr="00976BFF">
        <w:rPr>
          <w:lang w:val="es-ES_tradnl"/>
        </w:rPr>
        <w:t>iii) el Ministerio de Trabajo y Seguridad Social</w:t>
      </w:r>
      <w:r w:rsidR="0011695E">
        <w:rPr>
          <w:lang w:val="es-ES_tradnl"/>
        </w:rPr>
        <w:t>,</w:t>
      </w:r>
      <w:r w:rsidRPr="00976BFF">
        <w:rPr>
          <w:lang w:val="es-ES_tradnl"/>
        </w:rPr>
        <w:t xml:space="preserve"> a cargo de la supervisión de las cuestiones de higiene y seguridad</w:t>
      </w:r>
      <w:r w:rsidR="0011695E">
        <w:rPr>
          <w:lang w:val="es-ES_tradnl"/>
        </w:rPr>
        <w:t>;</w:t>
      </w:r>
      <w:r w:rsidR="0011695E" w:rsidRPr="00976BFF">
        <w:rPr>
          <w:lang w:val="es-ES_tradnl"/>
        </w:rPr>
        <w:t xml:space="preserve"> </w:t>
      </w:r>
      <w:r w:rsidRPr="00976BFF">
        <w:rPr>
          <w:lang w:val="es-ES_tradnl"/>
        </w:rPr>
        <w:t>iv) la Comisión del Patrimonio Cultural de la Nación del Ministerio de Educación y Cultura</w:t>
      </w:r>
      <w:r w:rsidR="0011695E">
        <w:rPr>
          <w:lang w:val="es-ES_tradnl"/>
        </w:rPr>
        <w:t>,</w:t>
      </w:r>
      <w:r w:rsidRPr="00976BFF">
        <w:rPr>
          <w:lang w:val="es-ES_tradnl"/>
        </w:rPr>
        <w:t xml:space="preserve"> a cargo de la protección de monumentos nacionales y recursos culturales</w:t>
      </w:r>
      <w:r w:rsidR="0011695E">
        <w:rPr>
          <w:lang w:val="es-ES_tradnl"/>
        </w:rPr>
        <w:t>,</w:t>
      </w:r>
      <w:r w:rsidRPr="00976BFF">
        <w:rPr>
          <w:lang w:val="es-ES_tradnl"/>
        </w:rPr>
        <w:t xml:space="preserve"> y vi) el Ministerio de Industria, Energía y Minería, que coordina los permisos </w:t>
      </w:r>
      <w:r w:rsidR="003A56DA">
        <w:rPr>
          <w:lang w:val="es-ES_tradnl"/>
        </w:rPr>
        <w:t>para excavar</w:t>
      </w:r>
      <w:r w:rsidRPr="00976BFF">
        <w:rPr>
          <w:lang w:val="es-ES_tradnl"/>
        </w:rPr>
        <w:t xml:space="preserve"> pozos de relleno con la Gerencia de Construcciones de la DNV. </w:t>
      </w:r>
    </w:p>
    <w:p w:rsidR="00404DDA" w:rsidRPr="00976BFF" w:rsidRDefault="00404DDA" w:rsidP="00EB3076">
      <w:pPr>
        <w:pStyle w:val="Annexmain"/>
        <w:ind w:firstLine="0"/>
        <w:rPr>
          <w:lang w:val="es-ES_tradnl"/>
        </w:rPr>
      </w:pPr>
      <w:r w:rsidRPr="00976BFF">
        <w:rPr>
          <w:b/>
          <w:lang w:val="es-ES_tradnl"/>
        </w:rPr>
        <w:t>Clasificación ambiental de las obras</w:t>
      </w:r>
      <w:r w:rsidRPr="000B5989">
        <w:rPr>
          <w:b/>
          <w:lang w:val="es-ES_tradnl"/>
        </w:rPr>
        <w:t>.</w:t>
      </w:r>
      <w:r w:rsidRPr="00976BFF">
        <w:rPr>
          <w:lang w:val="es-ES_tradnl"/>
        </w:rPr>
        <w:t xml:space="preserve"> La mayoría de las obras de mantenimiento y rehabilitación vial se clasifican, desde el punto de vista ambiental, como proyectos de bajo impacto y en la resolución de la DINAMA solo se menciona la aplicación y el cumplimiento del manual ambiental de la DNV. La DINAMA no requiere ninguna otra comunicación, consulta o presentación de informes luego de emitir la notificación ambiental a la DNV, y tampoco brinda supervisión ambiental a este tipo de obras. Sin embargo, si la obra entraña la construcción de un nuevo puente o tramo de una nueva carretera, probablemente se la clasificará como un proyecto B o C (normas de Uruguay) y se deberá realizar una evaluación del impacto ambiental y una consulta pública. Posteriormente, se publicará, para consulta, un resumen ambiental de la </w:t>
      </w:r>
      <w:r w:rsidR="002E41E6">
        <w:rPr>
          <w:lang w:val="es-ES_tradnl"/>
        </w:rPr>
        <w:t>evaluación del impacto ambiental</w:t>
      </w:r>
      <w:r w:rsidRPr="00976BFF">
        <w:rPr>
          <w:lang w:val="es-ES_tradnl"/>
        </w:rPr>
        <w:t>, denominado “puesta de manifiesto”. La DINAMA realiza una supervisión más minuciosa de los proyectos con mayor impacto ambiental.</w:t>
      </w:r>
    </w:p>
    <w:p w:rsidR="00404DDA" w:rsidRPr="00976BFF" w:rsidRDefault="00404DDA" w:rsidP="00EB3076">
      <w:pPr>
        <w:pStyle w:val="Annexmain"/>
        <w:ind w:firstLine="0"/>
        <w:rPr>
          <w:lang w:val="es-ES_tradnl"/>
        </w:rPr>
      </w:pPr>
      <w:r w:rsidRPr="00976BFF">
        <w:rPr>
          <w:b/>
          <w:bCs/>
          <w:lang w:val="es-ES_tradnl"/>
        </w:rPr>
        <w:t xml:space="preserve">Instrumentos de gestión ambiental. </w:t>
      </w:r>
      <w:r w:rsidRPr="00976BFF">
        <w:rPr>
          <w:lang w:val="es-ES_tradnl"/>
        </w:rPr>
        <w:t xml:space="preserve">Existen varios instrumentos de gestión ambiental para evaluar, hacer un seguimiento y supervisar la gestión ambiental de las obras en el marco del </w:t>
      </w:r>
      <w:r w:rsidR="008A1019">
        <w:rPr>
          <w:lang w:val="es-ES_tradnl"/>
        </w:rPr>
        <w:t>programa</w:t>
      </w:r>
      <w:r w:rsidRPr="00976BFF">
        <w:rPr>
          <w:lang w:val="es-ES_tradnl"/>
        </w:rPr>
        <w:t xml:space="preserve">, entre ellos: i) cláusulas ambientales en los documentos de licitación, ii) el plan de gestión ambiental, </w:t>
      </w:r>
      <w:r w:rsidR="003A56DA">
        <w:rPr>
          <w:lang w:val="es-ES_tradnl"/>
        </w:rPr>
        <w:t>i</w:t>
      </w:r>
      <w:r w:rsidRPr="00976BFF">
        <w:rPr>
          <w:lang w:val="es-ES_tradnl"/>
        </w:rPr>
        <w:t xml:space="preserve">ii) el rubro ambiental (un 3% del </w:t>
      </w:r>
      <w:r w:rsidR="00747999">
        <w:rPr>
          <w:lang w:val="es-ES_tradnl"/>
        </w:rPr>
        <w:t xml:space="preserve">monto total del </w:t>
      </w:r>
      <w:r w:rsidRPr="00976BFF">
        <w:rPr>
          <w:lang w:val="es-ES_tradnl"/>
        </w:rPr>
        <w:t xml:space="preserve">contrato que se paga mensualmente a los contratistas, de acuerdo con su desempeño ambiental), las listas de chequeo, utilizadas por los ingenieros encargados de la supervisión para verificar el cumplimiento por parte de los contratistas, los informes trimestrales, preparados por los contratistas y enviados a la </w:t>
      </w:r>
      <w:r w:rsidR="00423929">
        <w:rPr>
          <w:lang w:val="es-ES_tradnl"/>
        </w:rPr>
        <w:t>u</w:t>
      </w:r>
      <w:r w:rsidR="00423929" w:rsidRPr="00976BFF">
        <w:rPr>
          <w:lang w:val="es-ES_tradnl"/>
        </w:rPr>
        <w:t xml:space="preserve">nidad </w:t>
      </w:r>
      <w:r w:rsidR="00423929">
        <w:rPr>
          <w:lang w:val="es-ES_tradnl"/>
        </w:rPr>
        <w:t>a</w:t>
      </w:r>
      <w:r w:rsidR="00423929" w:rsidRPr="00976BFF">
        <w:rPr>
          <w:lang w:val="es-ES_tradnl"/>
        </w:rPr>
        <w:t>mbiental</w:t>
      </w:r>
      <w:r w:rsidRPr="00976BFF">
        <w:rPr>
          <w:lang w:val="es-ES_tradnl"/>
        </w:rPr>
        <w:t xml:space="preserve">, </w:t>
      </w:r>
      <w:r w:rsidR="0011695E">
        <w:rPr>
          <w:lang w:val="es-ES_tradnl"/>
        </w:rPr>
        <w:t xml:space="preserve">y </w:t>
      </w:r>
      <w:r w:rsidRPr="00976BFF">
        <w:rPr>
          <w:lang w:val="es-ES_tradnl"/>
        </w:rPr>
        <w:t xml:space="preserve">el plan de restauración ambiental para el cierre propuesto por los contratistas con respecto a la limpieza y restauración final del </w:t>
      </w:r>
      <w:r w:rsidR="003A56DA">
        <w:rPr>
          <w:lang w:val="es-ES_tradnl"/>
        </w:rPr>
        <w:t>emplazamiento</w:t>
      </w:r>
      <w:r w:rsidRPr="00976BFF">
        <w:rPr>
          <w:lang w:val="es-ES_tradnl"/>
        </w:rPr>
        <w:t>. Las oficinas regionales de la DNV también deben aplicar el manual ambiental y las respectivas listas de chequeo, pero no cuentan con el personal, los equipos y la capacitación suficientes para su total implementación. CVU utiliza su propio manual ambiental, las normas ISO y auditorías periódicas para garantizar la gestión ambiental de sus contratistas.</w:t>
      </w:r>
    </w:p>
    <w:p w:rsidR="00404DDA" w:rsidRPr="00976BFF" w:rsidRDefault="00404DDA" w:rsidP="00EB3076">
      <w:pPr>
        <w:pStyle w:val="Annexmain"/>
        <w:ind w:firstLine="0"/>
        <w:rPr>
          <w:lang w:val="es-ES_tradnl"/>
        </w:rPr>
      </w:pPr>
      <w:r w:rsidRPr="00976BFF">
        <w:rPr>
          <w:b/>
          <w:lang w:val="es-ES_tradnl"/>
        </w:rPr>
        <w:t>Divulgación de la información, consulta</w:t>
      </w:r>
      <w:r w:rsidR="003A56DA">
        <w:rPr>
          <w:b/>
          <w:lang w:val="es-ES_tradnl"/>
        </w:rPr>
        <w:t>s</w:t>
      </w:r>
      <w:r w:rsidRPr="00976BFF">
        <w:rPr>
          <w:b/>
          <w:lang w:val="es-ES_tradnl"/>
        </w:rPr>
        <w:t xml:space="preserve"> y participación. </w:t>
      </w:r>
      <w:r w:rsidRPr="00976BFF">
        <w:rPr>
          <w:lang w:val="es-ES_tradnl"/>
        </w:rPr>
        <w:t>La DNV no divulga información sobre el mantenimiento vial ni los informes</w:t>
      </w:r>
      <w:r w:rsidR="00747999">
        <w:rPr>
          <w:lang w:val="es-ES_tradnl"/>
        </w:rPr>
        <w:t xml:space="preserve"> de gestión ambiental</w:t>
      </w:r>
      <w:r w:rsidRPr="00976BFF">
        <w:rPr>
          <w:lang w:val="es-ES_tradnl"/>
        </w:rPr>
        <w:t xml:space="preserve"> a través de su sitio web u otros canales. El resumen de la puesta de manifiesto se publica para consulta una vez que la DINAMA clasifica las obras propuestas como B o C. Durante el período de consulta y </w:t>
      </w:r>
      <w:r w:rsidR="003A56DA">
        <w:rPr>
          <w:lang w:val="es-ES_tradnl"/>
        </w:rPr>
        <w:t xml:space="preserve">la </w:t>
      </w:r>
      <w:r w:rsidRPr="00976BFF">
        <w:rPr>
          <w:lang w:val="es-ES_tradnl"/>
        </w:rPr>
        <w:t xml:space="preserve">preparación de la evaluación de los sistemas ambientales y sociales, se </w:t>
      </w:r>
      <w:r w:rsidR="003A56DA">
        <w:rPr>
          <w:lang w:val="es-ES_tradnl"/>
        </w:rPr>
        <w:t>hizo hincapié</w:t>
      </w:r>
      <w:r w:rsidRPr="00976BFF">
        <w:rPr>
          <w:lang w:val="es-ES_tradnl"/>
        </w:rPr>
        <w:t xml:space="preserve"> en la necesidad de brindar más información sobre las obras de la DNV a los beneficiarios y las partes interesadas.</w:t>
      </w:r>
    </w:p>
    <w:p w:rsidR="00404DDA" w:rsidRPr="00976BFF" w:rsidRDefault="00404DDA" w:rsidP="00EB3076">
      <w:pPr>
        <w:pStyle w:val="Annexmain"/>
        <w:ind w:firstLine="0"/>
        <w:rPr>
          <w:lang w:val="es-ES_tradnl"/>
        </w:rPr>
      </w:pPr>
      <w:r w:rsidRPr="00976BFF">
        <w:rPr>
          <w:b/>
          <w:lang w:val="es-ES_tradnl"/>
        </w:rPr>
        <w:t>Mecanismo de quejas.</w:t>
      </w:r>
      <w:r w:rsidRPr="00976BFF">
        <w:rPr>
          <w:lang w:val="es-ES_tradnl"/>
        </w:rPr>
        <w:t xml:space="preserve"> No existe un procedimiento oficial ni un mecanismo público para que las partes interesadas formalicen una queja. Sin embargo, </w:t>
      </w:r>
      <w:r w:rsidR="003A56DA">
        <w:rPr>
          <w:lang w:val="es-ES_tradnl"/>
        </w:rPr>
        <w:t xml:space="preserve">la DNV puede recibir </w:t>
      </w:r>
      <w:r w:rsidRPr="00976BFF">
        <w:rPr>
          <w:lang w:val="es-ES_tradnl"/>
        </w:rPr>
        <w:t>las reclamaciones a través de divers</w:t>
      </w:r>
      <w:r w:rsidR="003A56DA">
        <w:rPr>
          <w:lang w:val="es-ES_tradnl"/>
        </w:rPr>
        <w:t>o</w:t>
      </w:r>
      <w:r w:rsidRPr="00976BFF">
        <w:rPr>
          <w:lang w:val="es-ES_tradnl"/>
        </w:rPr>
        <w:t xml:space="preserve">s </w:t>
      </w:r>
      <w:r w:rsidR="003A56DA">
        <w:rPr>
          <w:lang w:val="es-ES_tradnl"/>
        </w:rPr>
        <w:t>canales</w:t>
      </w:r>
      <w:r w:rsidRPr="00976BFF">
        <w:rPr>
          <w:lang w:val="es-ES_tradnl"/>
        </w:rPr>
        <w:t xml:space="preserve"> informales</w:t>
      </w:r>
      <w:r w:rsidR="003A56DA">
        <w:rPr>
          <w:lang w:val="es-ES_tradnl"/>
        </w:rPr>
        <w:t xml:space="preserve"> que incluye</w:t>
      </w:r>
      <w:r w:rsidR="00804107">
        <w:rPr>
          <w:lang w:val="es-ES_tradnl"/>
        </w:rPr>
        <w:t>n</w:t>
      </w:r>
      <w:r w:rsidR="003A56DA">
        <w:rPr>
          <w:lang w:val="es-ES_tradnl"/>
        </w:rPr>
        <w:t>, entre otros</w:t>
      </w:r>
      <w:r w:rsidRPr="00976BFF">
        <w:rPr>
          <w:lang w:val="es-ES_tradnl"/>
        </w:rPr>
        <w:t>: fax</w:t>
      </w:r>
      <w:r w:rsidR="00804107">
        <w:rPr>
          <w:lang w:val="es-ES_tradnl"/>
        </w:rPr>
        <w:t>es</w:t>
      </w:r>
      <w:r w:rsidRPr="00976BFF">
        <w:rPr>
          <w:lang w:val="es-ES_tradnl"/>
        </w:rPr>
        <w:t>, llamados telefónicos y comunicaciones de</w:t>
      </w:r>
      <w:r w:rsidR="00804107">
        <w:rPr>
          <w:lang w:val="es-ES_tradnl"/>
        </w:rPr>
        <w:t xml:space="preserve"> </w:t>
      </w:r>
      <w:r w:rsidRPr="00976BFF">
        <w:rPr>
          <w:lang w:val="es-ES_tradnl"/>
        </w:rPr>
        <w:t>l</w:t>
      </w:r>
      <w:r w:rsidR="00804107">
        <w:rPr>
          <w:lang w:val="es-ES_tradnl"/>
        </w:rPr>
        <w:t>os</w:t>
      </w:r>
      <w:r w:rsidRPr="00976BFF">
        <w:rPr>
          <w:lang w:val="es-ES_tradnl"/>
        </w:rPr>
        <w:t xml:space="preserve"> </w:t>
      </w:r>
      <w:r w:rsidR="00804107">
        <w:rPr>
          <w:lang w:val="es-ES_tradnl"/>
        </w:rPr>
        <w:t>d</w:t>
      </w:r>
      <w:r w:rsidRPr="00976BFF">
        <w:rPr>
          <w:lang w:val="es-ES_tradnl"/>
        </w:rPr>
        <w:t>irector</w:t>
      </w:r>
      <w:r w:rsidR="00804107">
        <w:rPr>
          <w:lang w:val="es-ES_tradnl"/>
        </w:rPr>
        <w:t>es</w:t>
      </w:r>
      <w:r w:rsidRPr="00976BFF">
        <w:rPr>
          <w:lang w:val="es-ES_tradnl"/>
        </w:rPr>
        <w:t xml:space="preserve"> de </w:t>
      </w:r>
      <w:r w:rsidR="00804107">
        <w:rPr>
          <w:lang w:val="es-ES_tradnl"/>
        </w:rPr>
        <w:t>o</w:t>
      </w:r>
      <w:r w:rsidRPr="00976BFF">
        <w:rPr>
          <w:lang w:val="es-ES_tradnl"/>
        </w:rPr>
        <w:t xml:space="preserve">bra. </w:t>
      </w:r>
    </w:p>
    <w:p w:rsidR="00404DDA" w:rsidRPr="00976BFF" w:rsidRDefault="00404DDA" w:rsidP="00EB3076">
      <w:pPr>
        <w:pStyle w:val="Annexmain"/>
        <w:ind w:firstLine="0"/>
        <w:rPr>
          <w:lang w:val="es-ES_tradnl"/>
        </w:rPr>
      </w:pPr>
      <w:r w:rsidRPr="00976BFF">
        <w:rPr>
          <w:b/>
          <w:lang w:val="es-ES_tradnl"/>
        </w:rPr>
        <w:t>Coordinación con organismos regionales.</w:t>
      </w:r>
      <w:r w:rsidRPr="00976BFF">
        <w:rPr>
          <w:lang w:val="es-ES_tradnl"/>
        </w:rPr>
        <w:t xml:space="preserve"> La </w:t>
      </w:r>
      <w:r w:rsidR="00423929">
        <w:rPr>
          <w:lang w:val="es-ES_tradnl"/>
        </w:rPr>
        <w:t>UAV</w:t>
      </w:r>
      <w:r w:rsidR="00423929" w:rsidRPr="00976BFF">
        <w:rPr>
          <w:lang w:val="es-ES_tradnl"/>
        </w:rPr>
        <w:t xml:space="preserve"> </w:t>
      </w:r>
      <w:r w:rsidRPr="00976BFF">
        <w:rPr>
          <w:lang w:val="es-ES_tradnl"/>
        </w:rPr>
        <w:t xml:space="preserve">debe mantener una estrecha coordinación con la Gerencia de Construcciones y las </w:t>
      </w:r>
      <w:r w:rsidR="001C47AE">
        <w:rPr>
          <w:lang w:val="es-ES_tradnl"/>
        </w:rPr>
        <w:t xml:space="preserve">oficinas regionales de la DNV. </w:t>
      </w:r>
      <w:r w:rsidRPr="00976BFF">
        <w:rPr>
          <w:lang w:val="es-ES_tradnl"/>
        </w:rPr>
        <w:t xml:space="preserve">Sin embargo, los ingenieros encargados de la supervisión ambiental no dependen directamente de la </w:t>
      </w:r>
      <w:r w:rsidR="00423929">
        <w:rPr>
          <w:lang w:val="es-ES_tradnl"/>
        </w:rPr>
        <w:t>UAV</w:t>
      </w:r>
      <w:r w:rsidR="00423929" w:rsidRPr="00976BFF">
        <w:rPr>
          <w:lang w:val="es-ES_tradnl"/>
        </w:rPr>
        <w:t xml:space="preserve"> </w:t>
      </w:r>
      <w:r w:rsidRPr="00976BFF">
        <w:rPr>
          <w:lang w:val="es-ES_tradnl"/>
        </w:rPr>
        <w:t>debido a que esta no forma parte de la Gerencia de Construcciones. Por lo tanto, es preciso fortalecer la gestión ambiental de las obras de la DNV y sus oficinas regionales.</w:t>
      </w:r>
    </w:p>
    <w:p w:rsidR="00404DDA" w:rsidRPr="00976BFF" w:rsidRDefault="00404DDA" w:rsidP="00EB3076">
      <w:pPr>
        <w:pStyle w:val="Heading3"/>
        <w:rPr>
          <w:lang w:val="es-ES_tradnl"/>
        </w:rPr>
      </w:pPr>
      <w:bookmarkStart w:id="101" w:name="_Toc344927218"/>
      <w:r w:rsidRPr="00976BFF">
        <w:rPr>
          <w:lang w:val="es-ES_tradnl"/>
        </w:rPr>
        <w:t>El sistema de gestión social</w:t>
      </w:r>
      <w:bookmarkEnd w:id="101"/>
    </w:p>
    <w:p w:rsidR="00404DDA" w:rsidRPr="00976BFF" w:rsidRDefault="00404DDA" w:rsidP="00EB3076">
      <w:pPr>
        <w:pStyle w:val="Annexmain"/>
        <w:ind w:firstLine="0"/>
        <w:rPr>
          <w:lang w:val="es-ES_tradnl"/>
        </w:rPr>
      </w:pPr>
      <w:r w:rsidRPr="00976BFF">
        <w:rPr>
          <w:lang w:val="es-ES_tradnl"/>
        </w:rPr>
        <w:t>El sistema de gestión social que se describe a continuación (para más detalles, véase la evaluación de los sistemas ambientales y sociales) se aplica a toda</w:t>
      </w:r>
      <w:r w:rsidR="001C47AE">
        <w:rPr>
          <w:lang w:val="es-ES_tradnl"/>
        </w:rPr>
        <w:t xml:space="preserve">s las actividades de las obras </w:t>
      </w:r>
      <w:r w:rsidRPr="00976BFF">
        <w:rPr>
          <w:lang w:val="es-ES_tradnl"/>
        </w:rPr>
        <w:t xml:space="preserve">incluidas en el </w:t>
      </w:r>
      <w:r w:rsidR="008A1019">
        <w:rPr>
          <w:lang w:val="es-ES_tradnl"/>
        </w:rPr>
        <w:t>programa</w:t>
      </w:r>
      <w:r w:rsidRPr="00976BFF">
        <w:rPr>
          <w:lang w:val="es-ES_tradnl"/>
        </w:rPr>
        <w:t xml:space="preserve">. En especial, los contratos financiados por el BID y el FONPLATA estarán sujetos a estos sistemas y procedimientos de gestión social. Aunque no se prevé ningún reasentamiento involuntario en las obras financiadas por el BID incluidas en el </w:t>
      </w:r>
      <w:r w:rsidR="008A1019">
        <w:rPr>
          <w:lang w:val="es-ES_tradnl"/>
        </w:rPr>
        <w:t>programa</w:t>
      </w:r>
      <w:r w:rsidRPr="00976BFF">
        <w:rPr>
          <w:lang w:val="es-ES_tradnl"/>
        </w:rPr>
        <w:t>, se aplicaría la OP-710 del BID (</w:t>
      </w:r>
      <w:r w:rsidR="0011695E">
        <w:rPr>
          <w:lang w:val="es-ES_tradnl"/>
        </w:rPr>
        <w:t>r</w:t>
      </w:r>
      <w:r w:rsidR="0011695E" w:rsidRPr="00976BFF">
        <w:rPr>
          <w:lang w:val="es-ES_tradnl"/>
        </w:rPr>
        <w:t xml:space="preserve">easentamiento </w:t>
      </w:r>
      <w:r w:rsidRPr="00976BFF">
        <w:rPr>
          <w:lang w:val="es-ES_tradnl"/>
        </w:rPr>
        <w:t xml:space="preserve">involuntario), en caso </w:t>
      </w:r>
      <w:r w:rsidR="00627C7C">
        <w:rPr>
          <w:lang w:val="es-ES_tradnl"/>
        </w:rPr>
        <w:t xml:space="preserve">de </w:t>
      </w:r>
      <w:r w:rsidRPr="00976BFF">
        <w:rPr>
          <w:lang w:val="es-ES_tradnl"/>
        </w:rPr>
        <w:t>ocurrir tal circunstancia. Se considera que la OP-710 del BID es compatible con la OP 9.00 del Banco Mundial.</w:t>
      </w:r>
    </w:p>
    <w:p w:rsidR="00404DDA" w:rsidRPr="00976BFF" w:rsidRDefault="00404DDA" w:rsidP="00EB3076">
      <w:pPr>
        <w:pStyle w:val="Annexmain"/>
        <w:ind w:firstLine="0"/>
        <w:rPr>
          <w:lang w:val="es-ES_tradnl"/>
        </w:rPr>
      </w:pPr>
      <w:r w:rsidRPr="00976BFF">
        <w:rPr>
          <w:b/>
          <w:lang w:val="es-ES_tradnl"/>
        </w:rPr>
        <w:t>Marco jurídico para la expropiación de tierras necesarias para los proyectos.</w:t>
      </w:r>
      <w:r w:rsidRPr="00976BFF">
        <w:rPr>
          <w:lang w:val="es-ES_tradnl"/>
        </w:rPr>
        <w:t xml:space="preserve"> En Uruguay, la base jurídica para la adquisición de servidumbres de paso es la Ley de Expropiación de Bienes Raíces (</w:t>
      </w:r>
      <w:r w:rsidR="008877A5">
        <w:rPr>
          <w:lang w:val="es-ES_tradnl"/>
        </w:rPr>
        <w:t>l</w:t>
      </w:r>
      <w:r w:rsidR="008877A5" w:rsidRPr="00976BFF">
        <w:rPr>
          <w:lang w:val="es-ES_tradnl"/>
        </w:rPr>
        <w:t xml:space="preserve">ey </w:t>
      </w:r>
      <w:r w:rsidRPr="00976BFF">
        <w:rPr>
          <w:lang w:val="es-ES_tradnl"/>
        </w:rPr>
        <w:t>3958 del 28 de marzo de 1912, y sus modificaciones posteriores). En su artículo 1 se establece: “Nadie puede ser privado de su propiedad sino por causa de utilidad pública, calificada por ley, y sin previa y justa compensación</w:t>
      </w:r>
      <w:r w:rsidR="00627C7C">
        <w:rPr>
          <w:lang w:val="es-ES_tradnl"/>
        </w:rPr>
        <w:t>”</w:t>
      </w:r>
      <w:r w:rsidRPr="00976BFF">
        <w:rPr>
          <w:lang w:val="es-ES_tradnl"/>
        </w:rPr>
        <w:t xml:space="preserve">. La toma de posesión de la propiedad sujeta a expropiación se produce después del pago de la compensación, que incluye el valor de mercado de la tierra y las mejoras en el terreno, así como el valor de los daños y perjuicios causados como resultado directo de la expropiación. En el caso de las carreteras nacionales, la DNTop, que es la autoridad de aplicación de las disposiciones de la Ley de Expropiación de Bienes Raíces, debe evaluar las pérdidas y los daños y perjuicios vinculados </w:t>
      </w:r>
      <w:r w:rsidR="00E57E6E">
        <w:rPr>
          <w:lang w:val="es-ES_tradnl"/>
        </w:rPr>
        <w:t>con</w:t>
      </w:r>
      <w:r w:rsidR="00E57E6E" w:rsidRPr="00976BFF">
        <w:rPr>
          <w:lang w:val="es-ES_tradnl"/>
        </w:rPr>
        <w:t xml:space="preserve"> </w:t>
      </w:r>
      <w:r w:rsidRPr="00976BFF">
        <w:rPr>
          <w:lang w:val="es-ES_tradnl"/>
        </w:rPr>
        <w:t>la expropiación y determinar una compensación justa.</w:t>
      </w:r>
    </w:p>
    <w:p w:rsidR="00404DDA" w:rsidRPr="00976BFF" w:rsidRDefault="00404DDA" w:rsidP="00EB3076">
      <w:pPr>
        <w:pStyle w:val="Annexmain"/>
        <w:ind w:firstLine="0"/>
        <w:rPr>
          <w:lang w:val="es-ES_tradnl"/>
        </w:rPr>
      </w:pPr>
      <w:r w:rsidRPr="00976BFF">
        <w:rPr>
          <w:b/>
          <w:lang w:val="es-ES_tradnl"/>
        </w:rPr>
        <w:t xml:space="preserve">La Dirección Nacional de Topografía </w:t>
      </w:r>
      <w:r w:rsidRPr="00976BFF">
        <w:rPr>
          <w:lang w:val="es-ES_tradnl"/>
        </w:rPr>
        <w:t>es responsable de la adquisición de servidumbres de paso y define la compensación que se pagar</w:t>
      </w:r>
      <w:r w:rsidR="00804107">
        <w:rPr>
          <w:lang w:val="es-ES_tradnl"/>
        </w:rPr>
        <w:t>á</w:t>
      </w:r>
      <w:r w:rsidRPr="00976BFF">
        <w:rPr>
          <w:lang w:val="es-ES_tradnl"/>
        </w:rPr>
        <w:t xml:space="preserve"> a las personas afectadas por procesos de expropiación, así como otras medidas para mitigar sus impactos. La DNTop asume estas responsabilidades en proyectos que entrañan obras de mantenimiento y rehabilitación vial, así como obras nuevas, que muy probablemente tendrán grandes impactos sociales. La DNTop cuenta en la actualidad con siete ingenieros principales de tiempo completo</w:t>
      </w:r>
      <w:r w:rsidR="00804107">
        <w:rPr>
          <w:lang w:val="es-ES_tradnl"/>
        </w:rPr>
        <w:t>,</w:t>
      </w:r>
      <w:r w:rsidRPr="00976BFF">
        <w:rPr>
          <w:lang w:val="es-ES_tradnl"/>
        </w:rPr>
        <w:t xml:space="preserve"> con experiencia en la </w:t>
      </w:r>
      <w:r w:rsidR="00804107">
        <w:rPr>
          <w:lang w:val="es-ES_tradnl"/>
        </w:rPr>
        <w:t>tasación</w:t>
      </w:r>
      <w:r w:rsidRPr="00976BFF">
        <w:rPr>
          <w:lang w:val="es-ES_tradnl"/>
        </w:rPr>
        <w:t xml:space="preserve"> de las pérdidas y los daños y perjuicios causados por la expropiación de tierras para proyectos viales. También tiene una </w:t>
      </w:r>
      <w:r w:rsidR="00A65656">
        <w:rPr>
          <w:lang w:val="es-ES_tradnl"/>
        </w:rPr>
        <w:t>u</w:t>
      </w:r>
      <w:r w:rsidR="00A65656" w:rsidRPr="00976BFF">
        <w:rPr>
          <w:lang w:val="es-ES_tradnl"/>
        </w:rPr>
        <w:t xml:space="preserve">nidad </w:t>
      </w:r>
      <w:r w:rsidR="00A65656">
        <w:rPr>
          <w:lang w:val="es-ES_tradnl"/>
        </w:rPr>
        <w:t>s</w:t>
      </w:r>
      <w:r w:rsidR="00A65656" w:rsidRPr="00976BFF">
        <w:rPr>
          <w:lang w:val="es-ES_tradnl"/>
        </w:rPr>
        <w:t xml:space="preserve">ocial </w:t>
      </w:r>
      <w:r w:rsidRPr="00976BFF">
        <w:rPr>
          <w:lang w:val="es-ES_tradnl"/>
        </w:rPr>
        <w:t xml:space="preserve">que se encarga de preparar los planes de reasentamiento cuando la adquisición de la servidumbre de paso ocasiona una reubicación. El especialista social que encabeza la </w:t>
      </w:r>
      <w:r w:rsidR="0011695E">
        <w:rPr>
          <w:lang w:val="es-ES_tradnl"/>
        </w:rPr>
        <w:t>u</w:t>
      </w:r>
      <w:r w:rsidR="0011695E" w:rsidRPr="00976BFF">
        <w:rPr>
          <w:lang w:val="es-ES_tradnl"/>
        </w:rPr>
        <w:t xml:space="preserve">nidad </w:t>
      </w:r>
      <w:r w:rsidRPr="00976BFF">
        <w:rPr>
          <w:lang w:val="es-ES_tradnl"/>
        </w:rPr>
        <w:t>está familiarizado con la política del Banco Mundial sobre reasentamiento involuntario y ha dirigido</w:t>
      </w:r>
      <w:r w:rsidR="00804107">
        <w:rPr>
          <w:lang w:val="es-ES_tradnl"/>
        </w:rPr>
        <w:t>, con éxito,</w:t>
      </w:r>
      <w:r w:rsidRPr="00976BFF">
        <w:rPr>
          <w:lang w:val="es-ES_tradnl"/>
        </w:rPr>
        <w:t xml:space="preserve"> la preparación y ejecución de planes de reasentamiento. </w:t>
      </w:r>
      <w:r w:rsidR="00804107">
        <w:rPr>
          <w:lang w:val="es-ES_tradnl"/>
        </w:rPr>
        <w:t>L</w:t>
      </w:r>
      <w:r w:rsidR="00804107" w:rsidRPr="00976BFF">
        <w:rPr>
          <w:lang w:val="es-ES_tradnl"/>
        </w:rPr>
        <w:t xml:space="preserve">os procedimientos existentes en este respecto </w:t>
      </w:r>
      <w:r w:rsidR="00804107">
        <w:rPr>
          <w:lang w:val="es-ES_tradnl"/>
        </w:rPr>
        <w:t>se consolidarán e</w:t>
      </w:r>
      <w:r w:rsidRPr="00976BFF">
        <w:rPr>
          <w:lang w:val="es-ES_tradnl"/>
        </w:rPr>
        <w:t xml:space="preserve">n el </w:t>
      </w:r>
      <w:r w:rsidR="0011695E">
        <w:rPr>
          <w:lang w:val="es-ES_tradnl"/>
        </w:rPr>
        <w:t>m</w:t>
      </w:r>
      <w:r w:rsidR="0011695E" w:rsidRPr="00976BFF">
        <w:rPr>
          <w:lang w:val="es-ES_tradnl"/>
        </w:rPr>
        <w:t xml:space="preserve">anual </w:t>
      </w:r>
      <w:r w:rsidRPr="00976BFF">
        <w:rPr>
          <w:lang w:val="es-ES_tradnl"/>
        </w:rPr>
        <w:t xml:space="preserve">de </w:t>
      </w:r>
      <w:r w:rsidR="0011695E">
        <w:rPr>
          <w:lang w:val="es-ES_tradnl"/>
        </w:rPr>
        <w:t>p</w:t>
      </w:r>
      <w:r w:rsidR="0011695E" w:rsidRPr="00976BFF">
        <w:rPr>
          <w:lang w:val="es-ES_tradnl"/>
        </w:rPr>
        <w:t xml:space="preserve">rocedimientos </w:t>
      </w:r>
      <w:r w:rsidRPr="00976BFF">
        <w:rPr>
          <w:lang w:val="es-ES_tradnl"/>
        </w:rPr>
        <w:t xml:space="preserve">de </w:t>
      </w:r>
      <w:r w:rsidR="0011695E">
        <w:rPr>
          <w:lang w:val="es-ES_tradnl"/>
        </w:rPr>
        <w:t>e</w:t>
      </w:r>
      <w:r w:rsidR="0011695E" w:rsidRPr="00976BFF">
        <w:rPr>
          <w:lang w:val="es-ES_tradnl"/>
        </w:rPr>
        <w:t xml:space="preserve">xpropiación </w:t>
      </w:r>
      <w:r w:rsidRPr="00976BFF">
        <w:rPr>
          <w:lang w:val="es-ES_tradnl"/>
        </w:rPr>
        <w:t xml:space="preserve">y </w:t>
      </w:r>
      <w:r w:rsidR="0011695E">
        <w:rPr>
          <w:lang w:val="es-ES_tradnl"/>
        </w:rPr>
        <w:t>g</w:t>
      </w:r>
      <w:r w:rsidR="0011695E" w:rsidRPr="00976BFF">
        <w:rPr>
          <w:lang w:val="es-ES_tradnl"/>
        </w:rPr>
        <w:t xml:space="preserve">estión </w:t>
      </w:r>
      <w:r w:rsidR="0011695E">
        <w:rPr>
          <w:lang w:val="es-ES_tradnl"/>
        </w:rPr>
        <w:t>s</w:t>
      </w:r>
      <w:r w:rsidR="0011695E" w:rsidRPr="00976BFF">
        <w:rPr>
          <w:lang w:val="es-ES_tradnl"/>
        </w:rPr>
        <w:t xml:space="preserve">ocial </w:t>
      </w:r>
      <w:r w:rsidRPr="00976BFF">
        <w:rPr>
          <w:lang w:val="es-ES_tradnl"/>
        </w:rPr>
        <w:t xml:space="preserve">(IVD-3). </w:t>
      </w:r>
    </w:p>
    <w:p w:rsidR="00404DDA" w:rsidRPr="00976BFF" w:rsidRDefault="00404DDA" w:rsidP="00EB3076">
      <w:pPr>
        <w:pStyle w:val="Annexmain"/>
        <w:ind w:firstLine="0"/>
        <w:rPr>
          <w:lang w:val="es-ES_tradnl"/>
        </w:rPr>
      </w:pPr>
      <w:r w:rsidRPr="00976BFF">
        <w:rPr>
          <w:b/>
          <w:lang w:val="es-ES_tradnl"/>
        </w:rPr>
        <w:t>Financiamiento.</w:t>
      </w:r>
      <w:r w:rsidRPr="00976BFF">
        <w:rPr>
          <w:lang w:val="es-ES_tradnl"/>
        </w:rPr>
        <w:t xml:space="preserve"> El MTOP proporciona los fondos para cubrir los costos de expropiación. En el caso de que las personas desplazadas sean ocupantes ilegales, pueden intervenir otras instituciones del Gobierno de Uruguay mediante la provisión de tierras. Los </w:t>
      </w:r>
      <w:r w:rsidR="00CF07C3">
        <w:rPr>
          <w:lang w:val="es-ES_tradnl"/>
        </w:rPr>
        <w:t>G</w:t>
      </w:r>
      <w:r w:rsidR="00CF07C3" w:rsidRPr="00976BFF">
        <w:rPr>
          <w:lang w:val="es-ES_tradnl"/>
        </w:rPr>
        <w:t xml:space="preserve">obiernos </w:t>
      </w:r>
      <w:r w:rsidRPr="00976BFF">
        <w:rPr>
          <w:lang w:val="es-ES_tradnl"/>
        </w:rPr>
        <w:t xml:space="preserve">municipales pueden respaldar el proceso de reasentamiento en caso de existir una jurisdicción compartida. Como se mencionó </w:t>
      </w:r>
      <w:r w:rsidRPr="00976BFF">
        <w:rPr>
          <w:i/>
          <w:lang w:val="es-ES_tradnl"/>
        </w:rPr>
        <w:t>supra</w:t>
      </w:r>
      <w:r w:rsidRPr="00976BFF">
        <w:rPr>
          <w:lang w:val="es-ES_tradnl"/>
        </w:rPr>
        <w:t>, los proyectos de mantenimiento y rehabilitación vial por lo general no requieren expropiación, salvo cuando sea necesario realizar pequeñas modificaciones en el reordenamiento vial o construir puentes nuevos. En estos casos, solo se ven afectadas franjas estrechas de tierra y el costo de su expropiación representa, generalmente, una proporción pequeña del costo total del proyecto.</w:t>
      </w:r>
    </w:p>
    <w:p w:rsidR="00404DDA" w:rsidRPr="00976BFF" w:rsidRDefault="00404DDA" w:rsidP="00EB3076">
      <w:pPr>
        <w:pStyle w:val="Annexmain"/>
        <w:ind w:firstLine="0"/>
        <w:rPr>
          <w:lang w:val="es-ES_tradnl"/>
        </w:rPr>
      </w:pPr>
      <w:r w:rsidRPr="00976BFF">
        <w:rPr>
          <w:b/>
          <w:lang w:val="es-ES_tradnl"/>
        </w:rPr>
        <w:t>Solución de las controversias.</w:t>
      </w:r>
      <w:r w:rsidRPr="00976BFF">
        <w:rPr>
          <w:lang w:val="es-ES_tradnl"/>
        </w:rPr>
        <w:t xml:space="preserve"> La mayoría de los casos de expropiación se solucionan de manera amistosa. El escaso número de controversias parece indicar que los procedimientos de la DNTop permiten realizar ofer</w:t>
      </w:r>
      <w:r w:rsidR="001C47AE">
        <w:rPr>
          <w:lang w:val="es-ES_tradnl"/>
        </w:rPr>
        <w:t xml:space="preserve">tas de compensación adecuadas. </w:t>
      </w:r>
    </w:p>
    <w:p w:rsidR="00404DDA" w:rsidRPr="00976BFF" w:rsidRDefault="00404DDA" w:rsidP="00EB3076">
      <w:pPr>
        <w:rPr>
          <w:lang w:val="es-ES_tradnl"/>
        </w:rPr>
      </w:pPr>
    </w:p>
    <w:p w:rsidR="00404DDA" w:rsidRPr="00976BFF" w:rsidRDefault="00404DDA" w:rsidP="00EB3076">
      <w:pPr>
        <w:pStyle w:val="Heading2"/>
        <w:numPr>
          <w:ilvl w:val="1"/>
          <w:numId w:val="13"/>
        </w:numPr>
        <w:spacing w:before="0" w:beforeAutospacing="0"/>
        <w:ind w:firstLine="0"/>
        <w:rPr>
          <w:rFonts w:ascii="Times New Roman" w:hAnsi="Times New Roman" w:cs="Times New Roman"/>
          <w:b/>
          <w:sz w:val="22"/>
          <w:szCs w:val="22"/>
          <w:lang w:val="es-ES_tradnl"/>
        </w:rPr>
      </w:pPr>
      <w:bookmarkStart w:id="102" w:name="_Toc344927219"/>
      <w:bookmarkStart w:id="103" w:name="_Toc327540018"/>
      <w:r w:rsidRPr="00976BFF">
        <w:rPr>
          <w:rFonts w:ascii="Times New Roman" w:hAnsi="Times New Roman" w:cs="Times New Roman"/>
          <w:b/>
          <w:sz w:val="22"/>
          <w:szCs w:val="22"/>
          <w:lang w:val="es-ES_tradnl"/>
        </w:rPr>
        <w:t>EVALUACIÓN DE LOS SISTEMAS DE GESTIÓN AMBIENTAL Y SOCIAL</w:t>
      </w:r>
      <w:bookmarkEnd w:id="102"/>
      <w:r w:rsidRPr="00976BFF">
        <w:rPr>
          <w:rFonts w:ascii="Times New Roman" w:hAnsi="Times New Roman" w:cs="Times New Roman"/>
          <w:b/>
          <w:sz w:val="22"/>
          <w:szCs w:val="22"/>
          <w:lang w:val="es-ES_tradnl"/>
        </w:rPr>
        <w:t xml:space="preserve"> </w:t>
      </w:r>
      <w:bookmarkEnd w:id="103"/>
    </w:p>
    <w:p w:rsidR="00404DDA" w:rsidRPr="00976BFF" w:rsidRDefault="00404DDA" w:rsidP="00EB3076">
      <w:pPr>
        <w:pStyle w:val="Heading3"/>
        <w:rPr>
          <w:lang w:val="es-ES_tradnl"/>
        </w:rPr>
      </w:pPr>
      <w:bookmarkStart w:id="104" w:name="_Toc327540019"/>
      <w:bookmarkStart w:id="105" w:name="_Toc344927220"/>
      <w:r w:rsidRPr="00976BFF">
        <w:rPr>
          <w:lang w:val="es-ES_tradnl"/>
        </w:rPr>
        <w:t>El sistema de gestión ambiental</w:t>
      </w:r>
      <w:bookmarkEnd w:id="104"/>
      <w:bookmarkEnd w:id="105"/>
    </w:p>
    <w:p w:rsidR="00404DDA" w:rsidRPr="00976BFF" w:rsidRDefault="00404DDA" w:rsidP="00EB3076">
      <w:pPr>
        <w:pStyle w:val="Annexmain"/>
        <w:ind w:firstLine="0"/>
        <w:rPr>
          <w:lang w:val="es-ES_tradnl"/>
        </w:rPr>
      </w:pPr>
      <w:r w:rsidRPr="00976BFF">
        <w:rPr>
          <w:b/>
          <w:lang w:val="es-ES_tradnl"/>
        </w:rPr>
        <w:t>Marco regulatorio e instrumentos ambientales</w:t>
      </w:r>
      <w:r w:rsidRPr="000B5989">
        <w:rPr>
          <w:b/>
          <w:lang w:val="es-ES_tradnl"/>
        </w:rPr>
        <w:t>.</w:t>
      </w:r>
      <w:r w:rsidRPr="00976BFF">
        <w:rPr>
          <w:lang w:val="es-ES_tradnl"/>
        </w:rPr>
        <w:t xml:space="preserve"> El </w:t>
      </w:r>
      <w:r w:rsidR="008A1019">
        <w:rPr>
          <w:lang w:val="es-ES_tradnl"/>
        </w:rPr>
        <w:t>programa</w:t>
      </w:r>
      <w:r w:rsidRPr="00976BFF">
        <w:rPr>
          <w:lang w:val="es-ES_tradnl"/>
        </w:rPr>
        <w:t xml:space="preserve"> se rige por la legislación vigente e incluye instrumentos ambientales eficaces para seleccionar subproyectos, evaluar y supervisar la operación, lo que excede los requisitos actuales de la </w:t>
      </w:r>
      <w:r w:rsidR="008877A5">
        <w:rPr>
          <w:lang w:val="es-ES_tradnl"/>
        </w:rPr>
        <w:t>l</w:t>
      </w:r>
      <w:r w:rsidR="008877A5" w:rsidRPr="00976BFF">
        <w:rPr>
          <w:lang w:val="es-ES_tradnl"/>
        </w:rPr>
        <w:t xml:space="preserve">ey </w:t>
      </w:r>
      <w:r w:rsidRPr="00976BFF">
        <w:rPr>
          <w:lang w:val="es-ES_tradnl"/>
        </w:rPr>
        <w:t xml:space="preserve">16466 (evaluación del impacto ambiental) y su </w:t>
      </w:r>
      <w:r w:rsidR="008877A5">
        <w:rPr>
          <w:lang w:val="es-ES_tradnl"/>
        </w:rPr>
        <w:t>d</w:t>
      </w:r>
      <w:r w:rsidR="008877A5" w:rsidRPr="00976BFF">
        <w:rPr>
          <w:lang w:val="es-ES_tradnl"/>
        </w:rPr>
        <w:t xml:space="preserve">ecreto </w:t>
      </w:r>
      <w:r w:rsidRPr="00976BFF">
        <w:rPr>
          <w:lang w:val="es-ES_tradnl"/>
        </w:rPr>
        <w:t xml:space="preserve">reglamentario n.° 349/2005 (véase la sección II). Hay más de 50 leyes, decretos y otras reglamentaciones que se aplican a la gestión ambiental del </w:t>
      </w:r>
      <w:r w:rsidR="008A1019">
        <w:rPr>
          <w:lang w:val="es-ES_tradnl"/>
        </w:rPr>
        <w:t>programa</w:t>
      </w:r>
      <w:r w:rsidRPr="00976BFF">
        <w:rPr>
          <w:lang w:val="es-ES_tradnl"/>
        </w:rPr>
        <w:t xml:space="preserve">. Este marco regulatorio brinda un grado razonable de seguridad de que el medio ambiente estará protegido contra cualquier impacto negativo importante derivado de la ejecución del </w:t>
      </w:r>
      <w:r w:rsidR="008A1019">
        <w:rPr>
          <w:lang w:val="es-ES_tradnl"/>
        </w:rPr>
        <w:t>programa</w:t>
      </w:r>
      <w:r w:rsidRPr="00976BFF">
        <w:rPr>
          <w:lang w:val="es-ES_tradnl"/>
        </w:rPr>
        <w:t xml:space="preserve">. En el marco de esta legislación integral se establece la obligación de realizar la evaluación del impacto ambiental, y sus disposiciones abarcan la protección de los bosques nativos y las especies en peligro de extinción, el control de la contaminación del agua y la aplicación de medidas de higiene y seguridad en los emplazamientos de las obras. De todos modos, la evaluación permitió establecer que se necesitan reglamentaciones en materia de emisiones </w:t>
      </w:r>
      <w:r w:rsidR="00B647E4">
        <w:rPr>
          <w:lang w:val="es-ES_tradnl"/>
        </w:rPr>
        <w:t>en</w:t>
      </w:r>
      <w:r w:rsidRPr="00976BFF">
        <w:rPr>
          <w:lang w:val="es-ES_tradnl"/>
        </w:rPr>
        <w:t xml:space="preserve"> la atmósfera y gestión de desechos peligrosos.</w:t>
      </w:r>
    </w:p>
    <w:p w:rsidR="00404DDA" w:rsidRPr="00976BFF" w:rsidRDefault="00404DDA" w:rsidP="00EB3076">
      <w:pPr>
        <w:pStyle w:val="Annexmain"/>
        <w:ind w:firstLine="0"/>
        <w:rPr>
          <w:lang w:val="es-ES_tradnl"/>
        </w:rPr>
      </w:pPr>
      <w:r w:rsidRPr="00976BFF">
        <w:rPr>
          <w:lang w:val="es-ES_tradnl"/>
        </w:rPr>
        <w:t xml:space="preserve">En </w:t>
      </w:r>
      <w:r w:rsidR="009C4C7A">
        <w:rPr>
          <w:lang w:val="es-ES_tradnl"/>
        </w:rPr>
        <w:t>lo que respecta a</w:t>
      </w:r>
      <w:r w:rsidRPr="00976BFF">
        <w:rPr>
          <w:lang w:val="es-ES_tradnl"/>
        </w:rPr>
        <w:t xml:space="preserve"> los instrumentos ambientales, el manual de gestión ambiental de la DNV es una referencia muy respetada tanto internamente (en el MTOP) como externamente (</w:t>
      </w:r>
      <w:r w:rsidR="009C4C7A">
        <w:rPr>
          <w:lang w:val="es-ES_tradnl"/>
        </w:rPr>
        <w:t>en el MVOTMA y</w:t>
      </w:r>
      <w:r w:rsidRPr="00976BFF">
        <w:rPr>
          <w:lang w:val="es-ES_tradnl"/>
        </w:rPr>
        <w:t xml:space="preserve"> el M</w:t>
      </w:r>
      <w:r w:rsidR="009C4C7A">
        <w:rPr>
          <w:lang w:val="es-ES_tradnl"/>
        </w:rPr>
        <w:t>GAP</w:t>
      </w:r>
      <w:r w:rsidRPr="00976BFF">
        <w:rPr>
          <w:lang w:val="es-ES_tradnl"/>
        </w:rPr>
        <w:t xml:space="preserve"> </w:t>
      </w:r>
      <w:r w:rsidR="009C4C7A">
        <w:rPr>
          <w:lang w:val="es-ES_tradnl"/>
        </w:rPr>
        <w:t xml:space="preserve">y por </w:t>
      </w:r>
      <w:r w:rsidRPr="00976BFF">
        <w:rPr>
          <w:lang w:val="es-ES_tradnl"/>
        </w:rPr>
        <w:t>los contratistas). El Banco Mundial también consideró que el manual era aceptable en el marco de anteriores operaciones de transporte y el desempeño ambiental ha recibido una calificación satisfactoria. Los proce</w:t>
      </w:r>
      <w:r w:rsidR="009C4C7A">
        <w:rPr>
          <w:lang w:val="es-ES_tradnl"/>
        </w:rPr>
        <w:t>dimient</w:t>
      </w:r>
      <w:r w:rsidRPr="00976BFF">
        <w:rPr>
          <w:lang w:val="es-ES_tradnl"/>
        </w:rPr>
        <w:t xml:space="preserve">os que se establecen en el manual ambiental son más adecuados que los que se utilizan como parámetros de referencia a nivel internacional. En el curso de la evaluación de los sistemas ambientales y sociales se </w:t>
      </w:r>
      <w:r w:rsidR="009C4C7A">
        <w:rPr>
          <w:lang w:val="es-ES_tradnl"/>
        </w:rPr>
        <w:t>llevó a cabo un examen</w:t>
      </w:r>
      <w:r w:rsidRPr="00976BFF">
        <w:rPr>
          <w:lang w:val="es-ES_tradnl"/>
        </w:rPr>
        <w:t xml:space="preserve"> </w:t>
      </w:r>
      <w:r w:rsidR="009C4C7A">
        <w:rPr>
          <w:lang w:val="es-ES_tradnl"/>
        </w:rPr>
        <w:t>d</w:t>
      </w:r>
      <w:r w:rsidRPr="00976BFF">
        <w:rPr>
          <w:lang w:val="es-ES_tradnl"/>
        </w:rPr>
        <w:t xml:space="preserve">el manual ambiental y se </w:t>
      </w:r>
      <w:r w:rsidR="009C4C7A">
        <w:rPr>
          <w:lang w:val="es-ES_tradnl"/>
        </w:rPr>
        <w:t>considera</w:t>
      </w:r>
      <w:r w:rsidRPr="00976BFF">
        <w:rPr>
          <w:lang w:val="es-ES_tradnl"/>
        </w:rPr>
        <w:t xml:space="preserve"> que </w:t>
      </w:r>
      <w:r w:rsidR="009C4C7A">
        <w:rPr>
          <w:lang w:val="es-ES_tradnl"/>
        </w:rPr>
        <w:t>proporcionará</w:t>
      </w:r>
      <w:r w:rsidRPr="00976BFF">
        <w:rPr>
          <w:lang w:val="es-ES_tradnl"/>
        </w:rPr>
        <w:t xml:space="preserve"> un marco de gestión ambiental pertinente y satisfactorio, sobre la base de los principios fundamentales de la OP 9.00. No obstante, es necesario actualizar algunas secciones y esa actividad se llevará a cabo a través de uno de los resultados del IVD-3.</w:t>
      </w:r>
      <w:r w:rsidRPr="00976BFF">
        <w:rPr>
          <w:highlight w:val="yellow"/>
          <w:lang w:val="es-ES_tradnl"/>
        </w:rPr>
        <w:t xml:space="preserve"> </w:t>
      </w:r>
    </w:p>
    <w:p w:rsidR="00404DDA" w:rsidRPr="00976BFF" w:rsidRDefault="00404DDA" w:rsidP="00EB3076">
      <w:pPr>
        <w:pStyle w:val="Annexmain"/>
        <w:ind w:firstLine="0"/>
        <w:rPr>
          <w:lang w:val="es-ES_tradnl"/>
        </w:rPr>
      </w:pPr>
      <w:r w:rsidRPr="00976BFF">
        <w:rPr>
          <w:lang w:val="es-ES_tradnl"/>
        </w:rPr>
        <w:t xml:space="preserve">Aunque existen pocos contratistas de obras viales (menos de 50 empresas), se observa un amplio margen de variación en el cumplimiento ambiental entre los contratistas y las obras propias de la DNV y se prevé resolver esta cuestión mediante el fortalecimiento de la gestión ambiental y la supervisión. Los contratos de obras de CVU se rigen por el manual ambiental de CVU, que se basa en el manual ambiental de la DNV. CVU requiere, además, que sus contratistas tengan las certificaciones ISO 14000, 9000 y 18000. Asimismo, en la actualidad se llevan a cabo consultas sobre un nuevo manual de prácticas óptimas en materia de gestión ambiental. Se considera que estas </w:t>
      </w:r>
      <w:r w:rsidR="009C4C7A">
        <w:rPr>
          <w:lang w:val="es-ES_tradnl"/>
        </w:rPr>
        <w:t>medidas</w:t>
      </w:r>
      <w:r w:rsidRPr="00976BFF">
        <w:rPr>
          <w:lang w:val="es-ES_tradnl"/>
        </w:rPr>
        <w:t xml:space="preserve"> son </w:t>
      </w:r>
      <w:r w:rsidR="004A26E3" w:rsidRPr="00976BFF">
        <w:rPr>
          <w:lang w:val="es-ES_tradnl"/>
        </w:rPr>
        <w:t>muy</w:t>
      </w:r>
      <w:r w:rsidRPr="00976BFF">
        <w:rPr>
          <w:lang w:val="es-ES_tradnl"/>
        </w:rPr>
        <w:t xml:space="preserve"> importantes para mejorar los procesos de gestión ambiental de la empresa concesionaria.</w:t>
      </w:r>
    </w:p>
    <w:p w:rsidR="00404DDA" w:rsidRPr="00976BFF" w:rsidRDefault="00404DDA" w:rsidP="00EB3076">
      <w:pPr>
        <w:pStyle w:val="Annexmain"/>
        <w:ind w:firstLine="0"/>
        <w:rPr>
          <w:lang w:val="es-ES_tradnl"/>
        </w:rPr>
      </w:pPr>
      <w:r w:rsidRPr="00976BFF">
        <w:rPr>
          <w:b/>
          <w:lang w:val="es-ES_tradnl"/>
        </w:rPr>
        <w:t>Concordancia con la OP 9.00.</w:t>
      </w:r>
      <w:r w:rsidRPr="00976BFF">
        <w:rPr>
          <w:lang w:val="es-ES_tradnl"/>
        </w:rPr>
        <w:t xml:space="preserve"> En términos generales, las prácticas de gestión ambiental de la DNV son adecuadas y Uruguay cuenta con amplias reglamentaciones en materia ambiental y de higiene y seguridad. Asimismo, el marco de gestión ambiental del </w:t>
      </w:r>
      <w:r w:rsidR="008A1019">
        <w:rPr>
          <w:lang w:val="es-ES_tradnl"/>
        </w:rPr>
        <w:t>programa</w:t>
      </w:r>
      <w:r w:rsidRPr="00976BFF">
        <w:rPr>
          <w:lang w:val="es-ES_tradnl"/>
        </w:rPr>
        <w:t xml:space="preserve">, incluidas algunas disposiciones específicas para los contratos financiados por el BID, es apropiado para gestionar los riesgos ambientales derivados de </w:t>
      </w:r>
      <w:r w:rsidR="009C4C7A">
        <w:rPr>
          <w:lang w:val="es-ES_tradnl"/>
        </w:rPr>
        <w:t>su</w:t>
      </w:r>
      <w:r w:rsidRPr="00976BFF">
        <w:rPr>
          <w:lang w:val="es-ES_tradnl"/>
        </w:rPr>
        <w:t xml:space="preserve">s actividades. Además, el </w:t>
      </w:r>
      <w:r w:rsidR="008A1019">
        <w:rPr>
          <w:lang w:val="es-ES_tradnl"/>
        </w:rPr>
        <w:t>programa</w:t>
      </w:r>
      <w:r w:rsidRPr="00976BFF">
        <w:rPr>
          <w:lang w:val="es-ES_tradnl"/>
        </w:rPr>
        <w:t xml:space="preserve"> se ajusta a las reglamentaciones generales sobre medio ambiente, higiene y seguridad que se aplican en el país. Las diferencias y los riesgos identificados respecto de la OP 9.00 se abordarán a través del Plan de Acción del </w:t>
      </w:r>
      <w:r w:rsidR="008A1019">
        <w:rPr>
          <w:lang w:val="es-ES_tradnl"/>
        </w:rPr>
        <w:t>programa</w:t>
      </w:r>
      <w:r w:rsidRPr="00976BFF">
        <w:rPr>
          <w:lang w:val="es-ES_tradnl"/>
        </w:rPr>
        <w:t xml:space="preserve"> y el marco de resultados que se han propuesto (para más detalles, véa</w:t>
      </w:r>
      <w:r w:rsidR="009C4C7A">
        <w:rPr>
          <w:lang w:val="es-ES_tradnl"/>
        </w:rPr>
        <w:t>n</w:t>
      </w:r>
      <w:r w:rsidRPr="00976BFF">
        <w:rPr>
          <w:lang w:val="es-ES_tradnl"/>
        </w:rPr>
        <w:t xml:space="preserve">se la sección IV y la evaluación de los sistemas ambientales y sociales) e incluyen, entre otras, las siguientes actividades: i) formalizar mecanismos de reclamación y gestión de la comunicación; ii) incorporar personal especializado en medio ambiente en la </w:t>
      </w:r>
      <w:r w:rsidR="00423929">
        <w:rPr>
          <w:lang w:val="es-ES_tradnl"/>
        </w:rPr>
        <w:t>UAV</w:t>
      </w:r>
      <w:r w:rsidRPr="00976BFF">
        <w:rPr>
          <w:lang w:val="es-ES_tradnl"/>
        </w:rPr>
        <w:t xml:space="preserve">; iii) aumentar la capacidad ambiental de los equipos de supervisión, y iv) realizar auditorías ambientales cada seis meses para supervisar la ejecución del </w:t>
      </w:r>
      <w:r w:rsidR="00D61A8A">
        <w:rPr>
          <w:lang w:val="es-ES_tradnl"/>
        </w:rPr>
        <w:t>P</w:t>
      </w:r>
      <w:r w:rsidR="00D61A8A" w:rsidRPr="00976BFF">
        <w:rPr>
          <w:lang w:val="es-ES_tradnl"/>
        </w:rPr>
        <w:t xml:space="preserve">lan </w:t>
      </w:r>
      <w:r w:rsidRPr="00976BFF">
        <w:rPr>
          <w:lang w:val="es-ES_tradnl"/>
        </w:rPr>
        <w:t xml:space="preserve">de </w:t>
      </w:r>
      <w:r w:rsidR="00D61A8A">
        <w:rPr>
          <w:lang w:val="es-ES_tradnl"/>
        </w:rPr>
        <w:t>A</w:t>
      </w:r>
      <w:r w:rsidR="00D61A8A" w:rsidRPr="00976BFF">
        <w:rPr>
          <w:lang w:val="es-ES_tradnl"/>
        </w:rPr>
        <w:t>cción</w:t>
      </w:r>
      <w:r w:rsidRPr="00976BFF">
        <w:rPr>
          <w:lang w:val="es-ES_tradnl"/>
        </w:rPr>
        <w:t xml:space="preserve">. Asimismo, como parte del marco de resultados (IVD-3), se actualizará el manual ambiental de la DNV </w:t>
      </w:r>
      <w:r w:rsidR="008A733C">
        <w:rPr>
          <w:lang w:val="es-ES_tradnl"/>
        </w:rPr>
        <w:t xml:space="preserve">para </w:t>
      </w:r>
      <w:r w:rsidRPr="00976BFF">
        <w:rPr>
          <w:lang w:val="es-ES_tradnl"/>
        </w:rPr>
        <w:t>incluir las nuevas actividades propuestas para esta operación.</w:t>
      </w:r>
    </w:p>
    <w:p w:rsidR="00404DDA" w:rsidRPr="00976BFF" w:rsidRDefault="00404DDA" w:rsidP="00EB3076">
      <w:pPr>
        <w:pStyle w:val="Annexmain"/>
        <w:ind w:firstLine="0"/>
        <w:rPr>
          <w:lang w:val="es-ES_tradnl"/>
        </w:rPr>
      </w:pPr>
      <w:r w:rsidRPr="00976BFF">
        <w:rPr>
          <w:b/>
          <w:lang w:val="es-ES_tradnl"/>
        </w:rPr>
        <w:t>Capacidad y desempeño.</w:t>
      </w:r>
      <w:r w:rsidRPr="00976BFF">
        <w:rPr>
          <w:lang w:val="es-ES_tradnl"/>
        </w:rPr>
        <w:t xml:space="preserve"> La </w:t>
      </w:r>
      <w:r w:rsidR="00423929">
        <w:rPr>
          <w:lang w:val="es-ES_tradnl"/>
        </w:rPr>
        <w:t>UAV</w:t>
      </w:r>
      <w:r w:rsidR="00423929" w:rsidRPr="00976BFF">
        <w:rPr>
          <w:lang w:val="es-ES_tradnl"/>
        </w:rPr>
        <w:t xml:space="preserve"> </w:t>
      </w:r>
      <w:r w:rsidRPr="00976BFF">
        <w:rPr>
          <w:lang w:val="es-ES_tradnl"/>
        </w:rPr>
        <w:t xml:space="preserve">carece de especialistas ambientales y tiene poco personal. A pesar de incluir profesionales altamente capacitados (ingenieros) y personal emprendedor, </w:t>
      </w:r>
      <w:r w:rsidR="009C4C7A">
        <w:rPr>
          <w:lang w:val="es-ES_tradnl"/>
        </w:rPr>
        <w:t>carece de los</w:t>
      </w:r>
      <w:r w:rsidRPr="00976BFF">
        <w:rPr>
          <w:lang w:val="es-ES_tradnl"/>
        </w:rPr>
        <w:t xml:space="preserve"> recursos humanos </w:t>
      </w:r>
      <w:r w:rsidR="009C4C7A">
        <w:rPr>
          <w:lang w:val="es-ES_tradnl"/>
        </w:rPr>
        <w:t xml:space="preserve">necesarios </w:t>
      </w:r>
      <w:r w:rsidRPr="00976BFF">
        <w:rPr>
          <w:lang w:val="es-ES_tradnl"/>
        </w:rPr>
        <w:t xml:space="preserve">para llevar a cabo una minuciosa supervisión ambiental de las obras. En junio de 2011, la </w:t>
      </w:r>
      <w:r w:rsidR="008A733C">
        <w:rPr>
          <w:lang w:val="es-ES_tradnl"/>
        </w:rPr>
        <w:t>u</w:t>
      </w:r>
      <w:r w:rsidR="008A733C" w:rsidRPr="00976BFF">
        <w:rPr>
          <w:lang w:val="es-ES_tradnl"/>
        </w:rPr>
        <w:t xml:space="preserve">nidad </w:t>
      </w:r>
      <w:r w:rsidRPr="00976BFF">
        <w:rPr>
          <w:lang w:val="es-ES_tradnl"/>
        </w:rPr>
        <w:t xml:space="preserve">contaba con cuatro profesionales, de los cuales solo uno se dedicaba </w:t>
      </w:r>
      <w:r w:rsidR="008A733C">
        <w:rPr>
          <w:lang w:val="es-ES_tradnl"/>
        </w:rPr>
        <w:t xml:space="preserve">a </w:t>
      </w:r>
      <w:r w:rsidRPr="00976BFF">
        <w:rPr>
          <w:lang w:val="es-ES_tradnl"/>
        </w:rPr>
        <w:t xml:space="preserve">tiempo completo a cuestiones de higiene y seguridad, mientras que los otros, incluido el coordinador de la </w:t>
      </w:r>
      <w:r w:rsidR="008A733C">
        <w:rPr>
          <w:lang w:val="es-ES_tradnl"/>
        </w:rPr>
        <w:t>u</w:t>
      </w:r>
      <w:r w:rsidR="008A733C" w:rsidRPr="00976BFF">
        <w:rPr>
          <w:lang w:val="es-ES_tradnl"/>
        </w:rPr>
        <w:t>nidad</w:t>
      </w:r>
      <w:r w:rsidRPr="00976BFF">
        <w:rPr>
          <w:lang w:val="es-ES_tradnl"/>
        </w:rPr>
        <w:t xml:space="preserve">, compartían otras responsabilidades dentro de la DNV. Además, el personal de la </w:t>
      </w:r>
      <w:r w:rsidR="00423929">
        <w:rPr>
          <w:lang w:val="es-ES_tradnl"/>
        </w:rPr>
        <w:t>UAV</w:t>
      </w:r>
      <w:r w:rsidR="00423929" w:rsidRPr="00976BFF">
        <w:rPr>
          <w:lang w:val="es-ES_tradnl"/>
        </w:rPr>
        <w:t xml:space="preserve"> </w:t>
      </w:r>
      <w:r w:rsidRPr="00976BFF">
        <w:rPr>
          <w:lang w:val="es-ES_tradnl"/>
        </w:rPr>
        <w:t>no ha recibido capacitación reciente sobre cuestiones ambientales. La supervisión y el seguimiento ambiental de las obras viales está en manos de ingenieros civiles o viales (directores de obra y sus asistentes técnicos) que se encargan de la supervisión técnica y administrativa. Estos ingenieros, que forman parte de la Gerencia de Construcciones, utilizan una lista de chequeo para llevar a cabo la supervisión ambiental y social de los contratos. Por lo tanto, las actividades de fortalecimiento de la capacidad ambiental y la participación de un especialista ambiental permitirán acrecentar la capacidad a</w:t>
      </w:r>
      <w:r w:rsidR="009C4C7A">
        <w:rPr>
          <w:lang w:val="es-ES_tradnl"/>
        </w:rPr>
        <w:t>mbiental de la DNV, tanto en la</w:t>
      </w:r>
      <w:r w:rsidRPr="00976BFF">
        <w:rPr>
          <w:lang w:val="es-ES_tradnl"/>
        </w:rPr>
        <w:t xml:space="preserve"> oficina central como en las regionales.</w:t>
      </w:r>
    </w:p>
    <w:p w:rsidR="00404DDA" w:rsidRPr="00976BFF" w:rsidRDefault="00404DDA" w:rsidP="00EB3076">
      <w:pPr>
        <w:pStyle w:val="Heading3"/>
        <w:rPr>
          <w:lang w:val="es-ES_tradnl"/>
        </w:rPr>
      </w:pPr>
      <w:bookmarkStart w:id="106" w:name="_Toc344927221"/>
      <w:r w:rsidRPr="00976BFF">
        <w:rPr>
          <w:lang w:val="es-ES_tradnl"/>
        </w:rPr>
        <w:t>El sistema de gestión social</w:t>
      </w:r>
      <w:bookmarkEnd w:id="106"/>
    </w:p>
    <w:p w:rsidR="00404DDA" w:rsidRPr="00976BFF" w:rsidRDefault="00404DDA" w:rsidP="00EB3076">
      <w:pPr>
        <w:pStyle w:val="Annexmain"/>
        <w:ind w:firstLine="0"/>
        <w:rPr>
          <w:lang w:val="es-ES_tradnl"/>
        </w:rPr>
      </w:pPr>
      <w:r w:rsidRPr="00976BFF">
        <w:rPr>
          <w:b/>
          <w:lang w:val="es-ES_tradnl"/>
        </w:rPr>
        <w:t>Marco regulatorio.</w:t>
      </w:r>
      <w:r w:rsidRPr="00976BFF">
        <w:rPr>
          <w:lang w:val="es-ES_tradnl"/>
        </w:rPr>
        <w:t xml:space="preserve"> Se considera que el marco regulatorio para la gestión de las expropiaciones y los reasentamientos brinda un grado razonable de seguridad de que se respetan los principios fundamentales conexos de la OP/BP 9.00, incluidas las disposiciones específicas establecidas para las actividades financiadas por el BID que </w:t>
      </w:r>
      <w:r w:rsidR="009C4C7A">
        <w:rPr>
          <w:lang w:val="es-ES_tradnl"/>
        </w:rPr>
        <w:t>forman parte d</w:t>
      </w:r>
      <w:r w:rsidRPr="00976BFF">
        <w:rPr>
          <w:lang w:val="es-ES_tradnl"/>
        </w:rPr>
        <w:t xml:space="preserve">el </w:t>
      </w:r>
      <w:r w:rsidR="008A1019">
        <w:rPr>
          <w:lang w:val="es-ES_tradnl"/>
        </w:rPr>
        <w:t>programa</w:t>
      </w:r>
      <w:r w:rsidRPr="00976BFF">
        <w:rPr>
          <w:lang w:val="es-ES_tradnl"/>
        </w:rPr>
        <w:t xml:space="preserve">. En caso de ser necesaria </w:t>
      </w:r>
      <w:r w:rsidR="009C4C7A">
        <w:rPr>
          <w:lang w:val="es-ES_tradnl"/>
        </w:rPr>
        <w:t>un</w:t>
      </w:r>
      <w:r w:rsidRPr="00976BFF">
        <w:rPr>
          <w:lang w:val="es-ES_tradnl"/>
        </w:rPr>
        <w:t>a expropiación, la DNTop identifica todas las pérdidas y los daños y perjuicios</w:t>
      </w:r>
      <w:r w:rsidR="009C4C7A">
        <w:rPr>
          <w:lang w:val="es-ES_tradnl"/>
        </w:rPr>
        <w:t xml:space="preserve"> que puede ocasionar</w:t>
      </w:r>
      <w:r w:rsidRPr="00976BFF">
        <w:rPr>
          <w:lang w:val="es-ES_tradnl"/>
        </w:rPr>
        <w:t xml:space="preserve"> el proceso de expropiación</w:t>
      </w:r>
      <w:r w:rsidR="009C4C7A">
        <w:rPr>
          <w:lang w:val="es-ES_tradnl"/>
        </w:rPr>
        <w:t xml:space="preserve"> </w:t>
      </w:r>
      <w:r w:rsidR="009C4C7A" w:rsidRPr="00976BFF">
        <w:rPr>
          <w:lang w:val="es-ES_tradnl"/>
        </w:rPr>
        <w:t>a las personas afectadas</w:t>
      </w:r>
      <w:r w:rsidRPr="00976BFF">
        <w:rPr>
          <w:lang w:val="es-ES_tradnl"/>
        </w:rPr>
        <w:t xml:space="preserve"> (propietarios con título, arrendatarios con contrato, ocupantes con permiso y ocupantes con derechos posesorios derivados de la ocupación de la tierra durante más de 10 años) y proporciona una compensación acorde a las disposiciones de la Ley de Expropiación de Bienes Raíces que tiene en cuenta todos los factores pertinentes, incluidos los costos de transacci</w:t>
      </w:r>
      <w:r w:rsidR="006A7923">
        <w:rPr>
          <w:lang w:val="es-ES_tradnl"/>
        </w:rPr>
        <w:t>ón</w:t>
      </w:r>
      <w:r w:rsidRPr="00976BFF">
        <w:rPr>
          <w:lang w:val="es-ES_tradnl"/>
        </w:rPr>
        <w:t>, las pérdidas causadas por la interrupción de las actividades, la pérdida de valor de la propiedad debido a la contaminación y las vibraciones, la perturbación de actividades productivas, las pérdidas de productividad, los costos de reubicación, la pérdida de funcionalidad de la propiedad afectada, y el costo de las obras civiles para reacondicionar parcialmente la propiedad afectada. La mayoría de los casos de expropiación se solucionan de manera amistosa, lo que indica que los proce</w:t>
      </w:r>
      <w:r w:rsidR="009C4C7A">
        <w:rPr>
          <w:lang w:val="es-ES_tradnl"/>
        </w:rPr>
        <w:t>dimient</w:t>
      </w:r>
      <w:r w:rsidRPr="00976BFF">
        <w:rPr>
          <w:lang w:val="es-ES_tradnl"/>
        </w:rPr>
        <w:t>os de compensación s</w:t>
      </w:r>
      <w:r w:rsidR="009C4C7A">
        <w:rPr>
          <w:lang w:val="es-ES_tradnl"/>
        </w:rPr>
        <w:t xml:space="preserve">on </w:t>
      </w:r>
      <w:r w:rsidRPr="00976BFF">
        <w:rPr>
          <w:lang w:val="es-ES_tradnl"/>
        </w:rPr>
        <w:t>adecuados. Muy pocos casos llegan a juicio y muchos de ellos no obedecen a la falta de acuerdo respecto de la compensación</w:t>
      </w:r>
      <w:r w:rsidR="009C4C7A">
        <w:rPr>
          <w:lang w:val="es-ES_tradnl"/>
        </w:rPr>
        <w:t>:</w:t>
      </w:r>
      <w:r w:rsidRPr="00976BFF">
        <w:rPr>
          <w:lang w:val="es-ES_tradnl"/>
        </w:rPr>
        <w:t xml:space="preserve"> </w:t>
      </w:r>
      <w:r w:rsidR="009C4C7A">
        <w:rPr>
          <w:lang w:val="es-ES_tradnl"/>
        </w:rPr>
        <w:t xml:space="preserve">se trata de sucesiones </w:t>
      </w:r>
      <w:r w:rsidRPr="00976BFF">
        <w:rPr>
          <w:lang w:val="es-ES_tradnl"/>
        </w:rPr>
        <w:t xml:space="preserve">o casos en los que no se ha podido identificar al propietario. </w:t>
      </w:r>
    </w:p>
    <w:p w:rsidR="00404DDA" w:rsidRPr="00976BFF" w:rsidRDefault="00404DDA" w:rsidP="00EB3076">
      <w:pPr>
        <w:pStyle w:val="Annexmain"/>
        <w:ind w:firstLine="0"/>
        <w:rPr>
          <w:lang w:val="es-ES_tradnl"/>
        </w:rPr>
      </w:pPr>
      <w:r w:rsidRPr="00976BFF">
        <w:rPr>
          <w:lang w:val="es-ES_tradnl"/>
        </w:rPr>
        <w:t xml:space="preserve">Es poco probable que ocupantes ilegales se vean afectados por expropiaciones realizadas en el marco del </w:t>
      </w:r>
      <w:r w:rsidR="008A1019">
        <w:rPr>
          <w:lang w:val="es-ES_tradnl"/>
        </w:rPr>
        <w:t>programa</w:t>
      </w:r>
      <w:r w:rsidRPr="00976BFF">
        <w:rPr>
          <w:lang w:val="es-ES_tradnl"/>
        </w:rPr>
        <w:t xml:space="preserve">. En Uruguay no es frecuente la ocupación ilegal de tierras (en comparación con otros países de América Latina) y se concentra en Montevideo, Canelones y otras zonas urbanas. En el caso de que un proceso de expropiación afectara a ocupantes ilegales, la </w:t>
      </w:r>
      <w:r w:rsidR="00A65656">
        <w:rPr>
          <w:lang w:val="es-ES_tradnl"/>
        </w:rPr>
        <w:t>u</w:t>
      </w:r>
      <w:r w:rsidR="00A65656" w:rsidRPr="00976BFF">
        <w:rPr>
          <w:lang w:val="es-ES_tradnl"/>
        </w:rPr>
        <w:t xml:space="preserve">nidad </w:t>
      </w:r>
      <w:r w:rsidR="00A65656">
        <w:rPr>
          <w:lang w:val="es-ES_tradnl"/>
        </w:rPr>
        <w:t>s</w:t>
      </w:r>
      <w:r w:rsidR="00A65656" w:rsidRPr="00976BFF">
        <w:rPr>
          <w:lang w:val="es-ES_tradnl"/>
        </w:rPr>
        <w:t xml:space="preserve">ocial </w:t>
      </w:r>
      <w:r w:rsidRPr="00976BFF">
        <w:rPr>
          <w:lang w:val="es-ES_tradnl"/>
        </w:rPr>
        <w:t>de la DNTop desarrollaría un plan de reubicación para abordar sus necesidades, generalmente en colaboración con autoridades locales y otras instituciones públicas. La DNTop está elaborando un manual que contendrá procedimientos formales para abordar este tipo de situaciones.</w:t>
      </w:r>
    </w:p>
    <w:p w:rsidR="00404DDA" w:rsidRPr="00976BFF" w:rsidRDefault="00404DDA" w:rsidP="00EB3076">
      <w:pPr>
        <w:pStyle w:val="Annexmain"/>
        <w:autoSpaceDE w:val="0"/>
        <w:ind w:firstLine="0"/>
        <w:rPr>
          <w:lang w:val="es-ES_tradnl"/>
        </w:rPr>
      </w:pPr>
      <w:r w:rsidRPr="00976BFF">
        <w:rPr>
          <w:lang w:val="es-ES_tradnl"/>
        </w:rPr>
        <w:t xml:space="preserve">Dado que, generalmente, las modificaciones en el reordenamiento vial son muy pequeñas y teniendo en cuenta que los propietarios de tierras adyacentes a las carreteras están obligados a dejar una línea de retiro de 25 metros, no es probable que los proyectos que se han de ejecutar en el marco del </w:t>
      </w:r>
      <w:r w:rsidR="008A1019">
        <w:rPr>
          <w:lang w:val="es-ES_tradnl"/>
        </w:rPr>
        <w:t>programa</w:t>
      </w:r>
      <w:r w:rsidRPr="00976BFF">
        <w:rPr>
          <w:lang w:val="es-ES_tradnl"/>
        </w:rPr>
        <w:t xml:space="preserve"> afecten a viviendas y otras estructuras. Esto significa que debe haber una distancia de 25 metros entre una construcción (excepto paredes o cercos) y la servidumbre de paso del camino. </w:t>
      </w:r>
      <w:r w:rsidR="009C4C7A">
        <w:rPr>
          <w:lang w:val="es-ES_tradnl"/>
        </w:rPr>
        <w:t>En líneas generales, l</w:t>
      </w:r>
      <w:r w:rsidRPr="00976BFF">
        <w:rPr>
          <w:lang w:val="es-ES_tradnl"/>
        </w:rPr>
        <w:t xml:space="preserve">os terrenos contiguos a las carreteras, que serán parte del </w:t>
      </w:r>
      <w:r w:rsidR="008A1019">
        <w:rPr>
          <w:lang w:val="es-ES_tradnl"/>
        </w:rPr>
        <w:t>programa</w:t>
      </w:r>
      <w:r w:rsidRPr="00976BFF">
        <w:rPr>
          <w:lang w:val="es-ES_tradnl"/>
        </w:rPr>
        <w:t xml:space="preserve">, </w:t>
      </w:r>
      <w:r w:rsidR="009C4C7A">
        <w:rPr>
          <w:lang w:val="es-ES_tradnl"/>
        </w:rPr>
        <w:t xml:space="preserve">están ocupados por sus propietarios </w:t>
      </w:r>
      <w:r w:rsidRPr="00976BFF">
        <w:rPr>
          <w:lang w:val="es-ES_tradnl"/>
        </w:rPr>
        <w:t>legal</w:t>
      </w:r>
      <w:r w:rsidR="009C4C7A">
        <w:rPr>
          <w:lang w:val="es-ES_tradnl"/>
        </w:rPr>
        <w:t>es.</w:t>
      </w:r>
      <w:r w:rsidRPr="00976BFF">
        <w:rPr>
          <w:lang w:val="es-ES_tradnl"/>
        </w:rPr>
        <w:t xml:space="preserve"> </w:t>
      </w:r>
      <w:r w:rsidR="009C4C7A">
        <w:rPr>
          <w:lang w:val="es-ES_tradnl"/>
        </w:rPr>
        <w:t>P</w:t>
      </w:r>
      <w:r w:rsidRPr="00976BFF">
        <w:rPr>
          <w:lang w:val="es-ES_tradnl"/>
        </w:rPr>
        <w:t>or ejemplo, en el marco del proyecto anterior de rehabilitación de caminos respaldado por el Banco Mundial</w:t>
      </w:r>
      <w:r w:rsidRPr="00976BFF">
        <w:rPr>
          <w:rFonts w:ascii="ZWAdobeF" w:hAnsi="ZWAdobeF" w:cs="ZWAdobeF"/>
          <w:sz w:val="2"/>
          <w:szCs w:val="2"/>
          <w:lang w:val="es-ES_tradnl"/>
        </w:rPr>
        <w:t>0F</w:t>
      </w:r>
      <w:r w:rsidRPr="00976BFF">
        <w:rPr>
          <w:vertAlign w:val="superscript"/>
          <w:lang w:val="es-ES_tradnl"/>
        </w:rPr>
        <w:footnoteReference w:id="31"/>
      </w:r>
      <w:r w:rsidRPr="00976BFF">
        <w:rPr>
          <w:lang w:val="es-ES_tradnl"/>
        </w:rPr>
        <w:t xml:space="preserve"> no se </w:t>
      </w:r>
      <w:r w:rsidR="009C4C7A">
        <w:rPr>
          <w:lang w:val="es-ES_tradnl"/>
        </w:rPr>
        <w:t>registraron desplazamientos de</w:t>
      </w:r>
      <w:r w:rsidRPr="00976BFF">
        <w:rPr>
          <w:lang w:val="es-ES_tradnl"/>
        </w:rPr>
        <w:t xml:space="preserve"> ocupantes sin título de propiedad ni </w:t>
      </w:r>
      <w:r w:rsidR="009C4C7A">
        <w:rPr>
          <w:lang w:val="es-ES_tradnl"/>
        </w:rPr>
        <w:t>de</w:t>
      </w:r>
      <w:r w:rsidRPr="00976BFF">
        <w:rPr>
          <w:lang w:val="es-ES_tradnl"/>
        </w:rPr>
        <w:t xml:space="preserve"> otros ocupantes informales o ilegales de terrenos adyacentes a las carreteras. La DNV ejerce un control eficaz de las servidumbres de paso existentes, que no tienen viviendas ni otras estructuras, excepto unos pocos puestos al costado del camino que venden productos de estación. Estos puestos (aproximadamente 80 a lo largo de toda la red vial) no afectan la seguridad vial y es improbable que interfieran con las actividades de construcción en el marco del </w:t>
      </w:r>
      <w:r w:rsidR="008A1019">
        <w:rPr>
          <w:lang w:val="es-ES_tradnl"/>
        </w:rPr>
        <w:t>programa</w:t>
      </w:r>
      <w:r w:rsidRPr="00976BFF">
        <w:rPr>
          <w:lang w:val="es-ES_tradnl"/>
        </w:rPr>
        <w:t>.</w:t>
      </w:r>
    </w:p>
    <w:p w:rsidR="00404DDA" w:rsidRPr="00976BFF" w:rsidRDefault="00404DDA" w:rsidP="00EB3076">
      <w:pPr>
        <w:pStyle w:val="Annexmain"/>
        <w:ind w:firstLine="0"/>
        <w:rPr>
          <w:lang w:val="es-ES_tradnl"/>
        </w:rPr>
      </w:pPr>
      <w:r w:rsidRPr="00976BFF">
        <w:rPr>
          <w:b/>
          <w:lang w:val="es-ES_tradnl"/>
        </w:rPr>
        <w:t>Desempeño</w:t>
      </w:r>
      <w:r w:rsidRPr="000B5989">
        <w:rPr>
          <w:b/>
          <w:lang w:val="es-ES_tradnl"/>
        </w:rPr>
        <w:t>.</w:t>
      </w:r>
      <w:r w:rsidRPr="00976BFF">
        <w:rPr>
          <w:lang w:val="es-ES_tradnl"/>
        </w:rPr>
        <w:t xml:space="preserve"> La Ley de Expropiación de Bienes Raíces brinda protección a las personas afectadas por procesos de expropiación (propietarios con título, arrendatarios con contrato, ocupantes con permiso y ocupantes con derechos posesorios derivados de la ocupación de la tierra durante más de 10 años). La mayoría de los casos de expropiación se solucionan de manera amistosa. Muy pocos casos llegan a juicio y muchos de ellos no obedecen a la falta de acuerdo respecto de la compensación</w:t>
      </w:r>
      <w:r w:rsidR="009C4C7A">
        <w:rPr>
          <w:lang w:val="es-ES_tradnl"/>
        </w:rPr>
        <w:t>: se trata de sucesiones</w:t>
      </w:r>
      <w:r w:rsidRPr="00976BFF">
        <w:rPr>
          <w:lang w:val="es-ES_tradnl"/>
        </w:rPr>
        <w:t xml:space="preserve"> o casos en los que no se ha podido identificar al propietario. La Ley de Expropiación de Bienes Raíces no protege a las personas que no poseen derechos o permisos de ocupación. Sin embargo, se considera que la probabilidad de que se produzcan reasentamientos de este último grupo en el marco del </w:t>
      </w:r>
      <w:r w:rsidR="008A1019">
        <w:rPr>
          <w:lang w:val="es-ES_tradnl"/>
        </w:rPr>
        <w:t>programa</w:t>
      </w:r>
      <w:r w:rsidRPr="00976BFF">
        <w:rPr>
          <w:lang w:val="es-ES_tradnl"/>
        </w:rPr>
        <w:t xml:space="preserve"> es extremadamente baja y, en caso de ocurrir, la DNTop adoptar</w:t>
      </w:r>
      <w:r w:rsidR="009C4C7A">
        <w:rPr>
          <w:lang w:val="es-ES_tradnl"/>
        </w:rPr>
        <w:t>ía</w:t>
      </w:r>
      <w:r w:rsidRPr="00976BFF">
        <w:rPr>
          <w:lang w:val="es-ES_tradnl"/>
        </w:rPr>
        <w:t xml:space="preserve"> las medidas correspondientes, como se describe </w:t>
      </w:r>
      <w:r w:rsidRPr="00976BFF">
        <w:rPr>
          <w:i/>
          <w:lang w:val="es-ES_tradnl"/>
        </w:rPr>
        <w:t>infra</w:t>
      </w:r>
      <w:r w:rsidRPr="00976BFF">
        <w:rPr>
          <w:lang w:val="es-ES_tradnl"/>
        </w:rPr>
        <w:t>.</w:t>
      </w:r>
    </w:p>
    <w:p w:rsidR="00404DDA" w:rsidRPr="00976BFF" w:rsidRDefault="00404DDA" w:rsidP="00EB3076">
      <w:pPr>
        <w:pStyle w:val="Annexmain"/>
        <w:ind w:firstLine="0"/>
        <w:rPr>
          <w:lang w:val="es-ES_tradnl"/>
        </w:rPr>
      </w:pPr>
      <w:r w:rsidRPr="00976BFF">
        <w:rPr>
          <w:lang w:val="es-ES_tradnl"/>
        </w:rPr>
        <w:t xml:space="preserve">En el caso improbable de que un futuro subproyecto afecte un asentamiento informal o ilegal, la </w:t>
      </w:r>
      <w:r w:rsidR="00A65656">
        <w:rPr>
          <w:lang w:val="es-ES_tradnl"/>
        </w:rPr>
        <w:t>u</w:t>
      </w:r>
      <w:r w:rsidR="00A65656" w:rsidRPr="00976BFF">
        <w:rPr>
          <w:lang w:val="es-ES_tradnl"/>
        </w:rPr>
        <w:t xml:space="preserve">nidad </w:t>
      </w:r>
      <w:r w:rsidR="00A65656">
        <w:rPr>
          <w:lang w:val="es-ES_tradnl"/>
        </w:rPr>
        <w:t>s</w:t>
      </w:r>
      <w:r w:rsidR="00A65656" w:rsidRPr="00976BFF">
        <w:rPr>
          <w:lang w:val="es-ES_tradnl"/>
        </w:rPr>
        <w:t xml:space="preserve">ocial </w:t>
      </w:r>
      <w:r w:rsidRPr="00976BFF">
        <w:rPr>
          <w:lang w:val="es-ES_tradnl"/>
        </w:rPr>
        <w:t>de la DNTop sería responsable de desarrollar planes de reubicación para ayudar a las personas desplazadas, independientemente de su situación jurídica, como lo hizo en el caso de la carretera de circunvalación de Montevideo (</w:t>
      </w:r>
      <w:r w:rsidR="008A733C">
        <w:rPr>
          <w:lang w:val="es-ES_tradnl"/>
        </w:rPr>
        <w:t>a</w:t>
      </w:r>
      <w:r w:rsidR="008A733C" w:rsidRPr="00976BFF">
        <w:rPr>
          <w:lang w:val="es-ES_tradnl"/>
        </w:rPr>
        <w:t xml:space="preserve">nillo </w:t>
      </w:r>
      <w:r w:rsidR="008A733C">
        <w:rPr>
          <w:lang w:val="es-ES_tradnl"/>
        </w:rPr>
        <w:t>c</w:t>
      </w:r>
      <w:r w:rsidR="008A733C" w:rsidRPr="00976BFF">
        <w:rPr>
          <w:lang w:val="es-ES_tradnl"/>
        </w:rPr>
        <w:t xml:space="preserve">olector </w:t>
      </w:r>
      <w:r w:rsidR="008A733C">
        <w:rPr>
          <w:lang w:val="es-ES_tradnl"/>
        </w:rPr>
        <w:t>v</w:t>
      </w:r>
      <w:r w:rsidR="008A733C" w:rsidRPr="00976BFF">
        <w:rPr>
          <w:lang w:val="es-ES_tradnl"/>
        </w:rPr>
        <w:t xml:space="preserve">ial </w:t>
      </w:r>
      <w:r w:rsidR="008A733C">
        <w:rPr>
          <w:lang w:val="es-ES_tradnl"/>
        </w:rPr>
        <w:t>p</w:t>
      </w:r>
      <w:r w:rsidR="008A733C" w:rsidRPr="00976BFF">
        <w:rPr>
          <w:lang w:val="es-ES_tradnl"/>
        </w:rPr>
        <w:t xml:space="preserve">erimetral </w:t>
      </w:r>
      <w:r w:rsidRPr="00976BFF">
        <w:rPr>
          <w:lang w:val="es-ES_tradnl"/>
        </w:rPr>
        <w:t xml:space="preserve">de Montevideo), un proyecto que no recibió financiamiento del Banco Mundial. Este caso se examinó como parte de la evaluación de los sistemas ambientales y sociales y los resultados indicaron que, </w:t>
      </w:r>
      <w:r w:rsidR="009C4C7A">
        <w:rPr>
          <w:lang w:val="es-ES_tradnl"/>
        </w:rPr>
        <w:t>incluso</w:t>
      </w:r>
      <w:r w:rsidRPr="00976BFF">
        <w:rPr>
          <w:lang w:val="es-ES_tradnl"/>
        </w:rPr>
        <w:t xml:space="preserve"> en situaci</w:t>
      </w:r>
      <w:r w:rsidR="009C4C7A">
        <w:rPr>
          <w:lang w:val="es-ES_tradnl"/>
        </w:rPr>
        <w:t>ones</w:t>
      </w:r>
      <w:r w:rsidRPr="00976BFF">
        <w:rPr>
          <w:lang w:val="es-ES_tradnl"/>
        </w:rPr>
        <w:t xml:space="preserve"> mucho más compleja</w:t>
      </w:r>
      <w:r w:rsidR="009C4C7A">
        <w:rPr>
          <w:lang w:val="es-ES_tradnl"/>
        </w:rPr>
        <w:t>s</w:t>
      </w:r>
      <w:r w:rsidRPr="00976BFF">
        <w:rPr>
          <w:lang w:val="es-ES_tradnl"/>
        </w:rPr>
        <w:t xml:space="preserve"> (zona</w:t>
      </w:r>
      <w:r w:rsidR="009C4C7A">
        <w:rPr>
          <w:lang w:val="es-ES_tradnl"/>
        </w:rPr>
        <w:t>s</w:t>
      </w:r>
      <w:r w:rsidRPr="00976BFF">
        <w:rPr>
          <w:lang w:val="es-ES_tradnl"/>
        </w:rPr>
        <w:t xml:space="preserve"> suburbana</w:t>
      </w:r>
      <w:r w:rsidR="009C4C7A">
        <w:rPr>
          <w:lang w:val="es-ES_tradnl"/>
        </w:rPr>
        <w:t>s</w:t>
      </w:r>
      <w:r w:rsidRPr="00976BFF">
        <w:rPr>
          <w:lang w:val="es-ES_tradnl"/>
        </w:rPr>
        <w:t xml:space="preserve">) que los casos potenciales en el marco de las actividades del </w:t>
      </w:r>
      <w:r w:rsidR="008A1019">
        <w:rPr>
          <w:lang w:val="es-ES_tradnl"/>
        </w:rPr>
        <w:t>programa</w:t>
      </w:r>
      <w:r w:rsidRPr="00976BFF">
        <w:rPr>
          <w:lang w:val="es-ES_tradnl"/>
        </w:rPr>
        <w:t xml:space="preserve">, la </w:t>
      </w:r>
      <w:r w:rsidR="00164A9B">
        <w:rPr>
          <w:lang w:val="es-ES_tradnl"/>
        </w:rPr>
        <w:t>u</w:t>
      </w:r>
      <w:r w:rsidR="00164A9B" w:rsidRPr="00976BFF">
        <w:rPr>
          <w:lang w:val="es-ES_tradnl"/>
        </w:rPr>
        <w:t xml:space="preserve">nidad </w:t>
      </w:r>
      <w:r w:rsidR="00164A9B">
        <w:rPr>
          <w:lang w:val="es-ES_tradnl"/>
        </w:rPr>
        <w:t>s</w:t>
      </w:r>
      <w:r w:rsidRPr="00976BFF">
        <w:rPr>
          <w:lang w:val="es-ES_tradnl"/>
        </w:rPr>
        <w:t>ocial de la DNTop manejó satisfactoria</w:t>
      </w:r>
      <w:r w:rsidR="00164A9B">
        <w:rPr>
          <w:lang w:val="es-ES_tradnl"/>
        </w:rPr>
        <w:t>mente</w:t>
      </w:r>
      <w:r w:rsidRPr="00976BFF">
        <w:rPr>
          <w:lang w:val="es-ES_tradnl"/>
        </w:rPr>
        <w:t xml:space="preserve"> el reasentamiento de personas sin derechos a la tierra o sin título de propiedad.</w:t>
      </w:r>
    </w:p>
    <w:p w:rsidR="00404DDA" w:rsidRPr="00976BFF" w:rsidRDefault="00404DDA" w:rsidP="00EB3076">
      <w:pPr>
        <w:pStyle w:val="Annexmain"/>
        <w:ind w:firstLine="0"/>
        <w:rPr>
          <w:lang w:val="es-ES_tradnl"/>
        </w:rPr>
      </w:pPr>
      <w:r w:rsidRPr="00976BFF">
        <w:rPr>
          <w:b/>
          <w:lang w:val="es-ES_tradnl"/>
        </w:rPr>
        <w:t>Concordancia con la OP 9.0.</w:t>
      </w:r>
      <w:r w:rsidRPr="00976BFF">
        <w:rPr>
          <w:lang w:val="es-ES_tradnl"/>
        </w:rPr>
        <w:t xml:space="preserve"> No se identificaron diferencias significativas entre el marco regulatorio y las prácticas y los principios de la </w:t>
      </w:r>
      <w:r w:rsidR="004A26E3" w:rsidRPr="00976BFF">
        <w:rPr>
          <w:lang w:val="es-ES_tradnl"/>
        </w:rPr>
        <w:t>OP</w:t>
      </w:r>
      <w:r w:rsidR="004A26E3">
        <w:rPr>
          <w:lang w:val="es-ES_tradnl"/>
        </w:rPr>
        <w:t xml:space="preserve"> </w:t>
      </w:r>
      <w:r w:rsidR="004A26E3" w:rsidRPr="00976BFF">
        <w:rPr>
          <w:lang w:val="es-ES_tradnl"/>
        </w:rPr>
        <w:t>9.0</w:t>
      </w:r>
      <w:r w:rsidRPr="00976BFF">
        <w:rPr>
          <w:lang w:val="es-ES_tradnl"/>
        </w:rPr>
        <w:t xml:space="preserve"> en materia de expropiación y reasentamiento. Sin embargo, se podrían fortalecer algunos elementos. Primero, si la DNTop efectuara un examen más puntual del diseño de los proyectos que exigen realizar expropiaciones, el diseño se podría modificar de modo de evitar o reducir al mínimo los efectos negativos de la adquisición de tierras. Segundo, la metodología que se utiliza para calcular la compensación</w:t>
      </w:r>
      <w:r w:rsidR="00D700A2">
        <w:rPr>
          <w:lang w:val="es-ES_tradnl"/>
        </w:rPr>
        <w:t xml:space="preserve"> correspondiente a expropiaciones</w:t>
      </w:r>
      <w:r w:rsidRPr="00976BFF">
        <w:rPr>
          <w:lang w:val="es-ES_tradnl"/>
        </w:rPr>
        <w:t xml:space="preserve"> parciales de tierra es compleja y la DNTop se beneficiaría si recibe asistencia técnica en este respecto. Por último, </w:t>
      </w:r>
      <w:r w:rsidR="00D700A2">
        <w:rPr>
          <w:lang w:val="es-ES_tradnl"/>
        </w:rPr>
        <w:t>es importante señalar</w:t>
      </w:r>
      <w:r w:rsidRPr="00976BFF">
        <w:rPr>
          <w:lang w:val="es-ES_tradnl"/>
        </w:rPr>
        <w:t xml:space="preserve"> que el </w:t>
      </w:r>
      <w:r w:rsidR="008A1019">
        <w:rPr>
          <w:lang w:val="es-ES_tradnl"/>
        </w:rPr>
        <w:t>programa</w:t>
      </w:r>
      <w:r w:rsidRPr="00976BFF">
        <w:rPr>
          <w:lang w:val="es-ES_tradnl"/>
        </w:rPr>
        <w:t xml:space="preserve"> no afectará a comunidades de pueblos indígenas.</w:t>
      </w:r>
    </w:p>
    <w:p w:rsidR="00404DDA" w:rsidRPr="00976BFF" w:rsidRDefault="00404DDA" w:rsidP="00EB3076">
      <w:pPr>
        <w:pStyle w:val="Annexmain"/>
        <w:ind w:firstLine="0"/>
        <w:rPr>
          <w:lang w:val="es-ES_tradnl"/>
        </w:rPr>
      </w:pPr>
      <w:r w:rsidRPr="00976BFF">
        <w:rPr>
          <w:b/>
          <w:lang w:val="es-ES_tradnl"/>
        </w:rPr>
        <w:t>Capacidad y desempeño</w:t>
      </w:r>
      <w:r w:rsidRPr="000B5989">
        <w:rPr>
          <w:b/>
          <w:lang w:val="es-ES_tradnl"/>
        </w:rPr>
        <w:t>.</w:t>
      </w:r>
      <w:r w:rsidRPr="00976BFF">
        <w:rPr>
          <w:lang w:val="es-ES_tradnl"/>
        </w:rPr>
        <w:t xml:space="preserve"> Aparentemente, el nivel de capacidad y desempeño del </w:t>
      </w:r>
      <w:r w:rsidR="008A1019">
        <w:rPr>
          <w:lang w:val="es-ES_tradnl"/>
        </w:rPr>
        <w:t>programa</w:t>
      </w:r>
      <w:r w:rsidRPr="00976BFF">
        <w:rPr>
          <w:lang w:val="es-ES_tradnl"/>
        </w:rPr>
        <w:t xml:space="preserve"> en el área social es adecuado. La DNTop ha dado muestras de su capacidad al aplicar, de manera eficaz, las disposiciones de la Ley de Expropiación de Bienes Raíces de Uruguay, lo que constituye un marco apropiado para abordar los posibles impactos de la adquisición de servidumbres de paso en el contexto del </w:t>
      </w:r>
      <w:r w:rsidR="008A1019">
        <w:rPr>
          <w:lang w:val="es-ES_tradnl"/>
        </w:rPr>
        <w:t>programa</w:t>
      </w:r>
      <w:r w:rsidRPr="00976BFF">
        <w:rPr>
          <w:lang w:val="es-ES_tradnl"/>
        </w:rPr>
        <w:t xml:space="preserve">, en los casos en que el reordenamiento vial deba modificarse. Normalmente, empero, las actividades de mantenimiento y rehabilitación vial se realizan dentro de la servidumbre de paso de los caminos nacionales y no requieren adquisición de terrenos ni ocasionan desplazamientos físicos o por razones económicas. En las raras ocasiones en que ello sucede, el impacto social es pequeño: por lo general solo es necesario adquirir franjas estrechas de tierra, sin viviendas ni otras estructuras, que constituyen una pequeña fracción de la superficie total de la propiedad afectada. Durante toda la ejecución del anterior proyecto de transporte en Uruguay financiado por el Banco (Proyecto de </w:t>
      </w:r>
      <w:r w:rsidR="00D700A2">
        <w:rPr>
          <w:lang w:val="es-ES_tradnl"/>
        </w:rPr>
        <w:t>M</w:t>
      </w:r>
      <w:r w:rsidRPr="00976BFF">
        <w:rPr>
          <w:lang w:val="es-ES_tradnl"/>
        </w:rPr>
        <w:t xml:space="preserve">antenimiento de la </w:t>
      </w:r>
      <w:r w:rsidR="00D700A2">
        <w:rPr>
          <w:lang w:val="es-ES_tradnl"/>
        </w:rPr>
        <w:t>I</w:t>
      </w:r>
      <w:r w:rsidRPr="00976BFF">
        <w:rPr>
          <w:lang w:val="es-ES_tradnl"/>
        </w:rPr>
        <w:t xml:space="preserve">nfraestructura del </w:t>
      </w:r>
      <w:r w:rsidR="00D700A2">
        <w:rPr>
          <w:lang w:val="es-ES_tradnl"/>
        </w:rPr>
        <w:t>T</w:t>
      </w:r>
      <w:r w:rsidRPr="00976BFF">
        <w:rPr>
          <w:lang w:val="es-ES_tradnl"/>
        </w:rPr>
        <w:t xml:space="preserve">ransporte y el </w:t>
      </w:r>
      <w:r w:rsidR="00D700A2">
        <w:rPr>
          <w:lang w:val="es-ES_tradnl"/>
        </w:rPr>
        <w:t>A</w:t>
      </w:r>
      <w:r w:rsidRPr="00976BFF">
        <w:rPr>
          <w:lang w:val="es-ES_tradnl"/>
        </w:rPr>
        <w:t xml:space="preserve">cceso </w:t>
      </w:r>
      <w:r w:rsidR="00D700A2">
        <w:rPr>
          <w:lang w:val="es-ES_tradnl"/>
        </w:rPr>
        <w:t>R</w:t>
      </w:r>
      <w:r w:rsidRPr="00976BFF">
        <w:rPr>
          <w:lang w:val="es-ES_tradnl"/>
        </w:rPr>
        <w:t>ural</w:t>
      </w:r>
      <w:r w:rsidR="00164A9B">
        <w:rPr>
          <w:lang w:val="es-ES_tradnl"/>
        </w:rPr>
        <w:t>,</w:t>
      </w:r>
      <w:r w:rsidR="00164A9B" w:rsidRPr="00976BFF">
        <w:rPr>
          <w:lang w:val="es-ES_tradnl"/>
        </w:rPr>
        <w:t xml:space="preserve"> </w:t>
      </w:r>
      <w:r w:rsidRPr="00976BFF">
        <w:rPr>
          <w:lang w:val="es-ES_tradnl"/>
        </w:rPr>
        <w:t xml:space="preserve">P057481), no hubo casos de desplazamiento físico de habitantes derivado de la adquisición de </w:t>
      </w:r>
      <w:r w:rsidR="00D700A2">
        <w:rPr>
          <w:lang w:val="es-ES_tradnl"/>
        </w:rPr>
        <w:t>tierras</w:t>
      </w:r>
      <w:r w:rsidRPr="00976BFF">
        <w:rPr>
          <w:lang w:val="es-ES_tradnl"/>
        </w:rPr>
        <w:t>, salvo en un subproyecto.</w:t>
      </w:r>
    </w:p>
    <w:p w:rsidR="00404DDA" w:rsidRPr="00976BFF" w:rsidRDefault="00404DDA" w:rsidP="00EB3076">
      <w:pPr>
        <w:rPr>
          <w:lang w:val="es-ES_tradnl"/>
        </w:rPr>
      </w:pPr>
    </w:p>
    <w:p w:rsidR="00404DDA" w:rsidRPr="00976BFF" w:rsidRDefault="00D700A2" w:rsidP="00EB3076">
      <w:pPr>
        <w:pStyle w:val="Heading2"/>
        <w:numPr>
          <w:ilvl w:val="1"/>
          <w:numId w:val="13"/>
        </w:numPr>
        <w:spacing w:before="0" w:beforeAutospacing="0"/>
        <w:ind w:firstLine="0"/>
        <w:rPr>
          <w:rFonts w:ascii="Times New Roman" w:hAnsi="Times New Roman" w:cs="Times New Roman"/>
          <w:b/>
          <w:sz w:val="22"/>
          <w:szCs w:val="22"/>
          <w:lang w:val="es-ES_tradnl"/>
        </w:rPr>
      </w:pPr>
      <w:bookmarkStart w:id="107" w:name="_Toc327540021"/>
      <w:bookmarkStart w:id="108" w:name="_Toc344927222"/>
      <w:r>
        <w:rPr>
          <w:rFonts w:ascii="Times New Roman" w:hAnsi="Times New Roman" w:cs="Times New Roman"/>
          <w:b/>
          <w:sz w:val="22"/>
          <w:szCs w:val="22"/>
          <w:lang w:val="es-ES_tradnl"/>
        </w:rPr>
        <w:t>ACTIVIDADES INCORPORADAS</w:t>
      </w:r>
      <w:r w:rsidR="00404DDA" w:rsidRPr="00976BFF">
        <w:rPr>
          <w:rFonts w:ascii="Times New Roman" w:hAnsi="Times New Roman" w:cs="Times New Roman"/>
          <w:b/>
          <w:sz w:val="22"/>
          <w:szCs w:val="22"/>
          <w:lang w:val="es-ES_tradnl"/>
        </w:rPr>
        <w:t xml:space="preserve"> AL </w:t>
      </w:r>
      <w:bookmarkEnd w:id="107"/>
      <w:r w:rsidR="00404DDA" w:rsidRPr="00976BFF">
        <w:rPr>
          <w:rFonts w:ascii="Times New Roman" w:hAnsi="Times New Roman" w:cs="Times New Roman"/>
          <w:b/>
          <w:sz w:val="22"/>
          <w:szCs w:val="22"/>
          <w:lang w:val="es-ES_tradnl"/>
        </w:rPr>
        <w:t>PLAN DE ACCIÓN DEL PROGRAMA</w:t>
      </w:r>
      <w:bookmarkEnd w:id="108"/>
      <w:r w:rsidR="00404DDA" w:rsidRPr="00976BFF">
        <w:rPr>
          <w:rFonts w:ascii="Times New Roman" w:hAnsi="Times New Roman" w:cs="Times New Roman"/>
          <w:b/>
          <w:sz w:val="22"/>
          <w:szCs w:val="22"/>
          <w:lang w:val="es-ES_tradnl"/>
        </w:rPr>
        <w:t xml:space="preserve"> </w:t>
      </w:r>
    </w:p>
    <w:p w:rsidR="00404DDA" w:rsidRPr="00976BFF" w:rsidRDefault="00404DDA" w:rsidP="00EB3076">
      <w:pPr>
        <w:pStyle w:val="Annexmain"/>
        <w:ind w:firstLine="0"/>
        <w:rPr>
          <w:lang w:val="es-ES_tradnl"/>
        </w:rPr>
      </w:pPr>
      <w:r w:rsidRPr="00976BFF">
        <w:rPr>
          <w:lang w:val="es-ES_tradnl"/>
        </w:rPr>
        <w:t>Los siguientes cuadros contienen un resumen de la</w:t>
      </w:r>
      <w:r w:rsidR="00D700A2">
        <w:rPr>
          <w:lang w:val="es-ES_tradnl"/>
        </w:rPr>
        <w:t>s</w:t>
      </w:r>
      <w:r w:rsidRPr="00976BFF">
        <w:rPr>
          <w:lang w:val="es-ES_tradnl"/>
        </w:rPr>
        <w:t xml:space="preserve"> </w:t>
      </w:r>
      <w:r w:rsidR="00D700A2">
        <w:rPr>
          <w:lang w:val="es-ES_tradnl"/>
        </w:rPr>
        <w:t>actividades en materia</w:t>
      </w:r>
      <w:r w:rsidRPr="00976BFF">
        <w:rPr>
          <w:lang w:val="es-ES_tradnl"/>
        </w:rPr>
        <w:t xml:space="preserve"> ambiental y social </w:t>
      </w:r>
      <w:r w:rsidR="00D700A2">
        <w:rPr>
          <w:lang w:val="es-ES_tradnl"/>
        </w:rPr>
        <w:t>que se incluyeron en el</w:t>
      </w:r>
      <w:r w:rsidRPr="00976BFF">
        <w:rPr>
          <w:lang w:val="es-ES_tradnl"/>
        </w:rPr>
        <w:t xml:space="preserve"> </w:t>
      </w:r>
      <w:r w:rsidR="007A653A" w:rsidRPr="00976BFF">
        <w:rPr>
          <w:lang w:val="es-ES_tradnl"/>
        </w:rPr>
        <w:t xml:space="preserve">Plan de Acción del </w:t>
      </w:r>
      <w:r w:rsidR="008A1019">
        <w:rPr>
          <w:lang w:val="es-ES_tradnl"/>
        </w:rPr>
        <w:t>programa</w:t>
      </w:r>
      <w:r w:rsidRPr="00976BFF">
        <w:rPr>
          <w:lang w:val="es-ES_tradnl"/>
        </w:rPr>
        <w:t xml:space="preserve"> (véase también la evaluación de los sistemas ambientales y sociales). En la etapa de evaluación inicial, con el MTOP, se asignó un orden de prioridad a </w:t>
      </w:r>
      <w:r w:rsidR="00D700A2">
        <w:rPr>
          <w:lang w:val="es-ES_tradnl"/>
        </w:rPr>
        <w:t xml:space="preserve">estas actividades y solo se mantuvieron en el </w:t>
      </w:r>
      <w:r w:rsidR="007A653A" w:rsidRPr="00976BFF">
        <w:rPr>
          <w:lang w:val="es-ES_tradnl"/>
        </w:rPr>
        <w:t xml:space="preserve">Plan de Acción del </w:t>
      </w:r>
      <w:r w:rsidR="008A1019">
        <w:rPr>
          <w:lang w:val="es-ES_tradnl"/>
        </w:rPr>
        <w:t>programa</w:t>
      </w:r>
      <w:r w:rsidRPr="00976BFF">
        <w:rPr>
          <w:lang w:val="es-ES_tradnl"/>
        </w:rPr>
        <w:t xml:space="preserve"> </w:t>
      </w:r>
      <w:r w:rsidR="00D700A2">
        <w:rPr>
          <w:lang w:val="es-ES_tradnl"/>
        </w:rPr>
        <w:t>las que eran</w:t>
      </w:r>
      <w:r w:rsidRPr="00976BFF">
        <w:rPr>
          <w:lang w:val="es-ES_tradnl"/>
        </w:rPr>
        <w:t xml:space="preserve"> fundamentales </w:t>
      </w:r>
      <w:r w:rsidR="00D700A2">
        <w:rPr>
          <w:lang w:val="es-ES_tradnl"/>
        </w:rPr>
        <w:t>y</w:t>
      </w:r>
      <w:r w:rsidRPr="00976BFF">
        <w:rPr>
          <w:lang w:val="es-ES_tradnl"/>
        </w:rPr>
        <w:t xml:space="preserve"> se podían llevar a cabo razonablemente durante la vigencia del </w:t>
      </w:r>
      <w:r w:rsidR="008A1019">
        <w:rPr>
          <w:lang w:val="es-ES_tradnl"/>
        </w:rPr>
        <w:t>programa</w:t>
      </w:r>
      <w:r w:rsidRPr="00976BFF">
        <w:rPr>
          <w:lang w:val="es-ES_tradnl"/>
        </w:rPr>
        <w:t xml:space="preserve">. </w:t>
      </w:r>
    </w:p>
    <w:p w:rsidR="00404DDA" w:rsidRPr="00976BFF" w:rsidRDefault="00404DDA" w:rsidP="00404DDA">
      <w:pPr>
        <w:rPr>
          <w:lang w:val="es-ES_tradnl"/>
        </w:rPr>
      </w:pPr>
    </w:p>
    <w:tbl>
      <w:tblPr>
        <w:tblStyle w:val="TableGrid"/>
        <w:tblW w:w="0" w:type="auto"/>
        <w:tblLook w:val="04A0" w:firstRow="1" w:lastRow="0" w:firstColumn="1" w:lastColumn="0" w:noHBand="0" w:noVBand="1"/>
      </w:tblPr>
      <w:tblGrid>
        <w:gridCol w:w="3888"/>
        <w:gridCol w:w="3060"/>
        <w:gridCol w:w="1458"/>
      </w:tblGrid>
      <w:tr w:rsidR="00404DDA" w:rsidRPr="00976BFF">
        <w:trPr>
          <w:trHeight w:val="546"/>
        </w:trPr>
        <w:tc>
          <w:tcPr>
            <w:tcW w:w="3888" w:type="dxa"/>
          </w:tcPr>
          <w:p w:rsidR="00404DDA" w:rsidRPr="00976BFF" w:rsidRDefault="00404DDA" w:rsidP="00835AB6">
            <w:pPr>
              <w:jc w:val="center"/>
              <w:rPr>
                <w:b/>
                <w:lang w:val="es-ES_tradnl"/>
              </w:rPr>
            </w:pPr>
            <w:r w:rsidRPr="00976BFF">
              <w:rPr>
                <w:rFonts w:ascii="Times New Roman" w:hAnsi="Times New Roman" w:cs="Times New Roman"/>
                <w:b/>
                <w:lang w:val="es-ES_tradnl"/>
              </w:rPr>
              <w:t>A. Actividades ambientales</w:t>
            </w:r>
          </w:p>
        </w:tc>
        <w:tc>
          <w:tcPr>
            <w:tcW w:w="3060" w:type="dxa"/>
          </w:tcPr>
          <w:p w:rsidR="00404DDA" w:rsidRPr="00976BFF" w:rsidRDefault="00404DDA" w:rsidP="00835AB6">
            <w:pPr>
              <w:jc w:val="center"/>
              <w:rPr>
                <w:b/>
                <w:lang w:val="es-ES_tradnl"/>
              </w:rPr>
            </w:pPr>
            <w:r w:rsidRPr="00976BFF">
              <w:rPr>
                <w:rFonts w:ascii="Times New Roman" w:hAnsi="Times New Roman" w:cs="Times New Roman"/>
                <w:b/>
                <w:lang w:val="es-ES_tradnl"/>
              </w:rPr>
              <w:t>Indicador</w:t>
            </w:r>
          </w:p>
        </w:tc>
        <w:tc>
          <w:tcPr>
            <w:tcW w:w="1458" w:type="dxa"/>
          </w:tcPr>
          <w:p w:rsidR="00404DDA" w:rsidRPr="00976BFF" w:rsidRDefault="00404DDA" w:rsidP="00164A9B">
            <w:pPr>
              <w:jc w:val="center"/>
              <w:rPr>
                <w:b/>
                <w:lang w:val="es-ES_tradnl"/>
              </w:rPr>
            </w:pPr>
            <w:r w:rsidRPr="00976BFF">
              <w:rPr>
                <w:rFonts w:ascii="Times New Roman" w:hAnsi="Times New Roman" w:cs="Times New Roman"/>
                <w:b/>
                <w:lang w:val="es-ES_tradnl"/>
              </w:rPr>
              <w:t xml:space="preserve">Institución </w:t>
            </w:r>
            <w:r w:rsidR="00164A9B">
              <w:rPr>
                <w:rFonts w:ascii="Times New Roman" w:hAnsi="Times New Roman" w:cs="Times New Roman"/>
                <w:b/>
                <w:lang w:val="es-ES_tradnl"/>
              </w:rPr>
              <w:t>r</w:t>
            </w:r>
            <w:r w:rsidR="00164A9B" w:rsidRPr="00976BFF">
              <w:rPr>
                <w:rFonts w:ascii="Times New Roman" w:hAnsi="Times New Roman" w:cs="Times New Roman"/>
                <w:b/>
                <w:lang w:val="es-ES_tradnl"/>
              </w:rPr>
              <w:t>esponsable</w:t>
            </w:r>
          </w:p>
        </w:tc>
      </w:tr>
      <w:tr w:rsidR="00404DDA" w:rsidRPr="00976BFF">
        <w:tc>
          <w:tcPr>
            <w:tcW w:w="3888" w:type="dxa"/>
          </w:tcPr>
          <w:p w:rsidR="00404DDA" w:rsidRPr="00976BFF" w:rsidRDefault="00404DDA" w:rsidP="00D700A2">
            <w:pPr>
              <w:rPr>
                <w:sz w:val="20"/>
                <w:szCs w:val="20"/>
                <w:lang w:val="es-ES_tradnl"/>
              </w:rPr>
            </w:pPr>
            <w:r w:rsidRPr="00976BFF">
              <w:rPr>
                <w:rFonts w:ascii="Times New Roman" w:hAnsi="Times New Roman" w:cs="Times New Roman"/>
                <w:sz w:val="20"/>
                <w:szCs w:val="20"/>
                <w:lang w:val="es-ES_tradnl"/>
              </w:rPr>
              <w:t xml:space="preserve"> Examinar y actualizar el manual ambiental (e incluir nuevas cláusulas </w:t>
            </w:r>
            <w:r w:rsidR="00D700A2">
              <w:rPr>
                <w:rFonts w:ascii="Times New Roman" w:hAnsi="Times New Roman" w:cs="Times New Roman"/>
                <w:sz w:val="20"/>
                <w:szCs w:val="20"/>
                <w:lang w:val="es-ES_tradnl"/>
              </w:rPr>
              <w:t>relacionadas con</w:t>
            </w:r>
            <w:r w:rsidRPr="00976BFF">
              <w:rPr>
                <w:rFonts w:ascii="Times New Roman" w:hAnsi="Times New Roman" w:cs="Times New Roman"/>
                <w:sz w:val="20"/>
                <w:szCs w:val="20"/>
                <w:lang w:val="es-ES_tradnl"/>
              </w:rPr>
              <w:t xml:space="preserve"> un mecanismo de reclamación,</w:t>
            </w:r>
            <w:r w:rsidR="00D700A2">
              <w:rPr>
                <w:rFonts w:ascii="Times New Roman" w:hAnsi="Times New Roman" w:cs="Times New Roman"/>
                <w:sz w:val="20"/>
                <w:szCs w:val="20"/>
                <w:lang w:val="es-ES_tradnl"/>
              </w:rPr>
              <w:t xml:space="preserve"> el</w:t>
            </w:r>
            <w:r w:rsidRPr="00976BFF">
              <w:rPr>
                <w:rFonts w:ascii="Times New Roman" w:hAnsi="Times New Roman" w:cs="Times New Roman"/>
                <w:sz w:val="20"/>
                <w:szCs w:val="20"/>
                <w:lang w:val="es-ES_tradnl"/>
              </w:rPr>
              <w:t xml:space="preserve"> acceso a la información, </w:t>
            </w:r>
            <w:r w:rsidR="00D700A2">
              <w:rPr>
                <w:rFonts w:ascii="Times New Roman" w:hAnsi="Times New Roman" w:cs="Times New Roman"/>
                <w:sz w:val="20"/>
                <w:szCs w:val="20"/>
                <w:lang w:val="es-ES_tradnl"/>
              </w:rPr>
              <w:t xml:space="preserve">las </w:t>
            </w:r>
            <w:r w:rsidRPr="00976BFF">
              <w:rPr>
                <w:rFonts w:ascii="Times New Roman" w:hAnsi="Times New Roman" w:cs="Times New Roman"/>
                <w:sz w:val="20"/>
                <w:szCs w:val="20"/>
                <w:lang w:val="es-ES_tradnl"/>
              </w:rPr>
              <w:t>consulta</w:t>
            </w:r>
            <w:r w:rsidR="00D700A2">
              <w:rPr>
                <w:rFonts w:ascii="Times New Roman" w:hAnsi="Times New Roman" w:cs="Times New Roman"/>
                <w:sz w:val="20"/>
                <w:szCs w:val="20"/>
                <w:lang w:val="es-ES_tradnl"/>
              </w:rPr>
              <w:t>s</w:t>
            </w:r>
            <w:r w:rsidRPr="00976BFF">
              <w:rPr>
                <w:rFonts w:ascii="Times New Roman" w:hAnsi="Times New Roman" w:cs="Times New Roman"/>
                <w:sz w:val="20"/>
                <w:szCs w:val="20"/>
                <w:lang w:val="es-ES_tradnl"/>
              </w:rPr>
              <w:t xml:space="preserve">, </w:t>
            </w:r>
            <w:r w:rsidR="00D700A2">
              <w:rPr>
                <w:rFonts w:ascii="Times New Roman" w:hAnsi="Times New Roman" w:cs="Times New Roman"/>
                <w:sz w:val="20"/>
                <w:szCs w:val="20"/>
                <w:lang w:val="es-ES_tradnl"/>
              </w:rPr>
              <w:t xml:space="preserve">la </w:t>
            </w:r>
            <w:r w:rsidRPr="00976BFF">
              <w:rPr>
                <w:rFonts w:ascii="Times New Roman" w:hAnsi="Times New Roman" w:cs="Times New Roman"/>
                <w:sz w:val="20"/>
                <w:szCs w:val="20"/>
                <w:lang w:val="es-ES_tradnl"/>
              </w:rPr>
              <w:t>evaluación de zonas protegidas y otras cuestiones necesarias para esta nueva operación).</w:t>
            </w:r>
          </w:p>
        </w:tc>
        <w:tc>
          <w:tcPr>
            <w:tcW w:w="3060"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-Manual ambiental actualizado</w:t>
            </w:r>
            <w:r w:rsidRPr="00976BFF">
              <w:rPr>
                <w:rFonts w:ascii="Times New Roman" w:hAnsi="Times New Roman" w:cs="Times New Roman"/>
                <w:sz w:val="20"/>
                <w:szCs w:val="20"/>
                <w:lang w:val="es-ES_tradnl"/>
              </w:rPr>
              <w:br/>
              <w:t>-Aprobación del manual por la DNV</w:t>
            </w:r>
          </w:p>
        </w:tc>
        <w:tc>
          <w:tcPr>
            <w:tcW w:w="1458"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DNV</w:t>
            </w:r>
          </w:p>
        </w:tc>
      </w:tr>
      <w:tr w:rsidR="00404DDA" w:rsidRPr="00976BFF">
        <w:tc>
          <w:tcPr>
            <w:tcW w:w="3888" w:type="dxa"/>
          </w:tcPr>
          <w:p w:rsidR="00404DDA" w:rsidRPr="00976BFF" w:rsidRDefault="00D700A2" w:rsidP="00423929">
            <w:pPr>
              <w:rPr>
                <w:sz w:val="20"/>
                <w:szCs w:val="20"/>
                <w:lang w:val="es-ES_tradnl"/>
              </w:rPr>
            </w:pPr>
            <w:r>
              <w:rPr>
                <w:rFonts w:ascii="Times New Roman" w:hAnsi="Times New Roman" w:cs="Times New Roman"/>
                <w:sz w:val="20"/>
                <w:szCs w:val="20"/>
                <w:lang w:val="es-ES_tradnl"/>
              </w:rPr>
              <w:t>Reforzar</w:t>
            </w:r>
            <w:r w:rsidR="00404DDA" w:rsidRPr="00976BFF">
              <w:rPr>
                <w:rFonts w:ascii="Times New Roman" w:hAnsi="Times New Roman" w:cs="Times New Roman"/>
                <w:sz w:val="20"/>
                <w:szCs w:val="20"/>
                <w:lang w:val="es-ES_tradnl"/>
              </w:rPr>
              <w:t xml:space="preserve"> la </w:t>
            </w:r>
            <w:r w:rsidR="00423929">
              <w:rPr>
                <w:rFonts w:ascii="Times New Roman" w:hAnsi="Times New Roman" w:cs="Times New Roman"/>
                <w:sz w:val="20"/>
                <w:szCs w:val="20"/>
                <w:lang w:val="es-ES_tradnl"/>
              </w:rPr>
              <w:t>u</w:t>
            </w:r>
            <w:r w:rsidR="00423929" w:rsidRPr="00976BFF">
              <w:rPr>
                <w:rFonts w:ascii="Times New Roman" w:hAnsi="Times New Roman" w:cs="Times New Roman"/>
                <w:sz w:val="20"/>
                <w:szCs w:val="20"/>
                <w:lang w:val="es-ES_tradnl"/>
              </w:rPr>
              <w:t xml:space="preserve">nidad </w:t>
            </w:r>
            <w:r w:rsidR="00423929">
              <w:rPr>
                <w:rFonts w:ascii="Times New Roman" w:hAnsi="Times New Roman" w:cs="Times New Roman"/>
                <w:sz w:val="20"/>
                <w:szCs w:val="20"/>
                <w:lang w:val="es-ES_tradnl"/>
              </w:rPr>
              <w:t>a</w:t>
            </w:r>
            <w:r w:rsidR="00423929" w:rsidRPr="00976BFF">
              <w:rPr>
                <w:rFonts w:ascii="Times New Roman" w:hAnsi="Times New Roman" w:cs="Times New Roman"/>
                <w:sz w:val="20"/>
                <w:szCs w:val="20"/>
                <w:lang w:val="es-ES_tradnl"/>
              </w:rPr>
              <w:t xml:space="preserve">mbiental </w:t>
            </w:r>
            <w:r w:rsidR="00404DDA" w:rsidRPr="00976BFF">
              <w:rPr>
                <w:rFonts w:ascii="Times New Roman" w:hAnsi="Times New Roman" w:cs="Times New Roman"/>
                <w:sz w:val="20"/>
                <w:szCs w:val="20"/>
                <w:lang w:val="es-ES_tradnl"/>
              </w:rPr>
              <w:t xml:space="preserve">con un </w:t>
            </w:r>
            <w:r w:rsidR="001C47AE">
              <w:rPr>
                <w:rFonts w:ascii="Times New Roman" w:hAnsi="Times New Roman" w:cs="Times New Roman"/>
                <w:sz w:val="20"/>
                <w:szCs w:val="20"/>
                <w:lang w:val="es-ES_tradnl"/>
              </w:rPr>
              <w:t xml:space="preserve">especialista en medio ambiente </w:t>
            </w:r>
            <w:r w:rsidR="00404DDA" w:rsidRPr="00976BFF">
              <w:rPr>
                <w:rFonts w:ascii="Times New Roman" w:hAnsi="Times New Roman" w:cs="Times New Roman"/>
                <w:sz w:val="20"/>
                <w:szCs w:val="20"/>
                <w:lang w:val="es-ES_tradnl"/>
              </w:rPr>
              <w:t>de tiempo completo.</w:t>
            </w:r>
          </w:p>
        </w:tc>
        <w:tc>
          <w:tcPr>
            <w:tcW w:w="3060" w:type="dxa"/>
          </w:tcPr>
          <w:p w:rsidR="00404DDA" w:rsidRPr="00976BFF" w:rsidRDefault="00404DDA" w:rsidP="00D700A2">
            <w:pPr>
              <w:rPr>
                <w:sz w:val="20"/>
                <w:szCs w:val="20"/>
                <w:lang w:val="es-ES_tradnl"/>
              </w:rPr>
            </w:pPr>
            <w:r w:rsidRPr="00976BFF">
              <w:rPr>
                <w:rFonts w:ascii="Times New Roman" w:hAnsi="Times New Roman" w:cs="Times New Roman"/>
                <w:sz w:val="20"/>
                <w:szCs w:val="20"/>
                <w:lang w:val="es-ES_tradnl"/>
              </w:rPr>
              <w:t>Contratar, como mínimo, un especialista en medio ambiente de tiempo completo</w:t>
            </w:r>
          </w:p>
        </w:tc>
        <w:tc>
          <w:tcPr>
            <w:tcW w:w="1458"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DNV</w:t>
            </w:r>
          </w:p>
        </w:tc>
      </w:tr>
      <w:tr w:rsidR="00404DDA" w:rsidRPr="00976BFF">
        <w:tc>
          <w:tcPr>
            <w:tcW w:w="3888" w:type="dxa"/>
          </w:tcPr>
          <w:p w:rsidR="00404DDA" w:rsidRPr="00976BFF" w:rsidRDefault="00404DDA" w:rsidP="00D61A8A">
            <w:pPr>
              <w:rPr>
                <w:sz w:val="20"/>
                <w:szCs w:val="20"/>
                <w:lang w:val="es-ES_tradnl"/>
              </w:rPr>
            </w:pPr>
            <w:r w:rsidRPr="00976BFF">
              <w:rPr>
                <w:rFonts w:ascii="Times New Roman" w:hAnsi="Times New Roman" w:cs="Times New Roman"/>
                <w:sz w:val="20"/>
                <w:szCs w:val="20"/>
                <w:lang w:val="es-ES_tradnl"/>
              </w:rPr>
              <w:t>Realizar una auditoría ambiental cada seis meses en grupos de contratos</w:t>
            </w:r>
            <w:r w:rsidR="00D700A2">
              <w:rPr>
                <w:rFonts w:ascii="Times New Roman" w:hAnsi="Times New Roman" w:cs="Times New Roman"/>
                <w:sz w:val="20"/>
                <w:szCs w:val="20"/>
                <w:lang w:val="es-ES_tradnl"/>
              </w:rPr>
              <w:t xml:space="preserve"> </w:t>
            </w:r>
            <w:r w:rsidR="00D700A2" w:rsidRPr="00976BFF">
              <w:rPr>
                <w:rFonts w:ascii="Times New Roman" w:hAnsi="Times New Roman" w:cs="Times New Roman"/>
                <w:sz w:val="20"/>
                <w:szCs w:val="20"/>
                <w:lang w:val="es-ES_tradnl"/>
              </w:rPr>
              <w:t>seleccionados</w:t>
            </w:r>
            <w:r w:rsidR="00D700A2">
              <w:rPr>
                <w:rFonts w:ascii="Times New Roman" w:hAnsi="Times New Roman" w:cs="Times New Roman"/>
                <w:sz w:val="20"/>
                <w:szCs w:val="20"/>
                <w:lang w:val="es-ES_tradnl"/>
              </w:rPr>
              <w:t xml:space="preserve"> para ese fin</w:t>
            </w:r>
            <w:r w:rsidRPr="00976BFF">
              <w:rPr>
                <w:rFonts w:ascii="Times New Roman" w:hAnsi="Times New Roman" w:cs="Times New Roman"/>
                <w:sz w:val="20"/>
                <w:szCs w:val="20"/>
                <w:lang w:val="es-ES_tradnl"/>
              </w:rPr>
              <w:t xml:space="preserve"> y evaluar el desempeño del </w:t>
            </w:r>
            <w:r w:rsidR="00D61A8A">
              <w:rPr>
                <w:rFonts w:ascii="Times New Roman" w:hAnsi="Times New Roman" w:cs="Times New Roman"/>
                <w:sz w:val="20"/>
                <w:szCs w:val="20"/>
                <w:lang w:val="es-ES_tradnl"/>
              </w:rPr>
              <w:t>P</w:t>
            </w:r>
            <w:r w:rsidR="00D61A8A" w:rsidRPr="00976BFF">
              <w:rPr>
                <w:rFonts w:ascii="Times New Roman" w:hAnsi="Times New Roman" w:cs="Times New Roman"/>
                <w:sz w:val="20"/>
                <w:szCs w:val="20"/>
                <w:lang w:val="es-ES_tradnl"/>
              </w:rPr>
              <w:t xml:space="preserve">lan </w:t>
            </w:r>
            <w:r w:rsidRPr="00976BFF">
              <w:rPr>
                <w:rFonts w:ascii="Times New Roman" w:hAnsi="Times New Roman" w:cs="Times New Roman"/>
                <w:sz w:val="20"/>
                <w:szCs w:val="20"/>
                <w:lang w:val="es-ES_tradnl"/>
              </w:rPr>
              <w:t xml:space="preserve">de </w:t>
            </w:r>
            <w:r w:rsidR="00D61A8A">
              <w:rPr>
                <w:rFonts w:ascii="Times New Roman" w:hAnsi="Times New Roman" w:cs="Times New Roman"/>
                <w:sz w:val="20"/>
                <w:szCs w:val="20"/>
                <w:lang w:val="es-ES_tradnl"/>
              </w:rPr>
              <w:t>A</w:t>
            </w:r>
            <w:r w:rsidR="00D61A8A" w:rsidRPr="00976BFF">
              <w:rPr>
                <w:rFonts w:ascii="Times New Roman" w:hAnsi="Times New Roman" w:cs="Times New Roman"/>
                <w:sz w:val="20"/>
                <w:szCs w:val="20"/>
                <w:lang w:val="es-ES_tradnl"/>
              </w:rPr>
              <w:t>cción</w:t>
            </w:r>
            <w:r w:rsidRPr="00976BFF">
              <w:rPr>
                <w:rFonts w:ascii="Times New Roman" w:hAnsi="Times New Roman" w:cs="Times New Roman"/>
                <w:sz w:val="20"/>
                <w:szCs w:val="20"/>
                <w:lang w:val="es-ES_tradnl"/>
              </w:rPr>
              <w:t>.</w:t>
            </w:r>
          </w:p>
        </w:tc>
        <w:tc>
          <w:tcPr>
            <w:tcW w:w="3060"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-Dos informes de auditoría ambiental al año</w:t>
            </w:r>
          </w:p>
        </w:tc>
        <w:tc>
          <w:tcPr>
            <w:tcW w:w="1458"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DNV</w:t>
            </w:r>
          </w:p>
        </w:tc>
      </w:tr>
      <w:tr w:rsidR="00404DDA" w:rsidRPr="00976BFF">
        <w:tc>
          <w:tcPr>
            <w:tcW w:w="3888"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Definir mecanismos formales de reclamación, comunicación y acceso a la información.</w:t>
            </w:r>
          </w:p>
        </w:tc>
        <w:tc>
          <w:tcPr>
            <w:tcW w:w="3060" w:type="dxa"/>
          </w:tcPr>
          <w:p w:rsidR="00404DDA" w:rsidRPr="00976BFF" w:rsidRDefault="00404DDA" w:rsidP="00835AB6">
            <w:pPr>
              <w:rPr>
                <w:rFonts w:ascii="Times New Roman" w:hAnsi="Times New Roman" w:cs="Times New Roman"/>
                <w:bCs/>
                <w:sz w:val="20"/>
                <w:szCs w:val="20"/>
                <w:lang w:val="es-ES_tradnl"/>
              </w:rPr>
            </w:pPr>
            <w:r w:rsidRPr="00976BFF">
              <w:rPr>
                <w:rFonts w:ascii="Times New Roman" w:hAnsi="Times New Roman" w:cs="Times New Roman"/>
                <w:bCs/>
                <w:sz w:val="20"/>
                <w:szCs w:val="20"/>
                <w:lang w:val="es-ES_tradnl"/>
              </w:rPr>
              <w:t xml:space="preserve">-Los mecanismos se definen y se acuerdan y se publican en la página de la UAV en el sitio web del MTOP </w:t>
            </w:r>
          </w:p>
        </w:tc>
        <w:tc>
          <w:tcPr>
            <w:tcW w:w="1458"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DNV</w:t>
            </w:r>
          </w:p>
        </w:tc>
      </w:tr>
      <w:tr w:rsidR="00404DDA" w:rsidRPr="00976BFF">
        <w:tc>
          <w:tcPr>
            <w:tcW w:w="3888" w:type="dxa"/>
          </w:tcPr>
          <w:p w:rsidR="00404DDA" w:rsidRPr="00976BFF" w:rsidRDefault="00404DDA" w:rsidP="00D700A2">
            <w:pPr>
              <w:rPr>
                <w:sz w:val="20"/>
                <w:szCs w:val="20"/>
                <w:lang w:val="es-ES_tradnl"/>
              </w:rPr>
            </w:pPr>
            <w:r w:rsidRPr="00976BFF">
              <w:rPr>
                <w:rFonts w:ascii="Times New Roman" w:hAnsi="Times New Roman" w:cs="Times New Roman"/>
                <w:sz w:val="20"/>
                <w:szCs w:val="20"/>
                <w:lang w:val="es-ES_tradnl"/>
              </w:rPr>
              <w:t xml:space="preserve">Llevar a cabo un </w:t>
            </w:r>
            <w:r w:rsidR="00D700A2">
              <w:rPr>
                <w:rFonts w:ascii="Times New Roman" w:hAnsi="Times New Roman" w:cs="Times New Roman"/>
                <w:sz w:val="20"/>
                <w:szCs w:val="20"/>
                <w:lang w:val="es-ES_tradnl"/>
              </w:rPr>
              <w:t>p</w:t>
            </w:r>
            <w:r w:rsidR="009B073D" w:rsidRPr="00976BFF">
              <w:rPr>
                <w:rFonts w:ascii="Times New Roman" w:hAnsi="Times New Roman" w:cs="Times New Roman"/>
                <w:sz w:val="20"/>
                <w:szCs w:val="20"/>
                <w:lang w:val="es-ES_tradnl"/>
              </w:rPr>
              <w:t>rograma</w:t>
            </w:r>
            <w:r w:rsidRPr="00976BFF">
              <w:rPr>
                <w:rFonts w:ascii="Times New Roman" w:hAnsi="Times New Roman" w:cs="Times New Roman"/>
                <w:sz w:val="20"/>
                <w:szCs w:val="20"/>
                <w:lang w:val="es-ES_tradnl"/>
              </w:rPr>
              <w:t xml:space="preserve"> de fortalecimiento de la capacidad ambiental para los organismos de ejecución (</w:t>
            </w:r>
            <w:r w:rsidR="00D700A2">
              <w:rPr>
                <w:rFonts w:ascii="Times New Roman" w:hAnsi="Times New Roman" w:cs="Times New Roman"/>
                <w:sz w:val="20"/>
                <w:szCs w:val="20"/>
                <w:lang w:val="es-ES_tradnl"/>
              </w:rPr>
              <w:t xml:space="preserve">a nivel </w:t>
            </w:r>
            <w:r w:rsidRPr="00976BFF">
              <w:rPr>
                <w:rFonts w:ascii="Times New Roman" w:hAnsi="Times New Roman" w:cs="Times New Roman"/>
                <w:sz w:val="20"/>
                <w:szCs w:val="20"/>
                <w:lang w:val="es-ES_tradnl"/>
              </w:rPr>
              <w:t>central y regional).</w:t>
            </w:r>
          </w:p>
        </w:tc>
        <w:tc>
          <w:tcPr>
            <w:tcW w:w="3060" w:type="dxa"/>
          </w:tcPr>
          <w:p w:rsidR="00404DDA" w:rsidRPr="00976BFF" w:rsidRDefault="00404DDA" w:rsidP="00835AB6">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-Al menos un 75% del personal recibe capacitación (para más detalles, véase la evaluación de los sistemas ambientales y sociales)</w:t>
            </w:r>
          </w:p>
          <w:p w:rsidR="00404DDA" w:rsidRPr="00976BFF" w:rsidRDefault="00404DDA" w:rsidP="00164A9B">
            <w:pPr>
              <w:rPr>
                <w:sz w:val="20"/>
                <w:szCs w:val="20"/>
                <w:lang w:val="es-ES_tradnl"/>
              </w:rPr>
            </w:pPr>
            <w:r w:rsidRPr="00976BFF">
              <w:rPr>
                <w:rFonts w:ascii="Times New Roman" w:hAnsi="Times New Roman" w:cs="Times New Roman"/>
                <w:sz w:val="20"/>
                <w:szCs w:val="20"/>
                <w:lang w:val="es-ES_tradnl"/>
              </w:rPr>
              <w:t>-</w:t>
            </w:r>
            <w:r w:rsidR="00164A9B">
              <w:rPr>
                <w:rFonts w:ascii="Times New Roman" w:hAnsi="Times New Roman" w:cs="Times New Roman"/>
                <w:sz w:val="20"/>
                <w:szCs w:val="20"/>
                <w:lang w:val="es-ES_tradnl"/>
              </w:rPr>
              <w:t>M</w:t>
            </w:r>
            <w:r w:rsidR="00164A9B" w:rsidRPr="00976BFF">
              <w:rPr>
                <w:rFonts w:ascii="Times New Roman" w:hAnsi="Times New Roman" w:cs="Times New Roman"/>
                <w:sz w:val="20"/>
                <w:szCs w:val="20"/>
                <w:lang w:val="es-ES_tradnl"/>
              </w:rPr>
              <w:t xml:space="preserve">aterial </w:t>
            </w:r>
            <w:r w:rsidRPr="00976BFF">
              <w:rPr>
                <w:rFonts w:ascii="Times New Roman" w:hAnsi="Times New Roman" w:cs="Times New Roman"/>
                <w:sz w:val="20"/>
                <w:szCs w:val="20"/>
                <w:lang w:val="es-ES_tradnl"/>
              </w:rPr>
              <w:t>y lista de participantes</w:t>
            </w:r>
          </w:p>
        </w:tc>
        <w:tc>
          <w:tcPr>
            <w:tcW w:w="1458"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DNV</w:t>
            </w:r>
          </w:p>
        </w:tc>
      </w:tr>
    </w:tbl>
    <w:p w:rsidR="00404DDA" w:rsidRPr="00976BFF" w:rsidRDefault="00404DDA" w:rsidP="00404DDA">
      <w:pPr>
        <w:rPr>
          <w:lang w:val="es-ES_tradnl"/>
        </w:rPr>
      </w:pPr>
    </w:p>
    <w:tbl>
      <w:tblPr>
        <w:tblStyle w:val="TableGrid"/>
        <w:tblW w:w="0" w:type="auto"/>
        <w:tblLook w:val="04A0" w:firstRow="1" w:lastRow="0" w:firstColumn="1" w:lastColumn="0" w:noHBand="0" w:noVBand="1"/>
      </w:tblPr>
      <w:tblGrid>
        <w:gridCol w:w="3888"/>
        <w:gridCol w:w="3060"/>
        <w:gridCol w:w="1458"/>
      </w:tblGrid>
      <w:tr w:rsidR="00404DDA" w:rsidRPr="00976BFF">
        <w:tc>
          <w:tcPr>
            <w:tcW w:w="3888" w:type="dxa"/>
          </w:tcPr>
          <w:p w:rsidR="00404DDA" w:rsidRPr="00976BFF" w:rsidRDefault="00404DDA" w:rsidP="00835AB6">
            <w:pPr>
              <w:jc w:val="center"/>
              <w:rPr>
                <w:b/>
                <w:lang w:val="es-ES_tradnl"/>
              </w:rPr>
            </w:pPr>
            <w:r w:rsidRPr="00976BFF">
              <w:rPr>
                <w:rFonts w:ascii="Times New Roman" w:hAnsi="Times New Roman" w:cs="Times New Roman"/>
                <w:b/>
                <w:lang w:val="es-ES_tradnl"/>
              </w:rPr>
              <w:t>B. Actividades sociales</w:t>
            </w:r>
          </w:p>
        </w:tc>
        <w:tc>
          <w:tcPr>
            <w:tcW w:w="3060" w:type="dxa"/>
          </w:tcPr>
          <w:p w:rsidR="00404DDA" w:rsidRPr="00976BFF" w:rsidRDefault="00404DDA" w:rsidP="00835AB6">
            <w:pPr>
              <w:jc w:val="center"/>
              <w:rPr>
                <w:b/>
                <w:lang w:val="es-ES_tradnl"/>
              </w:rPr>
            </w:pPr>
            <w:r w:rsidRPr="00976BFF">
              <w:rPr>
                <w:rFonts w:ascii="Times New Roman" w:hAnsi="Times New Roman" w:cs="Times New Roman"/>
                <w:b/>
                <w:lang w:val="es-ES_tradnl"/>
              </w:rPr>
              <w:t>Indicador</w:t>
            </w:r>
          </w:p>
        </w:tc>
        <w:tc>
          <w:tcPr>
            <w:tcW w:w="1458" w:type="dxa"/>
          </w:tcPr>
          <w:p w:rsidR="00404DDA" w:rsidRPr="00976BFF" w:rsidRDefault="00404DDA" w:rsidP="003824A7">
            <w:pPr>
              <w:jc w:val="center"/>
              <w:rPr>
                <w:b/>
                <w:lang w:val="es-ES_tradnl"/>
              </w:rPr>
            </w:pPr>
            <w:r w:rsidRPr="00976BFF">
              <w:rPr>
                <w:rFonts w:ascii="Times New Roman" w:hAnsi="Times New Roman" w:cs="Times New Roman"/>
                <w:b/>
                <w:lang w:val="es-ES_tradnl"/>
              </w:rPr>
              <w:t xml:space="preserve">Institución </w:t>
            </w:r>
            <w:r w:rsidR="003824A7">
              <w:rPr>
                <w:rFonts w:ascii="Times New Roman" w:hAnsi="Times New Roman" w:cs="Times New Roman"/>
                <w:b/>
                <w:lang w:val="es-ES_tradnl"/>
              </w:rPr>
              <w:t>r</w:t>
            </w:r>
            <w:r w:rsidR="003824A7" w:rsidRPr="00976BFF">
              <w:rPr>
                <w:rFonts w:ascii="Times New Roman" w:hAnsi="Times New Roman" w:cs="Times New Roman"/>
                <w:b/>
                <w:lang w:val="es-ES_tradnl"/>
              </w:rPr>
              <w:t>esponsable</w:t>
            </w:r>
          </w:p>
        </w:tc>
      </w:tr>
      <w:tr w:rsidR="00404DDA" w:rsidRPr="00976BFF">
        <w:tc>
          <w:tcPr>
            <w:tcW w:w="3888" w:type="dxa"/>
          </w:tcPr>
          <w:p w:rsidR="00404DDA" w:rsidRPr="00976BFF" w:rsidRDefault="00404DDA" w:rsidP="00164A9B">
            <w:pPr>
              <w:rPr>
                <w:sz w:val="20"/>
                <w:szCs w:val="20"/>
                <w:lang w:val="es-ES_tradnl"/>
              </w:rPr>
            </w:pPr>
            <w:r w:rsidRPr="00976BFF">
              <w:rPr>
                <w:rFonts w:ascii="Times New Roman" w:hAnsi="Times New Roman" w:cs="Times New Roman"/>
                <w:sz w:val="20"/>
                <w:szCs w:val="20"/>
                <w:lang w:val="es-ES_tradnl"/>
              </w:rPr>
              <w:t xml:space="preserve">Elaborar un </w:t>
            </w:r>
            <w:r w:rsidR="00164A9B">
              <w:rPr>
                <w:rFonts w:ascii="Times New Roman" w:hAnsi="Times New Roman" w:cs="Times New Roman"/>
                <w:sz w:val="20"/>
                <w:szCs w:val="20"/>
                <w:lang w:val="es-ES_tradnl"/>
              </w:rPr>
              <w:t>m</w:t>
            </w:r>
            <w:r w:rsidR="00164A9B" w:rsidRPr="00976BFF">
              <w:rPr>
                <w:rFonts w:ascii="Times New Roman" w:hAnsi="Times New Roman" w:cs="Times New Roman"/>
                <w:sz w:val="20"/>
                <w:szCs w:val="20"/>
                <w:lang w:val="es-ES_tradnl"/>
              </w:rPr>
              <w:t xml:space="preserve">anual </w:t>
            </w:r>
            <w:r w:rsidRPr="00976BFF">
              <w:rPr>
                <w:rFonts w:ascii="Times New Roman" w:hAnsi="Times New Roman" w:cs="Times New Roman"/>
                <w:sz w:val="20"/>
                <w:szCs w:val="20"/>
                <w:lang w:val="es-ES_tradnl"/>
              </w:rPr>
              <w:t xml:space="preserve">de </w:t>
            </w:r>
            <w:r w:rsidR="00164A9B">
              <w:rPr>
                <w:rFonts w:ascii="Times New Roman" w:hAnsi="Times New Roman" w:cs="Times New Roman"/>
                <w:sz w:val="20"/>
                <w:szCs w:val="20"/>
                <w:lang w:val="es-ES_tradnl"/>
              </w:rPr>
              <w:t>p</w:t>
            </w:r>
            <w:r w:rsidR="00164A9B" w:rsidRPr="00976BFF">
              <w:rPr>
                <w:rFonts w:ascii="Times New Roman" w:hAnsi="Times New Roman" w:cs="Times New Roman"/>
                <w:sz w:val="20"/>
                <w:szCs w:val="20"/>
                <w:lang w:val="es-ES_tradnl"/>
              </w:rPr>
              <w:t xml:space="preserve">rocedimientos </w:t>
            </w:r>
            <w:r w:rsidRPr="00976BFF">
              <w:rPr>
                <w:rFonts w:ascii="Times New Roman" w:hAnsi="Times New Roman" w:cs="Times New Roman"/>
                <w:sz w:val="20"/>
                <w:szCs w:val="20"/>
                <w:lang w:val="es-ES_tradnl"/>
              </w:rPr>
              <w:t xml:space="preserve">de </w:t>
            </w:r>
            <w:r w:rsidR="00164A9B">
              <w:rPr>
                <w:rFonts w:ascii="Times New Roman" w:hAnsi="Times New Roman" w:cs="Times New Roman"/>
                <w:sz w:val="20"/>
                <w:szCs w:val="20"/>
                <w:lang w:val="es-ES_tradnl"/>
              </w:rPr>
              <w:t>e</w:t>
            </w:r>
            <w:r w:rsidR="00164A9B" w:rsidRPr="00976BFF">
              <w:rPr>
                <w:rFonts w:ascii="Times New Roman" w:hAnsi="Times New Roman" w:cs="Times New Roman"/>
                <w:sz w:val="20"/>
                <w:szCs w:val="20"/>
                <w:lang w:val="es-ES_tradnl"/>
              </w:rPr>
              <w:t xml:space="preserve">xpropiación </w:t>
            </w:r>
            <w:r w:rsidRPr="00976BFF">
              <w:rPr>
                <w:rFonts w:ascii="Times New Roman" w:hAnsi="Times New Roman" w:cs="Times New Roman"/>
                <w:sz w:val="20"/>
                <w:szCs w:val="20"/>
                <w:lang w:val="es-ES_tradnl"/>
              </w:rPr>
              <w:t xml:space="preserve">y </w:t>
            </w:r>
            <w:r w:rsidR="00164A9B">
              <w:rPr>
                <w:rFonts w:ascii="Times New Roman" w:hAnsi="Times New Roman" w:cs="Times New Roman"/>
                <w:sz w:val="20"/>
                <w:szCs w:val="20"/>
                <w:lang w:val="es-ES_tradnl"/>
              </w:rPr>
              <w:t>g</w:t>
            </w:r>
            <w:r w:rsidR="00164A9B" w:rsidRPr="00976BFF">
              <w:rPr>
                <w:rFonts w:ascii="Times New Roman" w:hAnsi="Times New Roman" w:cs="Times New Roman"/>
                <w:sz w:val="20"/>
                <w:szCs w:val="20"/>
                <w:lang w:val="es-ES_tradnl"/>
              </w:rPr>
              <w:t xml:space="preserve">estión </w:t>
            </w:r>
            <w:r w:rsidR="00164A9B">
              <w:rPr>
                <w:rFonts w:ascii="Times New Roman" w:hAnsi="Times New Roman" w:cs="Times New Roman"/>
                <w:sz w:val="20"/>
                <w:szCs w:val="20"/>
                <w:lang w:val="es-ES_tradnl"/>
              </w:rPr>
              <w:t>s</w:t>
            </w:r>
            <w:r w:rsidR="00164A9B" w:rsidRPr="00976BFF">
              <w:rPr>
                <w:rFonts w:ascii="Times New Roman" w:hAnsi="Times New Roman" w:cs="Times New Roman"/>
                <w:sz w:val="20"/>
                <w:szCs w:val="20"/>
                <w:lang w:val="es-ES_tradnl"/>
              </w:rPr>
              <w:t>ocial</w:t>
            </w:r>
            <w:r w:rsidRPr="00976BFF">
              <w:rPr>
                <w:rFonts w:ascii="Times New Roman" w:hAnsi="Times New Roman" w:cs="Times New Roman"/>
                <w:sz w:val="20"/>
                <w:szCs w:val="20"/>
                <w:lang w:val="es-ES_tradnl"/>
              </w:rPr>
              <w:t>.</w:t>
            </w:r>
          </w:p>
        </w:tc>
        <w:tc>
          <w:tcPr>
            <w:tcW w:w="3060" w:type="dxa"/>
          </w:tcPr>
          <w:p w:rsidR="00404DDA" w:rsidRPr="00976BFF" w:rsidRDefault="00404DDA" w:rsidP="00835AB6">
            <w:pPr>
              <w:rPr>
                <w:sz w:val="20"/>
                <w:szCs w:val="20"/>
                <w:lang w:val="es-ES_tradnl"/>
              </w:rPr>
            </w:pPr>
            <w:r w:rsidRPr="00976BFF">
              <w:rPr>
                <w:rFonts w:ascii="Times New Roman" w:hAnsi="Times New Roman" w:cs="Times New Roman"/>
                <w:sz w:val="20"/>
                <w:szCs w:val="20"/>
                <w:lang w:val="es-ES_tradnl"/>
              </w:rPr>
              <w:t xml:space="preserve">Aprobación del manual por el MTOP. Se adjunta en forma rutinaria a las especificaciones de las licitaciones. </w:t>
            </w:r>
          </w:p>
        </w:tc>
        <w:tc>
          <w:tcPr>
            <w:tcW w:w="1458" w:type="dxa"/>
          </w:tcPr>
          <w:p w:rsidR="00404DDA" w:rsidRPr="00976BFF" w:rsidRDefault="00404DDA" w:rsidP="00835AB6">
            <w:pPr>
              <w:rPr>
                <w:rFonts w:ascii="Times New Roman" w:eastAsia="Times New Roman" w:hAnsi="Times New Roman" w:cs="Times New Roman"/>
                <w:bCs/>
                <w:sz w:val="20"/>
                <w:szCs w:val="20"/>
                <w:lang w:val="es-ES_tradnl"/>
              </w:rPr>
            </w:pPr>
            <w:r w:rsidRPr="00976BFF">
              <w:rPr>
                <w:rFonts w:ascii="Times New Roman" w:hAnsi="Times New Roman" w:cs="Times New Roman"/>
                <w:sz w:val="20"/>
                <w:szCs w:val="20"/>
                <w:lang w:val="es-ES_tradnl"/>
              </w:rPr>
              <w:t>DNTop</w:t>
            </w:r>
          </w:p>
        </w:tc>
      </w:tr>
      <w:tr w:rsidR="00404DDA" w:rsidRPr="00976BFF">
        <w:tc>
          <w:tcPr>
            <w:tcW w:w="3888" w:type="dxa"/>
          </w:tcPr>
          <w:p w:rsidR="00404DDA" w:rsidRPr="00976BFF" w:rsidRDefault="00404DDA" w:rsidP="00164A9B">
            <w:pPr>
              <w:rPr>
                <w:rFonts w:ascii="Times New Roman" w:eastAsia="Times New Roman" w:hAnsi="Times New Roman" w:cs="Times New Roman"/>
                <w:sz w:val="20"/>
                <w:szCs w:val="20"/>
                <w:lang w:val="es-ES_tradnl"/>
              </w:rPr>
            </w:pPr>
            <w:r w:rsidRPr="00976BFF">
              <w:rPr>
                <w:rFonts w:ascii="Times New Roman" w:eastAsia="Times New Roman" w:hAnsi="Times New Roman" w:cs="Times New Roman"/>
                <w:sz w:val="20"/>
                <w:szCs w:val="20"/>
                <w:lang w:val="es-ES_tradnl"/>
              </w:rPr>
              <w:t xml:space="preserve">Llevar a cabo un taller internacional sobre gestión social </w:t>
            </w:r>
            <w:r w:rsidR="00164A9B">
              <w:rPr>
                <w:rFonts w:ascii="Times New Roman" w:eastAsia="Times New Roman" w:hAnsi="Times New Roman" w:cs="Times New Roman"/>
                <w:sz w:val="20"/>
                <w:szCs w:val="20"/>
                <w:lang w:val="es-ES_tradnl"/>
              </w:rPr>
              <w:t>para</w:t>
            </w:r>
            <w:r w:rsidRPr="00976BFF">
              <w:rPr>
                <w:rFonts w:ascii="Times New Roman" w:eastAsia="Times New Roman" w:hAnsi="Times New Roman" w:cs="Times New Roman"/>
                <w:sz w:val="20"/>
                <w:szCs w:val="20"/>
                <w:lang w:val="es-ES_tradnl"/>
              </w:rPr>
              <w:t xml:space="preserve"> mejorar la gestión social de los proyectos del MTOP y facilitar la cooperación con instituciones de otros países en esta esfera. </w:t>
            </w:r>
          </w:p>
        </w:tc>
        <w:tc>
          <w:tcPr>
            <w:tcW w:w="3060" w:type="dxa"/>
          </w:tcPr>
          <w:p w:rsidR="00404DDA" w:rsidRPr="00976BFF" w:rsidRDefault="00404DDA" w:rsidP="00164A9B">
            <w:pPr>
              <w:rPr>
                <w:rFonts w:ascii="Times New Roman" w:eastAsia="Times New Roman" w:hAnsi="Times New Roman" w:cs="Times New Roman"/>
                <w:bCs/>
                <w:sz w:val="20"/>
                <w:szCs w:val="20"/>
                <w:lang w:val="es-ES_tradnl"/>
              </w:rPr>
            </w:pPr>
            <w:r w:rsidRPr="00976BFF">
              <w:rPr>
                <w:rFonts w:ascii="Times New Roman" w:eastAsia="Times New Roman" w:hAnsi="Times New Roman" w:cs="Times New Roman"/>
                <w:bCs/>
                <w:sz w:val="20"/>
                <w:szCs w:val="20"/>
                <w:lang w:val="es-ES_tradnl"/>
              </w:rPr>
              <w:t xml:space="preserve">Las conclusiones y recomendaciones del taller se incorporaron en el </w:t>
            </w:r>
            <w:r w:rsidR="00164A9B">
              <w:rPr>
                <w:rFonts w:ascii="Times New Roman" w:hAnsi="Times New Roman" w:cs="Times New Roman"/>
                <w:sz w:val="20"/>
                <w:szCs w:val="20"/>
                <w:lang w:val="es-ES_tradnl"/>
              </w:rPr>
              <w:t>m</w:t>
            </w:r>
            <w:r w:rsidR="00164A9B" w:rsidRPr="00976BFF">
              <w:rPr>
                <w:rFonts w:ascii="Times New Roman" w:hAnsi="Times New Roman" w:cs="Times New Roman"/>
                <w:sz w:val="20"/>
                <w:szCs w:val="20"/>
                <w:lang w:val="es-ES_tradnl"/>
              </w:rPr>
              <w:t xml:space="preserve">anual </w:t>
            </w:r>
            <w:r w:rsidRPr="00976BFF">
              <w:rPr>
                <w:rFonts w:ascii="Times New Roman" w:hAnsi="Times New Roman" w:cs="Times New Roman"/>
                <w:sz w:val="20"/>
                <w:szCs w:val="20"/>
                <w:lang w:val="es-ES_tradnl"/>
              </w:rPr>
              <w:t xml:space="preserve">de </w:t>
            </w:r>
            <w:r w:rsidR="00164A9B">
              <w:rPr>
                <w:rFonts w:ascii="Times New Roman" w:hAnsi="Times New Roman" w:cs="Times New Roman"/>
                <w:sz w:val="20"/>
                <w:szCs w:val="20"/>
                <w:lang w:val="es-ES_tradnl"/>
              </w:rPr>
              <w:t>p</w:t>
            </w:r>
            <w:r w:rsidR="00164A9B" w:rsidRPr="00976BFF">
              <w:rPr>
                <w:rFonts w:ascii="Times New Roman" w:hAnsi="Times New Roman" w:cs="Times New Roman"/>
                <w:sz w:val="20"/>
                <w:szCs w:val="20"/>
                <w:lang w:val="es-ES_tradnl"/>
              </w:rPr>
              <w:t xml:space="preserve">rocedimientos </w:t>
            </w:r>
            <w:r w:rsidRPr="00976BFF">
              <w:rPr>
                <w:rFonts w:ascii="Times New Roman" w:hAnsi="Times New Roman" w:cs="Times New Roman"/>
                <w:sz w:val="20"/>
                <w:szCs w:val="20"/>
                <w:lang w:val="es-ES_tradnl"/>
              </w:rPr>
              <w:t xml:space="preserve">de </w:t>
            </w:r>
            <w:r w:rsidR="00164A9B">
              <w:rPr>
                <w:rFonts w:ascii="Times New Roman" w:hAnsi="Times New Roman" w:cs="Times New Roman"/>
                <w:sz w:val="20"/>
                <w:szCs w:val="20"/>
                <w:lang w:val="es-ES_tradnl"/>
              </w:rPr>
              <w:t>e</w:t>
            </w:r>
            <w:r w:rsidR="00164A9B" w:rsidRPr="00976BFF">
              <w:rPr>
                <w:rFonts w:ascii="Times New Roman" w:hAnsi="Times New Roman" w:cs="Times New Roman"/>
                <w:sz w:val="20"/>
                <w:szCs w:val="20"/>
                <w:lang w:val="es-ES_tradnl"/>
              </w:rPr>
              <w:t xml:space="preserve">xpropiación </w:t>
            </w:r>
            <w:r w:rsidRPr="00976BFF">
              <w:rPr>
                <w:rFonts w:ascii="Times New Roman" w:hAnsi="Times New Roman" w:cs="Times New Roman"/>
                <w:sz w:val="20"/>
                <w:szCs w:val="20"/>
                <w:lang w:val="es-ES_tradnl"/>
              </w:rPr>
              <w:t xml:space="preserve">y </w:t>
            </w:r>
            <w:r w:rsidR="00164A9B">
              <w:rPr>
                <w:rFonts w:ascii="Times New Roman" w:hAnsi="Times New Roman" w:cs="Times New Roman"/>
                <w:sz w:val="20"/>
                <w:szCs w:val="20"/>
                <w:lang w:val="es-ES_tradnl"/>
              </w:rPr>
              <w:t>g</w:t>
            </w:r>
            <w:r w:rsidR="00164A9B" w:rsidRPr="00976BFF">
              <w:rPr>
                <w:rFonts w:ascii="Times New Roman" w:hAnsi="Times New Roman" w:cs="Times New Roman"/>
                <w:sz w:val="20"/>
                <w:szCs w:val="20"/>
                <w:lang w:val="es-ES_tradnl"/>
              </w:rPr>
              <w:t xml:space="preserve">estión </w:t>
            </w:r>
            <w:r w:rsidR="00164A9B">
              <w:rPr>
                <w:rFonts w:ascii="Times New Roman" w:hAnsi="Times New Roman" w:cs="Times New Roman"/>
                <w:sz w:val="20"/>
                <w:szCs w:val="20"/>
                <w:lang w:val="es-ES_tradnl"/>
              </w:rPr>
              <w:t>s</w:t>
            </w:r>
            <w:r w:rsidR="00164A9B" w:rsidRPr="00976BFF">
              <w:rPr>
                <w:rFonts w:ascii="Times New Roman" w:hAnsi="Times New Roman" w:cs="Times New Roman"/>
                <w:sz w:val="20"/>
                <w:szCs w:val="20"/>
                <w:lang w:val="es-ES_tradnl"/>
              </w:rPr>
              <w:t>ocial</w:t>
            </w:r>
            <w:r w:rsidRPr="00976BFF">
              <w:rPr>
                <w:rFonts w:ascii="Times New Roman" w:hAnsi="Times New Roman" w:cs="Times New Roman"/>
                <w:sz w:val="20"/>
                <w:szCs w:val="20"/>
                <w:lang w:val="es-ES_tradnl"/>
              </w:rPr>
              <w:t>.</w:t>
            </w:r>
          </w:p>
        </w:tc>
        <w:tc>
          <w:tcPr>
            <w:tcW w:w="1458" w:type="dxa"/>
          </w:tcPr>
          <w:p w:rsidR="00404DDA" w:rsidRPr="00976BFF" w:rsidRDefault="00404DDA" w:rsidP="00835AB6">
            <w:pPr>
              <w:rPr>
                <w:rFonts w:ascii="Times New Roman" w:eastAsia="Times New Roman" w:hAnsi="Times New Roman" w:cs="Times New Roman"/>
                <w:bCs/>
                <w:sz w:val="20"/>
                <w:szCs w:val="20"/>
                <w:lang w:val="es-ES_tradnl"/>
              </w:rPr>
            </w:pPr>
            <w:r w:rsidRPr="00976BFF">
              <w:rPr>
                <w:rFonts w:ascii="Times New Roman" w:hAnsi="Times New Roman" w:cs="Times New Roman"/>
                <w:sz w:val="20"/>
                <w:szCs w:val="20"/>
                <w:lang w:val="es-ES_tradnl"/>
              </w:rPr>
              <w:t>DNTop</w:t>
            </w:r>
          </w:p>
        </w:tc>
      </w:tr>
      <w:tr w:rsidR="00404DDA" w:rsidRPr="00976BFF">
        <w:tc>
          <w:tcPr>
            <w:tcW w:w="3888" w:type="dxa"/>
          </w:tcPr>
          <w:p w:rsidR="00404DDA" w:rsidRPr="00976BFF" w:rsidRDefault="00404DDA" w:rsidP="00835AB6">
            <w:pPr>
              <w:rPr>
                <w:rFonts w:ascii="Times New Roman" w:eastAsia="Times New Roman" w:hAnsi="Times New Roman" w:cs="Times New Roman"/>
                <w:sz w:val="20"/>
                <w:szCs w:val="20"/>
                <w:lang w:val="es-ES_tradnl"/>
              </w:rPr>
            </w:pPr>
            <w:r w:rsidRPr="00976BFF">
              <w:rPr>
                <w:rFonts w:ascii="Times New Roman" w:eastAsia="Times New Roman" w:hAnsi="Times New Roman" w:cs="Times New Roman"/>
                <w:sz w:val="20"/>
                <w:szCs w:val="20"/>
                <w:lang w:val="es-ES_tradnl"/>
              </w:rPr>
              <w:t xml:space="preserve">Establecer una metodología para calcular el monto de la compensación en caso de expropiación parcial de tierras. </w:t>
            </w:r>
          </w:p>
        </w:tc>
        <w:tc>
          <w:tcPr>
            <w:tcW w:w="3060" w:type="dxa"/>
          </w:tcPr>
          <w:p w:rsidR="00404DDA" w:rsidRPr="00976BFF" w:rsidRDefault="00404DDA" w:rsidP="00164A9B">
            <w:pPr>
              <w:rPr>
                <w:rFonts w:ascii="Times New Roman" w:eastAsia="Times New Roman" w:hAnsi="Times New Roman" w:cs="Times New Roman"/>
                <w:bCs/>
                <w:sz w:val="20"/>
                <w:szCs w:val="20"/>
                <w:lang w:val="es-ES_tradnl"/>
              </w:rPr>
            </w:pPr>
            <w:r w:rsidRPr="00976BFF">
              <w:rPr>
                <w:rFonts w:ascii="Times New Roman" w:eastAsia="Times New Roman" w:hAnsi="Times New Roman" w:cs="Times New Roman"/>
                <w:bCs/>
                <w:sz w:val="20"/>
                <w:szCs w:val="20"/>
                <w:lang w:val="es-ES_tradnl"/>
              </w:rPr>
              <w:t xml:space="preserve">Las conclusiones y recomendaciones del taller se incorporaron en el </w:t>
            </w:r>
            <w:r w:rsidR="00164A9B">
              <w:rPr>
                <w:rFonts w:ascii="Times New Roman" w:hAnsi="Times New Roman" w:cs="Times New Roman"/>
                <w:sz w:val="20"/>
                <w:szCs w:val="20"/>
                <w:lang w:val="es-ES_tradnl"/>
              </w:rPr>
              <w:t>m</w:t>
            </w:r>
            <w:r w:rsidR="00164A9B" w:rsidRPr="00976BFF">
              <w:rPr>
                <w:rFonts w:ascii="Times New Roman" w:hAnsi="Times New Roman" w:cs="Times New Roman"/>
                <w:sz w:val="20"/>
                <w:szCs w:val="20"/>
                <w:lang w:val="es-ES_tradnl"/>
              </w:rPr>
              <w:t xml:space="preserve">anual </w:t>
            </w:r>
            <w:r w:rsidRPr="00976BFF">
              <w:rPr>
                <w:rFonts w:ascii="Times New Roman" w:hAnsi="Times New Roman" w:cs="Times New Roman"/>
                <w:sz w:val="20"/>
                <w:szCs w:val="20"/>
                <w:lang w:val="es-ES_tradnl"/>
              </w:rPr>
              <w:t xml:space="preserve">de </w:t>
            </w:r>
            <w:r w:rsidR="00164A9B">
              <w:rPr>
                <w:rFonts w:ascii="Times New Roman" w:hAnsi="Times New Roman" w:cs="Times New Roman"/>
                <w:sz w:val="20"/>
                <w:szCs w:val="20"/>
                <w:lang w:val="es-ES_tradnl"/>
              </w:rPr>
              <w:t>p</w:t>
            </w:r>
            <w:r w:rsidR="00164A9B" w:rsidRPr="00976BFF">
              <w:rPr>
                <w:rFonts w:ascii="Times New Roman" w:hAnsi="Times New Roman" w:cs="Times New Roman"/>
                <w:sz w:val="20"/>
                <w:szCs w:val="20"/>
                <w:lang w:val="es-ES_tradnl"/>
              </w:rPr>
              <w:t xml:space="preserve">rocedimientos </w:t>
            </w:r>
            <w:r w:rsidRPr="00976BFF">
              <w:rPr>
                <w:rFonts w:ascii="Times New Roman" w:hAnsi="Times New Roman" w:cs="Times New Roman"/>
                <w:sz w:val="20"/>
                <w:szCs w:val="20"/>
                <w:lang w:val="es-ES_tradnl"/>
              </w:rPr>
              <w:t xml:space="preserve">de </w:t>
            </w:r>
            <w:r w:rsidR="00164A9B">
              <w:rPr>
                <w:rFonts w:ascii="Times New Roman" w:hAnsi="Times New Roman" w:cs="Times New Roman"/>
                <w:sz w:val="20"/>
                <w:szCs w:val="20"/>
                <w:lang w:val="es-ES_tradnl"/>
              </w:rPr>
              <w:t>e</w:t>
            </w:r>
            <w:r w:rsidR="00164A9B" w:rsidRPr="00976BFF">
              <w:rPr>
                <w:rFonts w:ascii="Times New Roman" w:hAnsi="Times New Roman" w:cs="Times New Roman"/>
                <w:sz w:val="20"/>
                <w:szCs w:val="20"/>
                <w:lang w:val="es-ES_tradnl"/>
              </w:rPr>
              <w:t xml:space="preserve">xpropiación </w:t>
            </w:r>
            <w:r w:rsidRPr="00976BFF">
              <w:rPr>
                <w:rFonts w:ascii="Times New Roman" w:hAnsi="Times New Roman" w:cs="Times New Roman"/>
                <w:sz w:val="20"/>
                <w:szCs w:val="20"/>
                <w:lang w:val="es-ES_tradnl"/>
              </w:rPr>
              <w:t xml:space="preserve">y </w:t>
            </w:r>
            <w:r w:rsidR="00164A9B">
              <w:rPr>
                <w:rFonts w:ascii="Times New Roman" w:hAnsi="Times New Roman" w:cs="Times New Roman"/>
                <w:sz w:val="20"/>
                <w:szCs w:val="20"/>
                <w:lang w:val="es-ES_tradnl"/>
              </w:rPr>
              <w:t>g</w:t>
            </w:r>
            <w:r w:rsidR="00164A9B" w:rsidRPr="00976BFF">
              <w:rPr>
                <w:rFonts w:ascii="Times New Roman" w:hAnsi="Times New Roman" w:cs="Times New Roman"/>
                <w:sz w:val="20"/>
                <w:szCs w:val="20"/>
                <w:lang w:val="es-ES_tradnl"/>
              </w:rPr>
              <w:t xml:space="preserve">estión </w:t>
            </w:r>
            <w:r w:rsidR="00164A9B">
              <w:rPr>
                <w:rFonts w:ascii="Times New Roman" w:hAnsi="Times New Roman" w:cs="Times New Roman"/>
                <w:sz w:val="20"/>
                <w:szCs w:val="20"/>
                <w:lang w:val="es-ES_tradnl"/>
              </w:rPr>
              <w:t>s</w:t>
            </w:r>
            <w:r w:rsidR="00164A9B" w:rsidRPr="00976BFF">
              <w:rPr>
                <w:rFonts w:ascii="Times New Roman" w:hAnsi="Times New Roman" w:cs="Times New Roman"/>
                <w:sz w:val="20"/>
                <w:szCs w:val="20"/>
                <w:lang w:val="es-ES_tradnl"/>
              </w:rPr>
              <w:t>ocial</w:t>
            </w:r>
            <w:r w:rsidRPr="00976BFF">
              <w:rPr>
                <w:rFonts w:ascii="Times New Roman" w:hAnsi="Times New Roman" w:cs="Times New Roman"/>
                <w:sz w:val="20"/>
                <w:szCs w:val="20"/>
                <w:lang w:val="es-ES_tradnl"/>
              </w:rPr>
              <w:t>.</w:t>
            </w:r>
          </w:p>
        </w:tc>
        <w:tc>
          <w:tcPr>
            <w:tcW w:w="1458" w:type="dxa"/>
          </w:tcPr>
          <w:p w:rsidR="00404DDA" w:rsidRPr="00976BFF" w:rsidRDefault="00404DDA" w:rsidP="00835AB6">
            <w:pPr>
              <w:rPr>
                <w:rFonts w:ascii="Times New Roman" w:eastAsia="Times New Roman" w:hAnsi="Times New Roman" w:cs="Times New Roman"/>
                <w:bCs/>
                <w:sz w:val="20"/>
                <w:szCs w:val="20"/>
                <w:lang w:val="es-ES_tradnl"/>
              </w:rPr>
            </w:pPr>
            <w:r w:rsidRPr="00976BFF">
              <w:rPr>
                <w:rFonts w:ascii="Times New Roman" w:hAnsi="Times New Roman" w:cs="Times New Roman"/>
                <w:sz w:val="20"/>
                <w:szCs w:val="20"/>
                <w:lang w:val="es-ES_tradnl"/>
              </w:rPr>
              <w:t>DNTop</w:t>
            </w:r>
          </w:p>
        </w:tc>
      </w:tr>
    </w:tbl>
    <w:p w:rsidR="00404DDA" w:rsidRPr="00976BFF" w:rsidRDefault="00404DDA" w:rsidP="00404DDA">
      <w:pPr>
        <w:rPr>
          <w:lang w:val="es-ES_tradnl"/>
        </w:rPr>
      </w:pPr>
    </w:p>
    <w:p w:rsidR="00404DDA" w:rsidRPr="00976BFF" w:rsidRDefault="00404DDA" w:rsidP="00404DDA">
      <w:pPr>
        <w:pStyle w:val="Heading2"/>
        <w:numPr>
          <w:ilvl w:val="1"/>
          <w:numId w:val="13"/>
        </w:numPr>
        <w:spacing w:before="0" w:beforeAutospacing="0"/>
        <w:rPr>
          <w:rFonts w:ascii="Times New Roman" w:hAnsi="Times New Roman" w:cs="Times New Roman"/>
          <w:b/>
          <w:sz w:val="22"/>
          <w:szCs w:val="22"/>
          <w:lang w:val="es-ES_tradnl"/>
        </w:rPr>
      </w:pPr>
      <w:bookmarkStart w:id="109" w:name="_Toc327540022"/>
      <w:bookmarkStart w:id="110" w:name="_Toc344927223"/>
      <w:r w:rsidRPr="00976BFF">
        <w:rPr>
          <w:rFonts w:ascii="Times New Roman" w:hAnsi="Times New Roman" w:cs="Times New Roman"/>
          <w:b/>
          <w:sz w:val="22"/>
          <w:szCs w:val="22"/>
          <w:lang w:val="es-ES_tradnl"/>
        </w:rPr>
        <w:t>CONCLUSIONES DEL PROCESO DE CONSULTA</w:t>
      </w:r>
      <w:bookmarkEnd w:id="109"/>
      <w:bookmarkEnd w:id="110"/>
    </w:p>
    <w:p w:rsidR="00404DDA" w:rsidRPr="00976BFF" w:rsidRDefault="00404DDA" w:rsidP="00EB3076">
      <w:pPr>
        <w:pStyle w:val="Annexmain"/>
        <w:ind w:left="0" w:firstLine="0"/>
        <w:rPr>
          <w:lang w:val="es-ES_tradnl"/>
        </w:rPr>
      </w:pPr>
      <w:r w:rsidRPr="00976BFF">
        <w:rPr>
          <w:lang w:val="es-ES_tradnl"/>
        </w:rPr>
        <w:t xml:space="preserve">El proceso de consulta sobre la evaluación de los sistemas ambientales y sociales comenzó el 16 de febrero de 2012 con un taller para debatir </w:t>
      </w:r>
      <w:r w:rsidR="00D700A2" w:rsidRPr="00976BFF">
        <w:rPr>
          <w:lang w:val="es-ES_tradnl"/>
        </w:rPr>
        <w:t xml:space="preserve">con el personal de la DNV </w:t>
      </w:r>
      <w:r w:rsidRPr="00976BFF">
        <w:rPr>
          <w:lang w:val="es-ES_tradnl"/>
        </w:rPr>
        <w:t xml:space="preserve">los resultados preliminares de la evaluación y los aspectos principales del </w:t>
      </w:r>
      <w:r w:rsidR="007A653A" w:rsidRPr="00976BFF">
        <w:rPr>
          <w:lang w:val="es-ES_tradnl"/>
        </w:rPr>
        <w:t xml:space="preserve">Plan de Acción del </w:t>
      </w:r>
      <w:r w:rsidR="008A1019">
        <w:rPr>
          <w:lang w:val="es-ES_tradnl"/>
        </w:rPr>
        <w:t>programa</w:t>
      </w:r>
      <w:r w:rsidR="00D700A2">
        <w:rPr>
          <w:lang w:val="es-ES_tradnl"/>
        </w:rPr>
        <w:t>, que contó con la participación de</w:t>
      </w:r>
      <w:r w:rsidRPr="00976BFF">
        <w:rPr>
          <w:lang w:val="es-ES_tradnl"/>
        </w:rPr>
        <w:t xml:space="preserve"> personal a cargo de la gestión y supervisión ambiental del </w:t>
      </w:r>
      <w:r w:rsidR="008A1019">
        <w:rPr>
          <w:lang w:val="es-ES_tradnl"/>
        </w:rPr>
        <w:t>programa</w:t>
      </w:r>
      <w:r w:rsidRPr="00976BFF">
        <w:rPr>
          <w:lang w:val="es-ES_tradnl"/>
        </w:rPr>
        <w:t xml:space="preserve"> (construcción, mantenimiento, diseño, seguridad vial, unidades regionales de mantenimiento). El personal de la DNV que asistió al taller recomendó algunos cambios en la versión preliminar del </w:t>
      </w:r>
      <w:r w:rsidR="00D61A8A">
        <w:rPr>
          <w:lang w:val="es-ES_tradnl"/>
        </w:rPr>
        <w:t>P</w:t>
      </w:r>
      <w:r w:rsidR="00D61A8A" w:rsidRPr="00976BFF">
        <w:rPr>
          <w:lang w:val="es-ES_tradnl"/>
        </w:rPr>
        <w:t xml:space="preserve">lan </w:t>
      </w:r>
      <w:r w:rsidRPr="00976BFF">
        <w:rPr>
          <w:lang w:val="es-ES_tradnl"/>
        </w:rPr>
        <w:t xml:space="preserve">de </w:t>
      </w:r>
      <w:r w:rsidR="00D61A8A">
        <w:rPr>
          <w:lang w:val="es-ES_tradnl"/>
        </w:rPr>
        <w:t>A</w:t>
      </w:r>
      <w:r w:rsidR="00D61A8A" w:rsidRPr="00976BFF">
        <w:rPr>
          <w:lang w:val="es-ES_tradnl"/>
        </w:rPr>
        <w:t xml:space="preserve">cción </w:t>
      </w:r>
      <w:r w:rsidRPr="00976BFF">
        <w:rPr>
          <w:lang w:val="es-ES_tradnl"/>
        </w:rPr>
        <w:t xml:space="preserve">y las actividades propuestas, e identificó los riesgos ambientales vinculados </w:t>
      </w:r>
      <w:r w:rsidR="00E57E6E">
        <w:rPr>
          <w:lang w:val="es-ES_tradnl"/>
        </w:rPr>
        <w:t>con e</w:t>
      </w:r>
      <w:r w:rsidR="00E57E6E" w:rsidRPr="00976BFF">
        <w:rPr>
          <w:lang w:val="es-ES_tradnl"/>
        </w:rPr>
        <w:t xml:space="preserve">l </w:t>
      </w:r>
      <w:r w:rsidR="008A1019">
        <w:rPr>
          <w:lang w:val="es-ES_tradnl"/>
        </w:rPr>
        <w:t>programa</w:t>
      </w:r>
      <w:r w:rsidRPr="00976BFF">
        <w:rPr>
          <w:lang w:val="es-ES_tradnl"/>
        </w:rPr>
        <w:t>.</w:t>
      </w:r>
    </w:p>
    <w:p w:rsidR="00404DDA" w:rsidRPr="00976BFF" w:rsidRDefault="00404DDA" w:rsidP="00EB3076">
      <w:pPr>
        <w:pStyle w:val="Annexmain"/>
        <w:ind w:left="0" w:firstLine="0"/>
        <w:rPr>
          <w:lang w:val="es-ES_tradnl"/>
        </w:rPr>
      </w:pPr>
      <w:r w:rsidRPr="00976BFF">
        <w:rPr>
          <w:lang w:val="es-ES_tradnl"/>
        </w:rPr>
        <w:t>Posteriormente, el 22 de junio de 2012, se llevó a cabo un</w:t>
      </w:r>
      <w:r w:rsidR="00D700A2">
        <w:rPr>
          <w:lang w:val="es-ES_tradnl"/>
        </w:rPr>
        <w:t>a</w:t>
      </w:r>
      <w:r w:rsidRPr="00976BFF">
        <w:rPr>
          <w:lang w:val="es-ES_tradnl"/>
        </w:rPr>
        <w:t xml:space="preserve"> consulta pública sobre la versión preliminar de la evaluación de los sistemas ambientales y sociales y el </w:t>
      </w:r>
      <w:r w:rsidR="007A653A" w:rsidRPr="00976BFF">
        <w:rPr>
          <w:lang w:val="es-ES_tradnl"/>
        </w:rPr>
        <w:t xml:space="preserve">Plan de Acción del </w:t>
      </w:r>
      <w:r w:rsidR="008A1019">
        <w:rPr>
          <w:lang w:val="es-ES_tradnl"/>
        </w:rPr>
        <w:t>programa</w:t>
      </w:r>
      <w:r w:rsidRPr="00976BFF">
        <w:rPr>
          <w:lang w:val="es-ES_tradnl"/>
        </w:rPr>
        <w:t xml:space="preserve">. </w:t>
      </w:r>
      <w:r w:rsidR="00D700A2">
        <w:rPr>
          <w:lang w:val="es-ES_tradnl"/>
        </w:rPr>
        <w:t>E</w:t>
      </w:r>
      <w:r w:rsidRPr="00976BFF">
        <w:rPr>
          <w:lang w:val="es-ES_tradnl"/>
        </w:rPr>
        <w:t>n total</w:t>
      </w:r>
      <w:r w:rsidR="00D700A2">
        <w:rPr>
          <w:lang w:val="es-ES_tradnl"/>
        </w:rPr>
        <w:t>,</w:t>
      </w:r>
      <w:r w:rsidRPr="00976BFF">
        <w:rPr>
          <w:lang w:val="es-ES_tradnl"/>
        </w:rPr>
        <w:t xml:space="preserve"> 16 participantes asistieron al taller en representación de la DNV, la DNTop, el </w:t>
      </w:r>
      <w:r w:rsidR="00164A9B">
        <w:rPr>
          <w:lang w:val="es-ES_tradnl"/>
        </w:rPr>
        <w:t>MGAP</w:t>
      </w:r>
      <w:r w:rsidRPr="00976BFF">
        <w:rPr>
          <w:lang w:val="es-ES_tradnl"/>
        </w:rPr>
        <w:t xml:space="preserve"> y el Departamento de Bosques Nativos, la Comisión del Patrimonio Cultural de la Nación del Ministerio de Educación y Cultura, el Congreso de Intendentes, la Asociación Nacional de Agrimensores, </w:t>
      </w:r>
      <w:r w:rsidR="00164A9B">
        <w:rPr>
          <w:lang w:val="es-ES_tradnl"/>
        </w:rPr>
        <w:t>CVU</w:t>
      </w:r>
      <w:r w:rsidRPr="00976BFF">
        <w:rPr>
          <w:lang w:val="es-ES_tradnl"/>
        </w:rPr>
        <w:t xml:space="preserve">, la Junta de Transparencia y Ética Pública, y Amigos de la Tierra, una organización no gubernamental. Todos los participantes respaldaron el proyecto y los esfuerzos de la DNV para realizar el mantenimiento de la red vial nacional de Uruguay. </w:t>
      </w:r>
    </w:p>
    <w:p w:rsidR="00404DDA" w:rsidRPr="00976BFF" w:rsidRDefault="00404DDA" w:rsidP="00EB3076">
      <w:pPr>
        <w:pStyle w:val="Annexmain"/>
        <w:ind w:left="0" w:firstLine="0"/>
        <w:rPr>
          <w:lang w:val="es-ES_tradnl"/>
        </w:rPr>
      </w:pPr>
      <w:r w:rsidRPr="00976BFF">
        <w:rPr>
          <w:lang w:val="es-ES_tradnl"/>
        </w:rPr>
        <w:t xml:space="preserve">La información aportada a través de esta consulta incluye comentarios y recomendaciones sobre: i) las actividades del </w:t>
      </w:r>
      <w:r w:rsidR="00D61A8A">
        <w:rPr>
          <w:lang w:val="es-ES_tradnl"/>
        </w:rPr>
        <w:t>P</w:t>
      </w:r>
      <w:r w:rsidR="00D61A8A" w:rsidRPr="00976BFF">
        <w:rPr>
          <w:lang w:val="es-ES_tradnl"/>
        </w:rPr>
        <w:t xml:space="preserve">lan </w:t>
      </w:r>
      <w:r w:rsidRPr="00976BFF">
        <w:rPr>
          <w:lang w:val="es-ES_tradnl"/>
        </w:rPr>
        <w:t xml:space="preserve">de </w:t>
      </w:r>
      <w:r w:rsidR="00D61A8A">
        <w:rPr>
          <w:lang w:val="es-ES_tradnl"/>
        </w:rPr>
        <w:t>A</w:t>
      </w:r>
      <w:r w:rsidR="00D61A8A" w:rsidRPr="00976BFF">
        <w:rPr>
          <w:lang w:val="es-ES_tradnl"/>
        </w:rPr>
        <w:t>cción</w:t>
      </w:r>
      <w:r w:rsidRPr="00976BFF">
        <w:rPr>
          <w:lang w:val="es-ES_tradnl"/>
        </w:rPr>
        <w:t xml:space="preserve">, ii) los indicadores del </w:t>
      </w:r>
      <w:r w:rsidR="008A1019">
        <w:rPr>
          <w:lang w:val="es-ES_tradnl"/>
        </w:rPr>
        <w:t>programa</w:t>
      </w:r>
      <w:r w:rsidRPr="00976BFF">
        <w:rPr>
          <w:lang w:val="es-ES_tradnl"/>
        </w:rPr>
        <w:t xml:space="preserve">, iii) la supervisión ambiental, iv) las necesidades de la DNV y la DNTop en materia de recursos humanos, v) la función de la DINAMA en el </w:t>
      </w:r>
      <w:r w:rsidR="008A1019">
        <w:rPr>
          <w:lang w:val="es-ES_tradnl"/>
        </w:rPr>
        <w:t>programa</w:t>
      </w:r>
      <w:r w:rsidRPr="00976BFF">
        <w:rPr>
          <w:lang w:val="es-ES_tradnl"/>
        </w:rPr>
        <w:t xml:space="preserve">, vi) la necesidad de actividades de fortalecimiento de la capacidad en la DNV y los </w:t>
      </w:r>
      <w:r w:rsidR="00CF07C3">
        <w:rPr>
          <w:lang w:val="es-ES_tradnl"/>
        </w:rPr>
        <w:t>G</w:t>
      </w:r>
      <w:r w:rsidR="00CF07C3" w:rsidRPr="00976BFF">
        <w:rPr>
          <w:lang w:val="es-ES_tradnl"/>
        </w:rPr>
        <w:t xml:space="preserve">obiernos </w:t>
      </w:r>
      <w:r w:rsidRPr="00976BFF">
        <w:rPr>
          <w:lang w:val="es-ES_tradnl"/>
        </w:rPr>
        <w:t>locales, entre otras cuestiones.</w:t>
      </w:r>
    </w:p>
    <w:p w:rsidR="00404DDA" w:rsidRPr="00976BFF" w:rsidRDefault="00404DDA" w:rsidP="00EB3076">
      <w:pPr>
        <w:pStyle w:val="Annexmain"/>
        <w:ind w:left="0" w:firstLine="0"/>
        <w:rPr>
          <w:lang w:val="es-ES_tradnl"/>
        </w:rPr>
      </w:pPr>
      <w:r w:rsidRPr="00976BFF">
        <w:rPr>
          <w:lang w:val="es-ES_tradnl"/>
        </w:rPr>
        <w:t>El 13 de septiembre de 2012 se llevó a cabo una consulta a nivel local en la ciudad de Trinidad (</w:t>
      </w:r>
      <w:r w:rsidR="00164A9B">
        <w:rPr>
          <w:lang w:val="es-ES_tradnl"/>
        </w:rPr>
        <w:t>d</w:t>
      </w:r>
      <w:r w:rsidR="00164A9B" w:rsidRPr="00976BFF">
        <w:rPr>
          <w:lang w:val="es-ES_tradnl"/>
        </w:rPr>
        <w:t xml:space="preserve">epartamento </w:t>
      </w:r>
      <w:r w:rsidRPr="00976BFF">
        <w:rPr>
          <w:lang w:val="es-ES_tradnl"/>
        </w:rPr>
        <w:t xml:space="preserve">de Flores), </w:t>
      </w:r>
      <w:r w:rsidR="00164A9B">
        <w:rPr>
          <w:lang w:val="es-ES_tradnl"/>
        </w:rPr>
        <w:t xml:space="preserve">para </w:t>
      </w:r>
      <w:r w:rsidRPr="00976BFF">
        <w:rPr>
          <w:lang w:val="es-ES_tradnl"/>
        </w:rPr>
        <w:t xml:space="preserve">difundir y recibir información de usuarios viales, que contó con ocho participantes: los respectivos representantes del </w:t>
      </w:r>
      <w:r w:rsidR="00CF07C3">
        <w:rPr>
          <w:lang w:val="es-ES_tradnl"/>
        </w:rPr>
        <w:t>G</w:t>
      </w:r>
      <w:r w:rsidR="00CF07C3" w:rsidRPr="00976BFF">
        <w:rPr>
          <w:lang w:val="es-ES_tradnl"/>
        </w:rPr>
        <w:t xml:space="preserve">obierno </w:t>
      </w:r>
      <w:r w:rsidRPr="00976BFF">
        <w:rPr>
          <w:lang w:val="es-ES_tradnl"/>
        </w:rPr>
        <w:t xml:space="preserve">local de la Intendencia de Flores, una asociación de productores (Unión Rural de Flores), la policía (Jefatura de Policía Trinidad), el MGAP y la </w:t>
      </w:r>
      <w:r w:rsidR="00164A9B">
        <w:rPr>
          <w:lang w:val="es-ES_tradnl"/>
        </w:rPr>
        <w:t>organizaci</w:t>
      </w:r>
      <w:r w:rsidR="00164A9B">
        <w:rPr>
          <w:lang w:val="es-ES"/>
        </w:rPr>
        <w:t>ó</w:t>
      </w:r>
      <w:r w:rsidR="00164A9B">
        <w:rPr>
          <w:lang w:val="es-ES_tradnl"/>
        </w:rPr>
        <w:t>n</w:t>
      </w:r>
      <w:r w:rsidR="00164A9B" w:rsidRPr="00976BFF">
        <w:rPr>
          <w:lang w:val="es-ES_tradnl"/>
        </w:rPr>
        <w:t xml:space="preserve"> </w:t>
      </w:r>
      <w:r w:rsidRPr="00976BFF">
        <w:rPr>
          <w:lang w:val="es-ES_tradnl"/>
        </w:rPr>
        <w:t xml:space="preserve">local Grupo Porongos, y tres representantes de la DNV. </w:t>
      </w:r>
    </w:p>
    <w:p w:rsidR="00404DDA" w:rsidRPr="00976BFF" w:rsidRDefault="00404DDA" w:rsidP="00EB3076">
      <w:pPr>
        <w:pStyle w:val="Annexmain"/>
        <w:ind w:left="0" w:firstLine="0"/>
        <w:rPr>
          <w:lang w:val="es-ES_tradnl"/>
        </w:rPr>
      </w:pPr>
      <w:r w:rsidRPr="00976BFF">
        <w:rPr>
          <w:lang w:val="es-ES_tradnl"/>
        </w:rPr>
        <w:t xml:space="preserve">En términos generales, los participantes respaldaron el </w:t>
      </w:r>
      <w:r w:rsidR="008A1019">
        <w:rPr>
          <w:lang w:val="es-ES_tradnl"/>
        </w:rPr>
        <w:t>programa</w:t>
      </w:r>
      <w:r w:rsidRPr="00976BFF">
        <w:rPr>
          <w:lang w:val="es-ES_tradnl"/>
        </w:rPr>
        <w:t xml:space="preserve"> y el mejoramiento de las carreteras nacionales y sostuvieron que era necesario, entre otras cuestiones: i) reforzar la comunicación entre la DNV y las comunidades locales, los sectores productivos y los municipios</w:t>
      </w:r>
      <w:r w:rsidR="00164A9B">
        <w:rPr>
          <w:lang w:val="es-ES_tradnl"/>
        </w:rPr>
        <w:t>;</w:t>
      </w:r>
      <w:r w:rsidR="00164A9B" w:rsidRPr="00976BFF">
        <w:rPr>
          <w:lang w:val="es-ES_tradnl"/>
        </w:rPr>
        <w:t xml:space="preserve"> </w:t>
      </w:r>
      <w:r w:rsidRPr="00976BFF">
        <w:rPr>
          <w:lang w:val="es-ES_tradnl"/>
        </w:rPr>
        <w:t xml:space="preserve">ii) mejorar la manera en que los </w:t>
      </w:r>
      <w:r w:rsidR="004A26E3" w:rsidRPr="00976BFF">
        <w:rPr>
          <w:lang w:val="es-ES_tradnl"/>
        </w:rPr>
        <w:t>contratistas</w:t>
      </w:r>
      <w:r w:rsidRPr="00976BFF">
        <w:rPr>
          <w:lang w:val="es-ES_tradnl"/>
        </w:rPr>
        <w:t xml:space="preserve"> llevan a cabo la gestión de desechos</w:t>
      </w:r>
      <w:r w:rsidR="00164A9B">
        <w:rPr>
          <w:lang w:val="es-ES_tradnl"/>
        </w:rPr>
        <w:t>;</w:t>
      </w:r>
      <w:r w:rsidR="00164A9B" w:rsidRPr="00976BFF">
        <w:rPr>
          <w:lang w:val="es-ES_tradnl"/>
        </w:rPr>
        <w:t xml:space="preserve"> </w:t>
      </w:r>
      <w:r w:rsidRPr="00976BFF">
        <w:rPr>
          <w:lang w:val="es-ES_tradnl"/>
        </w:rPr>
        <w:t>iii) capacitar al personal de la DNV en materia de gestión ambiental, higiene y seguridad y comunicaciones</w:t>
      </w:r>
      <w:r w:rsidR="00164A9B">
        <w:rPr>
          <w:lang w:val="es-ES_tradnl"/>
        </w:rPr>
        <w:t>;</w:t>
      </w:r>
      <w:r w:rsidR="00164A9B" w:rsidRPr="00976BFF">
        <w:rPr>
          <w:lang w:val="es-ES_tradnl"/>
        </w:rPr>
        <w:t xml:space="preserve"> </w:t>
      </w:r>
      <w:r w:rsidRPr="00976BFF">
        <w:rPr>
          <w:lang w:val="es-ES_tradnl"/>
        </w:rPr>
        <w:t>iv) impartir capacitación ambiental a personal de mantenimiento vial de los municipios</w:t>
      </w:r>
      <w:r w:rsidR="00164A9B">
        <w:rPr>
          <w:lang w:val="es-ES_tradnl"/>
        </w:rPr>
        <w:t>;</w:t>
      </w:r>
      <w:r w:rsidR="00164A9B" w:rsidRPr="00976BFF">
        <w:rPr>
          <w:lang w:val="es-ES_tradnl"/>
        </w:rPr>
        <w:t xml:space="preserve"> </w:t>
      </w:r>
      <w:r w:rsidRPr="00976BFF">
        <w:rPr>
          <w:lang w:val="es-ES_tradnl"/>
        </w:rPr>
        <w:t>v) prevenir cuestiones de seguridad vial durante la construcción (señalización), y vi) reducir los impactos de las carreteras nacionales que cruzan centros urbanos rura</w:t>
      </w:r>
      <w:r w:rsidR="001C47AE">
        <w:rPr>
          <w:lang w:val="es-ES_tradnl"/>
        </w:rPr>
        <w:t xml:space="preserve">les. </w:t>
      </w:r>
    </w:p>
    <w:p w:rsidR="00A764A2" w:rsidRPr="00976BFF" w:rsidRDefault="00404DDA" w:rsidP="00EB3076">
      <w:pPr>
        <w:pStyle w:val="Annexmain"/>
        <w:ind w:left="0" w:firstLine="0"/>
        <w:rPr>
          <w:lang w:val="es-ES_tradnl"/>
        </w:rPr>
      </w:pPr>
      <w:r w:rsidRPr="00976BFF">
        <w:rPr>
          <w:lang w:val="es-ES_tradnl"/>
        </w:rPr>
        <w:t xml:space="preserve">La información aportada a través de todas las consultas se tuvo en cuenta al preparar la evaluación de los sistemas ambientales y sociales y se utilizó para formular varias actividades del </w:t>
      </w:r>
      <w:r w:rsidR="007A653A" w:rsidRPr="00976BFF">
        <w:rPr>
          <w:lang w:val="es-ES_tradnl"/>
        </w:rPr>
        <w:t xml:space="preserve">Plan de Acción del </w:t>
      </w:r>
      <w:r w:rsidR="008A1019">
        <w:rPr>
          <w:lang w:val="es-ES_tradnl"/>
        </w:rPr>
        <w:t>programa</w:t>
      </w:r>
      <w:r w:rsidRPr="00976BFF">
        <w:rPr>
          <w:lang w:val="es-ES_tradnl"/>
        </w:rPr>
        <w:t xml:space="preserve"> así como medidas para actualizar el manual ambiental de la DNV. En la versión final de dicha evaluación se incluye un resumen de las consultas. La versión preliminar de la evaluación de los sistemas ambientales y sociales se publicó en el InfoShop el 27 de agosto de 2012 y, unos días más tarde, en el país, en el sitio web del MTOP. Las versiones finales de la evaluación de los sistemas ambientales y sociales, en inglés y en español, se publicaron antes de las negociaciones</w:t>
      </w:r>
      <w:r w:rsidR="004C6A8D" w:rsidRPr="00976BFF">
        <w:rPr>
          <w:lang w:val="es-ES_tradnl"/>
        </w:rPr>
        <w:t xml:space="preserve">. </w:t>
      </w:r>
    </w:p>
    <w:p w:rsidR="003D6DF4" w:rsidRPr="00976BFF" w:rsidRDefault="003D6DF4" w:rsidP="00F825A6">
      <w:pPr>
        <w:pStyle w:val="NoSpacing"/>
        <w:ind w:left="360"/>
        <w:rPr>
          <w:rFonts w:ascii="Times New Roman" w:hAnsi="Times New Roman" w:cs="Times New Roman"/>
          <w:lang w:val="es-ES_tradnl"/>
        </w:rPr>
      </w:pPr>
    </w:p>
    <w:p w:rsidR="005C0B61" w:rsidRPr="00976BFF" w:rsidRDefault="005C0B61" w:rsidP="00F825A6">
      <w:pPr>
        <w:pStyle w:val="NoSpacing"/>
        <w:ind w:left="360"/>
        <w:rPr>
          <w:rFonts w:ascii="Times New Roman" w:hAnsi="Times New Roman" w:cs="Times New Roman"/>
          <w:lang w:val="es-ES_tradnl"/>
        </w:rPr>
        <w:sectPr w:rsidR="005C0B61" w:rsidRPr="00976BFF">
          <w:pgSz w:w="12240" w:h="15840"/>
          <w:pgMar w:top="1440" w:right="1440" w:bottom="1440" w:left="1440" w:header="720" w:footer="720" w:gutter="0"/>
          <w:cols w:space="720"/>
          <w:titlePg/>
          <w:docGrid w:linePitch="360"/>
        </w:sectPr>
      </w:pPr>
    </w:p>
    <w:p w:rsidR="005C0B61" w:rsidRPr="00976BFF" w:rsidRDefault="005C0B61" w:rsidP="00F825A6">
      <w:pPr>
        <w:pStyle w:val="NoSpacing"/>
        <w:ind w:left="360"/>
        <w:rPr>
          <w:rFonts w:ascii="Times New Roman" w:hAnsi="Times New Roman" w:cs="Times New Roman"/>
          <w:lang w:val="es-ES_tradnl"/>
        </w:rPr>
      </w:pPr>
    </w:p>
    <w:p w:rsidR="005C0B61" w:rsidRPr="00976BFF" w:rsidRDefault="005C0B61" w:rsidP="005C0B61">
      <w:pPr>
        <w:pStyle w:val="NoSpacing"/>
        <w:ind w:left="360"/>
        <w:jc w:val="center"/>
        <w:rPr>
          <w:rFonts w:ascii="Times New Roman" w:hAnsi="Times New Roman" w:cs="Times New Roman"/>
          <w:b/>
          <w:bCs/>
          <w:lang w:val="es-ES_tradnl"/>
        </w:rPr>
      </w:pPr>
      <w:r w:rsidRPr="00976BFF">
        <w:rPr>
          <w:rFonts w:ascii="Times New Roman" w:hAnsi="Times New Roman" w:cs="Times New Roman"/>
          <w:b/>
          <w:bCs/>
          <w:lang w:val="es-ES_tradnl"/>
        </w:rPr>
        <w:t>Anex</w:t>
      </w:r>
      <w:r w:rsidR="009E2F91" w:rsidRPr="00976BFF">
        <w:rPr>
          <w:rFonts w:ascii="Times New Roman" w:hAnsi="Times New Roman" w:cs="Times New Roman"/>
          <w:b/>
          <w:bCs/>
          <w:lang w:val="es-ES_tradnl"/>
        </w:rPr>
        <w:t>o</w:t>
      </w:r>
      <w:r w:rsidRPr="00976BFF">
        <w:rPr>
          <w:rFonts w:ascii="Times New Roman" w:hAnsi="Times New Roman" w:cs="Times New Roman"/>
          <w:b/>
          <w:bCs/>
          <w:lang w:val="es-ES_tradnl"/>
        </w:rPr>
        <w:t xml:space="preserve"> 7</w:t>
      </w:r>
      <w:r w:rsidR="009E2F91" w:rsidRPr="00976BFF">
        <w:rPr>
          <w:rFonts w:ascii="Times New Roman" w:hAnsi="Times New Roman" w:cs="Times New Roman"/>
          <w:b/>
          <w:bCs/>
          <w:lang w:val="es-ES_tradnl"/>
        </w:rPr>
        <w:t>.</w:t>
      </w:r>
      <w:r w:rsidRPr="00976BFF">
        <w:rPr>
          <w:rFonts w:ascii="Times New Roman" w:hAnsi="Times New Roman" w:cs="Times New Roman"/>
          <w:b/>
          <w:bCs/>
          <w:lang w:val="es-ES_tradnl"/>
        </w:rPr>
        <w:t xml:space="preserve"> </w:t>
      </w:r>
      <w:r w:rsidR="009E2F91" w:rsidRPr="00976BFF">
        <w:rPr>
          <w:rFonts w:ascii="Times New Roman" w:hAnsi="Times New Roman" w:cs="Times New Roman"/>
          <w:b/>
          <w:bCs/>
          <w:lang w:val="es-ES_tradnl"/>
        </w:rPr>
        <w:t xml:space="preserve">Evaluación </w:t>
      </w:r>
      <w:r w:rsidR="003824A7">
        <w:rPr>
          <w:rFonts w:ascii="Times New Roman" w:hAnsi="Times New Roman" w:cs="Times New Roman"/>
          <w:b/>
          <w:bCs/>
          <w:lang w:val="es-ES_tradnl"/>
        </w:rPr>
        <w:t>i</w:t>
      </w:r>
      <w:r w:rsidR="003824A7" w:rsidRPr="00976BFF">
        <w:rPr>
          <w:rFonts w:ascii="Times New Roman" w:hAnsi="Times New Roman" w:cs="Times New Roman"/>
          <w:b/>
          <w:bCs/>
          <w:lang w:val="es-ES_tradnl"/>
        </w:rPr>
        <w:t xml:space="preserve">ntegrada </w:t>
      </w:r>
      <w:r w:rsidR="00725A52" w:rsidRPr="00976BFF">
        <w:rPr>
          <w:rFonts w:ascii="Times New Roman" w:hAnsi="Times New Roman" w:cs="Times New Roman"/>
          <w:b/>
          <w:bCs/>
          <w:lang w:val="es-ES_tradnl"/>
        </w:rPr>
        <w:t xml:space="preserve">de los </w:t>
      </w:r>
      <w:r w:rsidR="003824A7">
        <w:rPr>
          <w:rFonts w:ascii="Times New Roman" w:hAnsi="Times New Roman" w:cs="Times New Roman"/>
          <w:b/>
          <w:bCs/>
          <w:lang w:val="es-ES_tradnl"/>
        </w:rPr>
        <w:t>r</w:t>
      </w:r>
      <w:r w:rsidR="003824A7" w:rsidRPr="00976BFF">
        <w:rPr>
          <w:rFonts w:ascii="Times New Roman" w:hAnsi="Times New Roman" w:cs="Times New Roman"/>
          <w:b/>
          <w:bCs/>
          <w:lang w:val="es-ES_tradnl"/>
        </w:rPr>
        <w:t>iesgos</w:t>
      </w:r>
    </w:p>
    <w:p w:rsidR="005C0B61" w:rsidRPr="00976BFF" w:rsidRDefault="005C0B61" w:rsidP="005C0B61">
      <w:pPr>
        <w:pStyle w:val="NoSpacing"/>
        <w:ind w:left="360"/>
        <w:jc w:val="center"/>
        <w:rPr>
          <w:rFonts w:ascii="Times New Roman" w:hAnsi="Times New Roman" w:cs="Times New Roman"/>
          <w:lang w:val="es-ES_tradnl"/>
        </w:rPr>
      </w:pPr>
      <w:r w:rsidRPr="00976BFF">
        <w:rPr>
          <w:rFonts w:ascii="Times New Roman" w:hAnsi="Times New Roman" w:cs="Times New Roman"/>
          <w:lang w:val="es-ES_tradnl"/>
        </w:rPr>
        <w:t>URUGUAY</w:t>
      </w:r>
      <w:r w:rsidR="00725A52" w:rsidRPr="00976BFF">
        <w:rPr>
          <w:rFonts w:ascii="Times New Roman" w:hAnsi="Times New Roman" w:cs="Times New Roman"/>
          <w:lang w:val="es-ES_tradnl"/>
        </w:rPr>
        <w:t>: PROGRAMA DE REHABILITACIÓN Y MANTENIMIENTO VIAL</w:t>
      </w:r>
    </w:p>
    <w:p w:rsidR="005C0B61" w:rsidRPr="00976BFF" w:rsidRDefault="005C0B61" w:rsidP="00F825A6">
      <w:pPr>
        <w:pStyle w:val="NoSpacing"/>
        <w:ind w:left="360"/>
        <w:rPr>
          <w:rFonts w:ascii="Times New Roman" w:hAnsi="Times New Roman" w:cs="Times New Roman"/>
          <w:lang w:val="es-ES_tradnl"/>
        </w:rPr>
      </w:pPr>
    </w:p>
    <w:tbl>
      <w:tblPr>
        <w:tblW w:w="128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4"/>
        <w:gridCol w:w="1305"/>
        <w:gridCol w:w="88"/>
        <w:gridCol w:w="353"/>
        <w:gridCol w:w="1431"/>
        <w:gridCol w:w="2673"/>
        <w:gridCol w:w="1786"/>
      </w:tblGrid>
      <w:tr w:rsidR="005C0B61" w:rsidRPr="00976BFF">
        <w:tc>
          <w:tcPr>
            <w:tcW w:w="12870" w:type="dxa"/>
            <w:gridSpan w:val="7"/>
            <w:shd w:val="clear" w:color="auto" w:fill="auto"/>
            <w:vAlign w:val="center"/>
          </w:tcPr>
          <w:p w:rsidR="005C0B61" w:rsidRPr="00976BFF" w:rsidRDefault="00725A52" w:rsidP="00725A52">
            <w:pPr>
              <w:pStyle w:val="NoSpacing"/>
              <w:numPr>
                <w:ilvl w:val="0"/>
                <w:numId w:val="2"/>
              </w:numPr>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RIESGOS DEL </w:t>
            </w:r>
            <w:r w:rsidR="005C0B61" w:rsidRPr="00976BFF">
              <w:rPr>
                <w:rFonts w:ascii="Times New Roman" w:hAnsi="Times New Roman" w:cs="Times New Roman"/>
                <w:b/>
                <w:sz w:val="20"/>
                <w:szCs w:val="20"/>
                <w:lang w:val="es-ES_tradnl"/>
              </w:rPr>
              <w:t>PROGRAM</w:t>
            </w:r>
            <w:r w:rsidRPr="00976BFF">
              <w:rPr>
                <w:rFonts w:ascii="Times New Roman" w:hAnsi="Times New Roman" w:cs="Times New Roman"/>
                <w:b/>
                <w:sz w:val="20"/>
                <w:szCs w:val="20"/>
                <w:lang w:val="es-ES_tradnl"/>
              </w:rPr>
              <w:t>A</w:t>
            </w:r>
            <w:r w:rsidR="005C0B61" w:rsidRPr="00976BFF">
              <w:rPr>
                <w:rFonts w:ascii="Times New Roman" w:hAnsi="Times New Roman" w:cs="Times New Roman"/>
                <w:b/>
                <w:sz w:val="20"/>
                <w:szCs w:val="20"/>
                <w:lang w:val="es-ES_tradnl"/>
              </w:rPr>
              <w:t xml:space="preserve"> </w:t>
            </w:r>
          </w:p>
        </w:tc>
      </w:tr>
      <w:tr w:rsidR="0026050C" w:rsidRPr="00976BFF">
        <w:tc>
          <w:tcPr>
            <w:tcW w:w="5234" w:type="dxa"/>
            <w:shd w:val="pct5" w:color="auto" w:fill="auto"/>
            <w:vAlign w:val="center"/>
          </w:tcPr>
          <w:p w:rsidR="005C0B61" w:rsidRPr="00976BFF" w:rsidRDefault="004E78CF" w:rsidP="00725A52">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1</w:t>
            </w:r>
            <w:r w:rsidR="001C47AE">
              <w:rPr>
                <w:rFonts w:ascii="Times New Roman" w:hAnsi="Times New Roman" w:cs="Times New Roman"/>
                <w:b/>
                <w:sz w:val="20"/>
                <w:szCs w:val="20"/>
                <w:lang w:val="es-ES_tradnl"/>
              </w:rPr>
              <w:t>.1</w:t>
            </w:r>
            <w:r w:rsidR="0081158E">
              <w:rPr>
                <w:rFonts w:ascii="Times New Roman" w:hAnsi="Times New Roman" w:cs="Times New Roman"/>
                <w:b/>
                <w:sz w:val="20"/>
                <w:szCs w:val="20"/>
                <w:lang w:val="es-ES_tradnl"/>
              </w:rPr>
              <w:t>.</w:t>
            </w:r>
            <w:r w:rsidR="001C47AE">
              <w:rPr>
                <w:rFonts w:ascii="Times New Roman" w:hAnsi="Times New Roman" w:cs="Times New Roman"/>
                <w:b/>
                <w:sz w:val="20"/>
                <w:szCs w:val="20"/>
                <w:lang w:val="es-ES_tradnl"/>
              </w:rPr>
              <w:t xml:space="preserve"> </w:t>
            </w:r>
            <w:r w:rsidR="00725A52" w:rsidRPr="00976BFF">
              <w:rPr>
                <w:rFonts w:ascii="Times New Roman" w:hAnsi="Times New Roman" w:cs="Times New Roman"/>
                <w:b/>
                <w:sz w:val="20"/>
                <w:szCs w:val="20"/>
                <w:lang w:val="es-ES_tradnl"/>
              </w:rPr>
              <w:t>Riesgo técnico</w:t>
            </w:r>
          </w:p>
        </w:tc>
        <w:tc>
          <w:tcPr>
            <w:tcW w:w="1305" w:type="dxa"/>
            <w:tcBorders>
              <w:right w:val="single" w:sz="4" w:space="0" w:color="auto"/>
            </w:tcBorders>
            <w:shd w:val="pct5" w:color="auto" w:fill="auto"/>
          </w:tcPr>
          <w:p w:rsidR="005C0B61" w:rsidRPr="00976BFF" w:rsidRDefault="00725A52"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Calificación</w:t>
            </w:r>
            <w:r w:rsidR="005C0B61" w:rsidRPr="00976BFF">
              <w:rPr>
                <w:rFonts w:ascii="Times New Roman" w:hAnsi="Times New Roman" w:cs="Times New Roman"/>
                <w:b/>
                <w:sz w:val="20"/>
                <w:szCs w:val="20"/>
                <w:lang w:val="es-ES_tradnl"/>
              </w:rPr>
              <w:t>:</w:t>
            </w:r>
          </w:p>
        </w:tc>
        <w:tc>
          <w:tcPr>
            <w:tcW w:w="6331" w:type="dxa"/>
            <w:gridSpan w:val="5"/>
            <w:tcBorders>
              <w:left w:val="single" w:sz="4" w:space="0" w:color="auto"/>
            </w:tcBorders>
            <w:shd w:val="pct5" w:color="auto" w:fill="auto"/>
            <w:vAlign w:val="center"/>
          </w:tcPr>
          <w:p w:rsidR="005C0B61" w:rsidRPr="00976BFF" w:rsidRDefault="004E6EED" w:rsidP="00725A52">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 Modera</w:t>
            </w:r>
            <w:r w:rsidR="00725A52" w:rsidRPr="00976BFF">
              <w:rPr>
                <w:rFonts w:ascii="Times New Roman" w:hAnsi="Times New Roman" w:cs="Times New Roman"/>
                <w:b/>
                <w:sz w:val="20"/>
                <w:szCs w:val="20"/>
                <w:lang w:val="es-ES_tradnl"/>
              </w:rPr>
              <w:t>do</w:t>
            </w:r>
          </w:p>
        </w:tc>
      </w:tr>
      <w:tr w:rsidR="0026050C"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val="restart"/>
            <w:tcBorders>
              <w:top w:val="single" w:sz="4" w:space="0" w:color="000000"/>
              <w:left w:val="single" w:sz="4" w:space="0" w:color="000000"/>
              <w:right w:val="single" w:sz="4" w:space="0" w:color="000000"/>
            </w:tcBorders>
            <w:shd w:val="clear" w:color="auto" w:fill="auto"/>
          </w:tcPr>
          <w:p w:rsidR="005C0B61" w:rsidRPr="00976BFF" w:rsidRDefault="005C0B61"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Descrip</w:t>
            </w:r>
            <w:r w:rsidR="00725A52" w:rsidRPr="00976BFF">
              <w:rPr>
                <w:rFonts w:ascii="Times New Roman" w:hAnsi="Times New Roman" w:cs="Times New Roman"/>
                <w:b/>
                <w:sz w:val="20"/>
                <w:szCs w:val="20"/>
                <w:lang w:val="es-ES_tradnl"/>
              </w:rPr>
              <w:t>ció</w:t>
            </w:r>
            <w:r w:rsidR="00B43EE9" w:rsidRPr="00976BFF">
              <w:rPr>
                <w:rFonts w:ascii="Times New Roman" w:hAnsi="Times New Roman" w:cs="Times New Roman"/>
                <w:b/>
                <w:sz w:val="20"/>
                <w:szCs w:val="20"/>
                <w:lang w:val="es-ES_tradnl"/>
              </w:rPr>
              <w:t>n</w:t>
            </w:r>
            <w:r w:rsidRPr="00976BFF">
              <w:rPr>
                <w:rFonts w:ascii="Times New Roman" w:hAnsi="Times New Roman" w:cs="Times New Roman"/>
                <w:b/>
                <w:sz w:val="20"/>
                <w:szCs w:val="20"/>
                <w:lang w:val="es-ES_tradnl"/>
              </w:rPr>
              <w:t xml:space="preserve">: </w:t>
            </w:r>
          </w:p>
          <w:p w:rsidR="004E6EED" w:rsidRPr="00976BFF" w:rsidRDefault="004E6EED" w:rsidP="00AD3C40">
            <w:pPr>
              <w:pStyle w:val="NoSpacing"/>
              <w:rPr>
                <w:rFonts w:ascii="Times New Roman" w:hAnsi="Times New Roman" w:cs="Times New Roman"/>
                <w:b/>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No </w:t>
            </w:r>
            <w:r w:rsidR="00725A52" w:rsidRPr="00976BFF">
              <w:rPr>
                <w:rFonts w:ascii="Times New Roman" w:hAnsi="Times New Roman" w:cs="Times New Roman"/>
                <w:sz w:val="20"/>
                <w:szCs w:val="20"/>
                <w:lang w:val="es-ES_tradnl"/>
              </w:rPr>
              <w:t xml:space="preserve">se prevén riesgo técnicos importantes durante la ejecución del </w:t>
            </w:r>
            <w:r w:rsidR="008A1019">
              <w:rPr>
                <w:rFonts w:ascii="Times New Roman" w:hAnsi="Times New Roman" w:cs="Times New Roman"/>
                <w:sz w:val="20"/>
                <w:szCs w:val="20"/>
                <w:lang w:val="es-ES_tradnl"/>
              </w:rPr>
              <w:t>programa</w:t>
            </w:r>
            <w:r w:rsidR="00725A52" w:rsidRPr="00976BFF">
              <w:rPr>
                <w:rFonts w:ascii="Times New Roman" w:hAnsi="Times New Roman" w:cs="Times New Roman"/>
                <w:sz w:val="20"/>
                <w:szCs w:val="20"/>
                <w:lang w:val="es-ES_tradnl"/>
              </w:rPr>
              <w:t>. Las obras de rehabilitación y mantenimiento de carreteras y puentes son sencillas y se basan en técnicas muy difundidas. Sobre la base de la evaluación técnica, los riesgos potenciales incluyen</w:t>
            </w:r>
            <w:r w:rsidRPr="00976BFF">
              <w:rPr>
                <w:rFonts w:ascii="Times New Roman" w:hAnsi="Times New Roman" w:cs="Times New Roman"/>
                <w:sz w:val="20"/>
                <w:szCs w:val="20"/>
                <w:lang w:val="es-ES_tradnl"/>
              </w:rPr>
              <w:t>:</w:t>
            </w: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7179B4" w:rsidRPr="00976BFF">
              <w:rPr>
                <w:rFonts w:ascii="Times New Roman" w:hAnsi="Times New Roman" w:cs="Times New Roman"/>
                <w:sz w:val="20"/>
                <w:szCs w:val="20"/>
                <w:lang w:val="es-ES_tradnl"/>
              </w:rPr>
              <w:t xml:space="preserve">El riesgo de que no se disponga de financiamiento suficiente para el </w:t>
            </w:r>
            <w:r w:rsidR="008A1019">
              <w:rPr>
                <w:rFonts w:ascii="Times New Roman" w:hAnsi="Times New Roman" w:cs="Times New Roman"/>
                <w:sz w:val="20"/>
                <w:szCs w:val="20"/>
                <w:lang w:val="es-ES_tradnl"/>
              </w:rPr>
              <w:t>programa</w:t>
            </w:r>
            <w:r w:rsidR="007179B4" w:rsidRPr="00976BFF">
              <w:rPr>
                <w:rFonts w:ascii="Times New Roman" w:hAnsi="Times New Roman" w:cs="Times New Roman"/>
                <w:sz w:val="20"/>
                <w:szCs w:val="20"/>
                <w:lang w:val="es-ES_tradnl"/>
              </w:rPr>
              <w:t xml:space="preserve"> y este no se ejecute, debido a la falta de continuidad en las asignaciones presupuestarias o la cancelación de los préstamos otorgados por otras instituciones para el </w:t>
            </w:r>
            <w:r w:rsidR="008A1019">
              <w:rPr>
                <w:rFonts w:ascii="Times New Roman" w:hAnsi="Times New Roman" w:cs="Times New Roman"/>
                <w:sz w:val="20"/>
                <w:szCs w:val="20"/>
                <w:lang w:val="es-ES_tradnl"/>
              </w:rPr>
              <w:t>programa</w:t>
            </w:r>
            <w:r w:rsidR="00040F9C" w:rsidRPr="00976BFF">
              <w:rPr>
                <w:rFonts w:ascii="Times New Roman" w:hAnsi="Times New Roman" w:cs="Times New Roman"/>
                <w:sz w:val="20"/>
                <w:szCs w:val="20"/>
                <w:lang w:val="es-ES_tradnl"/>
              </w:rPr>
              <w:t>.</w:t>
            </w: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B. </w:t>
            </w:r>
            <w:r w:rsidR="007179B4" w:rsidRPr="00976BFF">
              <w:rPr>
                <w:rFonts w:ascii="Times New Roman" w:hAnsi="Times New Roman" w:cs="Times New Roman"/>
                <w:sz w:val="20"/>
                <w:szCs w:val="20"/>
                <w:lang w:val="es-ES_tradnl"/>
              </w:rPr>
              <w:t xml:space="preserve">El riesgo relativo a la calidad de la ejecución del </w:t>
            </w:r>
            <w:r w:rsidR="008A1019">
              <w:rPr>
                <w:rFonts w:ascii="Times New Roman" w:hAnsi="Times New Roman" w:cs="Times New Roman"/>
                <w:sz w:val="20"/>
                <w:szCs w:val="20"/>
                <w:lang w:val="es-ES_tradnl"/>
              </w:rPr>
              <w:t>programa</w:t>
            </w:r>
            <w:r w:rsidR="007179B4" w:rsidRPr="00976BFF">
              <w:rPr>
                <w:rFonts w:ascii="Times New Roman" w:hAnsi="Times New Roman" w:cs="Times New Roman"/>
                <w:sz w:val="20"/>
                <w:szCs w:val="20"/>
                <w:lang w:val="es-ES_tradnl"/>
              </w:rPr>
              <w:t xml:space="preserve">, debido a deficiencias en la planificación, el diseño, la ejecución y la supervisión, que </w:t>
            </w:r>
            <w:r w:rsidR="00D82569" w:rsidRPr="00976BFF">
              <w:rPr>
                <w:rFonts w:ascii="Times New Roman" w:hAnsi="Times New Roman" w:cs="Times New Roman"/>
                <w:sz w:val="20"/>
                <w:szCs w:val="20"/>
                <w:lang w:val="es-ES_tradnl"/>
              </w:rPr>
              <w:t>darían por resultado obras de inferior calidad y costos y retrasos excesivos</w:t>
            </w:r>
            <w:r w:rsidR="008C0FF0" w:rsidRPr="00976BFF">
              <w:rPr>
                <w:rFonts w:ascii="Times New Roman" w:hAnsi="Times New Roman" w:cs="Times New Roman"/>
                <w:sz w:val="20"/>
                <w:szCs w:val="20"/>
                <w:lang w:val="es-ES_tradnl"/>
              </w:rPr>
              <w:t>.</w:t>
            </w: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b/>
                <w:sz w:val="20"/>
                <w:szCs w:val="20"/>
                <w:lang w:val="es-ES_tradnl"/>
              </w:rPr>
            </w:pPr>
          </w:p>
          <w:p w:rsidR="0035167C" w:rsidRPr="00976BFF" w:rsidRDefault="00E058D0" w:rsidP="0035167C">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C</w:t>
            </w:r>
            <w:r w:rsidR="0035167C" w:rsidRPr="00976BFF">
              <w:rPr>
                <w:rFonts w:ascii="Times New Roman" w:hAnsi="Times New Roman" w:cs="Times New Roman"/>
                <w:sz w:val="20"/>
                <w:szCs w:val="20"/>
                <w:lang w:val="es-ES_tradnl"/>
              </w:rPr>
              <w:t xml:space="preserve">. </w:t>
            </w:r>
            <w:r w:rsidR="00D82569" w:rsidRPr="00976BFF">
              <w:rPr>
                <w:rFonts w:ascii="Times New Roman" w:hAnsi="Times New Roman" w:cs="Times New Roman"/>
                <w:sz w:val="20"/>
                <w:szCs w:val="20"/>
                <w:lang w:val="es-ES_tradnl"/>
              </w:rPr>
              <w:t xml:space="preserve">Falta de personal en funciones clave dentro del </w:t>
            </w:r>
            <w:r w:rsidR="0035167C" w:rsidRPr="00976BFF">
              <w:rPr>
                <w:rFonts w:ascii="Times New Roman" w:hAnsi="Times New Roman" w:cs="Times New Roman"/>
                <w:sz w:val="20"/>
                <w:szCs w:val="20"/>
                <w:lang w:val="es-ES_tradnl"/>
              </w:rPr>
              <w:t>MTOP</w:t>
            </w:r>
            <w:r w:rsidR="00D82569" w:rsidRPr="00976BFF">
              <w:rPr>
                <w:rFonts w:ascii="Times New Roman" w:hAnsi="Times New Roman" w:cs="Times New Roman"/>
                <w:sz w:val="20"/>
                <w:szCs w:val="20"/>
                <w:lang w:val="es-ES_tradnl"/>
              </w:rPr>
              <w:t xml:space="preserve"> y la </w:t>
            </w:r>
            <w:r w:rsidR="0035167C" w:rsidRPr="00976BFF">
              <w:rPr>
                <w:rFonts w:ascii="Times New Roman" w:hAnsi="Times New Roman" w:cs="Times New Roman"/>
                <w:sz w:val="20"/>
                <w:szCs w:val="20"/>
                <w:lang w:val="es-ES_tradnl"/>
              </w:rPr>
              <w:t>DNV,</w:t>
            </w:r>
            <w:r w:rsidR="00D82569" w:rsidRPr="00976BFF">
              <w:rPr>
                <w:rFonts w:ascii="Times New Roman" w:hAnsi="Times New Roman" w:cs="Times New Roman"/>
                <w:sz w:val="20"/>
                <w:szCs w:val="20"/>
                <w:lang w:val="es-ES_tradnl"/>
              </w:rPr>
              <w:t xml:space="preserve"> que son fundamentales para que el </w:t>
            </w:r>
            <w:r w:rsidR="008A1019">
              <w:rPr>
                <w:rFonts w:ascii="Times New Roman" w:hAnsi="Times New Roman" w:cs="Times New Roman"/>
                <w:sz w:val="20"/>
                <w:szCs w:val="20"/>
                <w:lang w:val="es-ES_tradnl"/>
              </w:rPr>
              <w:t>programa</w:t>
            </w:r>
            <w:r w:rsidR="00D82569" w:rsidRPr="00976BFF">
              <w:rPr>
                <w:rFonts w:ascii="Times New Roman" w:hAnsi="Times New Roman" w:cs="Times New Roman"/>
                <w:sz w:val="20"/>
                <w:szCs w:val="20"/>
                <w:lang w:val="es-ES_tradnl"/>
              </w:rPr>
              <w:t xml:space="preserve"> se ejecute en forma puntual y eficaz</w:t>
            </w:r>
            <w:r w:rsidR="0035167C" w:rsidRPr="00976BFF">
              <w:rPr>
                <w:rFonts w:ascii="Times New Roman" w:hAnsi="Times New Roman" w:cs="Times New Roman"/>
                <w:sz w:val="20"/>
                <w:szCs w:val="20"/>
                <w:lang w:val="es-ES_tradnl"/>
              </w:rPr>
              <w:t>.</w:t>
            </w:r>
          </w:p>
          <w:p w:rsidR="0035167C" w:rsidRPr="00976BFF" w:rsidRDefault="0035167C" w:rsidP="004E6EED">
            <w:pPr>
              <w:pStyle w:val="NoSpacing"/>
              <w:rPr>
                <w:rFonts w:ascii="Times New Roman" w:hAnsi="Times New Roman" w:cs="Times New Roman"/>
                <w:b/>
                <w:sz w:val="20"/>
                <w:szCs w:val="20"/>
                <w:lang w:val="es-ES_tradnl"/>
              </w:rPr>
            </w:pPr>
          </w:p>
        </w:tc>
        <w:tc>
          <w:tcPr>
            <w:tcW w:w="7636" w:type="dxa"/>
            <w:gridSpan w:val="6"/>
            <w:tcBorders>
              <w:top w:val="single" w:sz="4" w:space="0" w:color="000000"/>
              <w:left w:val="single" w:sz="4" w:space="0" w:color="000000"/>
              <w:bottom w:val="single" w:sz="4" w:space="0" w:color="A6A6A6" w:themeColor="background1" w:themeShade="A6"/>
              <w:right w:val="single" w:sz="4" w:space="0" w:color="000000"/>
            </w:tcBorders>
            <w:shd w:val="clear" w:color="auto" w:fill="auto"/>
            <w:vAlign w:val="center"/>
          </w:tcPr>
          <w:p w:rsidR="005C0B61" w:rsidRPr="00976BFF" w:rsidRDefault="00725A52" w:rsidP="00F4177E">
            <w:pPr>
              <w:pStyle w:val="NoSpacing"/>
              <w:tabs>
                <w:tab w:val="left" w:pos="372"/>
                <w:tab w:val="left" w:pos="484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Gestión de riesgos</w:t>
            </w:r>
            <w:r w:rsidR="005C0B61" w:rsidRPr="00976BFF">
              <w:rPr>
                <w:rFonts w:ascii="Times New Roman" w:hAnsi="Times New Roman" w:cs="Times New Roman"/>
                <w:b/>
                <w:sz w:val="20"/>
                <w:szCs w:val="20"/>
                <w:lang w:val="es-ES_tradnl"/>
              </w:rPr>
              <w:t>:</w:t>
            </w: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3466F4" w:rsidRPr="00976BFF">
              <w:rPr>
                <w:rFonts w:ascii="Times New Roman" w:hAnsi="Times New Roman" w:cs="Times New Roman"/>
                <w:sz w:val="20"/>
                <w:szCs w:val="20"/>
                <w:lang w:val="es-ES_tradnl"/>
              </w:rPr>
              <w:t>Elabora</w:t>
            </w:r>
            <w:r w:rsidR="0041371C" w:rsidRPr="00976BFF">
              <w:rPr>
                <w:rFonts w:ascii="Times New Roman" w:hAnsi="Times New Roman" w:cs="Times New Roman"/>
                <w:sz w:val="20"/>
                <w:szCs w:val="20"/>
                <w:lang w:val="es-ES_tradnl"/>
              </w:rPr>
              <w:t>r</w:t>
            </w:r>
            <w:r w:rsidR="003466F4" w:rsidRPr="00976BFF">
              <w:rPr>
                <w:rFonts w:ascii="Times New Roman" w:hAnsi="Times New Roman" w:cs="Times New Roman"/>
                <w:sz w:val="20"/>
                <w:szCs w:val="20"/>
                <w:lang w:val="es-ES_tradnl"/>
              </w:rPr>
              <w:t xml:space="preserve"> </w:t>
            </w:r>
            <w:r w:rsidR="0081158E">
              <w:rPr>
                <w:rFonts w:ascii="Times New Roman" w:hAnsi="Times New Roman" w:cs="Times New Roman"/>
                <w:sz w:val="20"/>
                <w:szCs w:val="20"/>
                <w:lang w:val="es-ES_tradnl"/>
              </w:rPr>
              <w:t xml:space="preserve">situaciones hipotéticas </w:t>
            </w:r>
            <w:r w:rsidR="0081158E" w:rsidRPr="00976BFF">
              <w:rPr>
                <w:rFonts w:ascii="Times New Roman" w:hAnsi="Times New Roman" w:cs="Times New Roman"/>
                <w:sz w:val="20"/>
                <w:szCs w:val="20"/>
                <w:lang w:val="es-ES_tradnl"/>
              </w:rPr>
              <w:t>conservador</w:t>
            </w:r>
            <w:r w:rsidR="0081158E">
              <w:rPr>
                <w:rFonts w:ascii="Times New Roman" w:hAnsi="Times New Roman" w:cs="Times New Roman"/>
                <w:sz w:val="20"/>
                <w:szCs w:val="20"/>
                <w:lang w:val="es-ES_tradnl"/>
              </w:rPr>
              <w:t>a</w:t>
            </w:r>
            <w:r w:rsidR="0081158E" w:rsidRPr="00976BFF">
              <w:rPr>
                <w:rFonts w:ascii="Times New Roman" w:hAnsi="Times New Roman" w:cs="Times New Roman"/>
                <w:sz w:val="20"/>
                <w:szCs w:val="20"/>
                <w:lang w:val="es-ES_tradnl"/>
              </w:rPr>
              <w:t xml:space="preserve">s </w:t>
            </w:r>
            <w:r w:rsidR="003466F4" w:rsidRPr="00976BFF">
              <w:rPr>
                <w:rFonts w:ascii="Times New Roman" w:hAnsi="Times New Roman" w:cs="Times New Roman"/>
                <w:sz w:val="20"/>
                <w:szCs w:val="20"/>
                <w:lang w:val="es-ES_tradnl"/>
              </w:rPr>
              <w:t xml:space="preserve">en función de los topes presupuestarios del </w:t>
            </w:r>
            <w:r w:rsidR="008A1019">
              <w:rPr>
                <w:rFonts w:ascii="Times New Roman" w:hAnsi="Times New Roman" w:cs="Times New Roman"/>
                <w:sz w:val="20"/>
                <w:szCs w:val="20"/>
                <w:lang w:val="es-ES_tradnl"/>
              </w:rPr>
              <w:t>programa</w:t>
            </w:r>
            <w:r w:rsidR="003466F4" w:rsidRPr="00976BFF">
              <w:rPr>
                <w:rFonts w:ascii="Times New Roman" w:hAnsi="Times New Roman" w:cs="Times New Roman"/>
                <w:sz w:val="20"/>
                <w:szCs w:val="20"/>
                <w:lang w:val="es-ES_tradnl"/>
              </w:rPr>
              <w:t xml:space="preserve">. </w:t>
            </w:r>
            <w:r w:rsidR="0041371C" w:rsidRPr="00976BFF">
              <w:rPr>
                <w:rFonts w:ascii="Times New Roman" w:hAnsi="Times New Roman" w:cs="Times New Roman"/>
                <w:sz w:val="20"/>
                <w:szCs w:val="20"/>
                <w:lang w:val="es-ES_tradnl"/>
              </w:rPr>
              <w:t xml:space="preserve">Garantizar el compromiso del MEF y la previsibilidad del presupuesto: durante la preparación, el MEF se ha comprometido a suministrar los topes, como se establece en la ley de presupuesto. La cancelación parcial de los préstamos de otras instituciones que contribuyen al </w:t>
            </w:r>
            <w:r w:rsidR="008A1019">
              <w:rPr>
                <w:rFonts w:ascii="Times New Roman" w:hAnsi="Times New Roman" w:cs="Times New Roman"/>
                <w:sz w:val="20"/>
                <w:szCs w:val="20"/>
                <w:lang w:val="es-ES_tradnl"/>
              </w:rPr>
              <w:t>programa</w:t>
            </w:r>
            <w:r w:rsidR="0041371C" w:rsidRPr="00976BFF">
              <w:rPr>
                <w:rFonts w:ascii="Times New Roman" w:hAnsi="Times New Roman" w:cs="Times New Roman"/>
                <w:sz w:val="20"/>
                <w:szCs w:val="20"/>
                <w:lang w:val="es-ES_tradnl"/>
              </w:rPr>
              <w:t xml:space="preserve"> es improbable (a saber del equipo, no existen antecedentes); en esa situación, el MEF mantendría los topes concertados</w:t>
            </w:r>
            <w:r w:rsidR="00040F9C" w:rsidRPr="00976BFF">
              <w:rPr>
                <w:rFonts w:ascii="Times New Roman" w:hAnsi="Times New Roman" w:cs="Times New Roman"/>
                <w:sz w:val="20"/>
                <w:szCs w:val="20"/>
                <w:lang w:val="es-ES_tradnl"/>
              </w:rPr>
              <w:t>.</w:t>
            </w: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B. S</w:t>
            </w:r>
            <w:r w:rsidR="0041371C" w:rsidRPr="00976BFF">
              <w:rPr>
                <w:rFonts w:ascii="Times New Roman" w:hAnsi="Times New Roman" w:cs="Times New Roman"/>
                <w:sz w:val="20"/>
                <w:szCs w:val="20"/>
                <w:lang w:val="es-ES_tradnl"/>
              </w:rPr>
              <w:t xml:space="preserve">implificar, normalizar y optimizar los procesos de diseño. </w:t>
            </w:r>
            <w:r w:rsidR="004A26E3" w:rsidRPr="00976BFF">
              <w:rPr>
                <w:rFonts w:ascii="Times New Roman" w:hAnsi="Times New Roman" w:cs="Times New Roman"/>
                <w:sz w:val="20"/>
                <w:szCs w:val="20"/>
                <w:lang w:val="es-ES_tradnl"/>
              </w:rPr>
              <w:t>Instalar</w:t>
            </w:r>
            <w:r w:rsidR="0041371C" w:rsidRPr="00976BFF">
              <w:rPr>
                <w:rFonts w:ascii="Times New Roman" w:hAnsi="Times New Roman" w:cs="Times New Roman"/>
                <w:sz w:val="20"/>
                <w:szCs w:val="20"/>
                <w:lang w:val="es-ES_tradnl"/>
              </w:rPr>
              <w:t xml:space="preserve"> un mecanismo de intercambio de información entre la etapa de planificación y la de diseño. Ultimar el manual de supervisión de obras e incluir una sección sobre contratos basados en el desempeño y contratos de mantenimiento. Actualizar las listas de precios en consonancia con las especificaciones técnicas propuestas</w:t>
            </w:r>
            <w:r w:rsidR="00E058D0" w:rsidRPr="00976BFF">
              <w:rPr>
                <w:rFonts w:ascii="Times New Roman" w:hAnsi="Times New Roman" w:cs="Times New Roman"/>
                <w:sz w:val="20"/>
                <w:szCs w:val="20"/>
                <w:lang w:val="es-ES_tradnl"/>
              </w:rPr>
              <w:t>.</w:t>
            </w: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35167C" w:rsidRPr="00976BFF" w:rsidRDefault="0028549A" w:rsidP="0035167C">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C</w:t>
            </w:r>
            <w:r w:rsidR="0035167C" w:rsidRPr="00976BFF">
              <w:rPr>
                <w:rFonts w:ascii="Times New Roman" w:hAnsi="Times New Roman" w:cs="Times New Roman"/>
                <w:sz w:val="20"/>
                <w:szCs w:val="20"/>
                <w:lang w:val="es-ES_tradnl"/>
              </w:rPr>
              <w:t xml:space="preserve">. </w:t>
            </w:r>
            <w:r w:rsidR="0041371C" w:rsidRPr="00976BFF">
              <w:rPr>
                <w:rFonts w:ascii="Times New Roman" w:hAnsi="Times New Roman" w:cs="Times New Roman"/>
                <w:sz w:val="20"/>
                <w:szCs w:val="20"/>
                <w:lang w:val="es-ES_tradnl"/>
              </w:rPr>
              <w:t xml:space="preserve">Contratar personal adicional, en algunas funciones del </w:t>
            </w:r>
            <w:r w:rsidR="0035167C" w:rsidRPr="00976BFF">
              <w:rPr>
                <w:rFonts w:ascii="Times New Roman" w:hAnsi="Times New Roman" w:cs="Times New Roman"/>
                <w:sz w:val="20"/>
                <w:szCs w:val="20"/>
                <w:lang w:val="es-ES_tradnl"/>
              </w:rPr>
              <w:t>MTOP</w:t>
            </w:r>
            <w:r w:rsidR="0041371C" w:rsidRPr="00976BFF">
              <w:rPr>
                <w:rFonts w:ascii="Times New Roman" w:hAnsi="Times New Roman" w:cs="Times New Roman"/>
                <w:sz w:val="20"/>
                <w:szCs w:val="20"/>
                <w:lang w:val="es-ES_tradnl"/>
              </w:rPr>
              <w:t xml:space="preserve"> y la </w:t>
            </w:r>
            <w:r w:rsidR="0035167C" w:rsidRPr="00976BFF">
              <w:rPr>
                <w:rFonts w:ascii="Times New Roman" w:hAnsi="Times New Roman" w:cs="Times New Roman"/>
                <w:sz w:val="20"/>
                <w:szCs w:val="20"/>
                <w:lang w:val="es-ES_tradnl"/>
              </w:rPr>
              <w:t>DNV.</w:t>
            </w:r>
          </w:p>
          <w:p w:rsidR="00E06387" w:rsidRPr="00976BFF" w:rsidRDefault="00E06387" w:rsidP="00E06387">
            <w:pPr>
              <w:pStyle w:val="NoSpacing"/>
              <w:tabs>
                <w:tab w:val="left" w:pos="372"/>
              </w:tabs>
              <w:rPr>
                <w:rFonts w:ascii="Times New Roman" w:hAnsi="Times New Roman" w:cs="Times New Roman"/>
                <w:b/>
                <w:sz w:val="20"/>
                <w:szCs w:val="20"/>
                <w:lang w:val="es-ES_tradnl"/>
              </w:rPr>
            </w:pPr>
          </w:p>
        </w:tc>
      </w:tr>
      <w:tr w:rsidR="0026050C"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tcBorders>
              <w:left w:val="single" w:sz="4" w:space="0" w:color="000000"/>
              <w:right w:val="single" w:sz="4" w:space="0" w:color="000000"/>
            </w:tcBorders>
            <w:shd w:val="clear" w:color="auto" w:fill="auto"/>
          </w:tcPr>
          <w:p w:rsidR="005C0B61" w:rsidRPr="00976BFF" w:rsidRDefault="005C0B61" w:rsidP="00AD3C40">
            <w:pPr>
              <w:pStyle w:val="NoSpacing"/>
              <w:rPr>
                <w:rFonts w:ascii="Times New Roman" w:hAnsi="Times New Roman" w:cs="Times New Roman"/>
                <w:b/>
                <w:sz w:val="20"/>
                <w:szCs w:val="20"/>
                <w:lang w:val="es-ES_tradnl"/>
              </w:rPr>
            </w:pPr>
          </w:p>
        </w:tc>
        <w:tc>
          <w:tcPr>
            <w:tcW w:w="1746" w:type="dxa"/>
            <w:gridSpan w:val="3"/>
            <w:tcBorders>
              <w:top w:val="single" w:sz="4" w:space="0" w:color="A6A6A6" w:themeColor="background1" w:themeShade="A6"/>
              <w:left w:val="single" w:sz="4" w:space="0" w:color="000000"/>
              <w:right w:val="single" w:sz="4" w:space="0" w:color="000000"/>
            </w:tcBorders>
            <w:shd w:val="clear" w:color="auto" w:fill="auto"/>
            <w:vAlign w:val="center"/>
          </w:tcPr>
          <w:p w:rsidR="005C0B61" w:rsidRPr="00976BFF" w:rsidRDefault="00725A52" w:rsidP="00D8256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Organismo responsable</w:t>
            </w:r>
            <w:r w:rsidR="005C0B61" w:rsidRPr="00976BFF">
              <w:rPr>
                <w:rFonts w:ascii="Times New Roman" w:hAnsi="Times New Roman" w:cs="Times New Roman"/>
                <w:b/>
                <w:sz w:val="20"/>
                <w:szCs w:val="20"/>
                <w:lang w:val="es-ES_tradnl"/>
              </w:rPr>
              <w:t>:</w:t>
            </w:r>
            <w:r w:rsidR="004E6EED" w:rsidRPr="00976BFF">
              <w:rPr>
                <w:rFonts w:ascii="Times New Roman" w:hAnsi="Times New Roman" w:cs="Times New Roman"/>
                <w:b/>
                <w:sz w:val="20"/>
                <w:szCs w:val="20"/>
                <w:lang w:val="es-ES_tradnl"/>
              </w:rPr>
              <w:t xml:space="preserve"> </w:t>
            </w:r>
            <w:r w:rsidR="004E6EED" w:rsidRPr="00976BFF">
              <w:rPr>
                <w:rFonts w:ascii="Times New Roman" w:hAnsi="Times New Roman" w:cs="Times New Roman"/>
                <w:sz w:val="20"/>
                <w:szCs w:val="20"/>
                <w:lang w:val="es-ES_tradnl"/>
              </w:rPr>
              <w:t>Ban</w:t>
            </w:r>
            <w:r w:rsidR="00D82569" w:rsidRPr="00976BFF">
              <w:rPr>
                <w:rFonts w:ascii="Times New Roman" w:hAnsi="Times New Roman" w:cs="Times New Roman"/>
                <w:sz w:val="20"/>
                <w:szCs w:val="20"/>
                <w:lang w:val="es-ES_tradnl"/>
              </w:rPr>
              <w:t>co</w:t>
            </w:r>
            <w:r w:rsidR="004E6EED" w:rsidRPr="00976BFF">
              <w:rPr>
                <w:rFonts w:ascii="Times New Roman" w:hAnsi="Times New Roman" w:cs="Times New Roman"/>
                <w:sz w:val="20"/>
                <w:szCs w:val="20"/>
                <w:lang w:val="es-ES_tradnl"/>
              </w:rPr>
              <w:t xml:space="preserve"> / </w:t>
            </w:r>
            <w:r w:rsidR="00D82569" w:rsidRPr="00976BFF">
              <w:rPr>
                <w:rFonts w:ascii="Times New Roman" w:hAnsi="Times New Roman" w:cs="Times New Roman"/>
                <w:sz w:val="20"/>
                <w:szCs w:val="20"/>
                <w:lang w:val="es-ES_tradnl"/>
              </w:rPr>
              <w:t>Prestatario</w:t>
            </w:r>
          </w:p>
        </w:tc>
        <w:tc>
          <w:tcPr>
            <w:tcW w:w="1431" w:type="dxa"/>
            <w:tcBorders>
              <w:top w:val="single" w:sz="4" w:space="0" w:color="A6A6A6" w:themeColor="background1" w:themeShade="A6"/>
              <w:left w:val="single" w:sz="4" w:space="0" w:color="000000"/>
              <w:right w:val="single" w:sz="4" w:space="0" w:color="000000"/>
            </w:tcBorders>
            <w:shd w:val="clear" w:color="auto" w:fill="auto"/>
            <w:vAlign w:val="center"/>
          </w:tcPr>
          <w:p w:rsidR="005C0B61" w:rsidRPr="00976BFF" w:rsidRDefault="00725A52" w:rsidP="00D8256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Etapa</w:t>
            </w:r>
            <w:r w:rsidR="005C0B61" w:rsidRPr="00976BFF">
              <w:rPr>
                <w:rFonts w:ascii="Times New Roman" w:hAnsi="Times New Roman" w:cs="Times New Roman"/>
                <w:b/>
                <w:sz w:val="20"/>
                <w:szCs w:val="20"/>
                <w:lang w:val="es-ES_tradnl"/>
              </w:rPr>
              <w:t>:</w:t>
            </w:r>
            <w:r w:rsidR="004E6EED" w:rsidRPr="00976BFF">
              <w:rPr>
                <w:rFonts w:ascii="Times New Roman" w:hAnsi="Times New Roman" w:cs="Times New Roman"/>
                <w:sz w:val="20"/>
                <w:szCs w:val="20"/>
                <w:lang w:val="es-ES_tradnl"/>
              </w:rPr>
              <w:t xml:space="preserve"> </w:t>
            </w:r>
            <w:r w:rsidR="00D82569" w:rsidRPr="00976BFF">
              <w:rPr>
                <w:rFonts w:ascii="Times New Roman" w:hAnsi="Times New Roman" w:cs="Times New Roman"/>
                <w:sz w:val="20"/>
                <w:szCs w:val="20"/>
                <w:lang w:val="es-ES_tradnl"/>
              </w:rPr>
              <w:t>Ejecución</w:t>
            </w:r>
          </w:p>
        </w:tc>
        <w:tc>
          <w:tcPr>
            <w:tcW w:w="2673" w:type="dxa"/>
            <w:tcBorders>
              <w:top w:val="single" w:sz="4" w:space="0" w:color="A6A6A6" w:themeColor="background1" w:themeShade="A6"/>
              <w:left w:val="single" w:sz="4" w:space="0" w:color="000000"/>
              <w:right w:val="single" w:sz="4" w:space="0" w:color="000000"/>
            </w:tcBorders>
            <w:shd w:val="clear" w:color="auto" w:fill="auto"/>
            <w:vAlign w:val="center"/>
          </w:tcPr>
          <w:p w:rsidR="005C0B61" w:rsidRPr="00976BFF" w:rsidRDefault="00725A52" w:rsidP="00D8256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Fecha de presentación</w:t>
            </w:r>
            <w:r w:rsidR="005C0B61" w:rsidRPr="00976BFF">
              <w:rPr>
                <w:rFonts w:ascii="Times New Roman" w:hAnsi="Times New Roman" w:cs="Times New Roman"/>
                <w:b/>
                <w:sz w:val="20"/>
                <w:szCs w:val="20"/>
                <w:lang w:val="es-ES_tradnl"/>
              </w:rPr>
              <w:t>:</w:t>
            </w:r>
            <w:r w:rsidR="004E6EED" w:rsidRPr="00976BFF">
              <w:rPr>
                <w:rFonts w:ascii="Times New Roman" w:hAnsi="Times New Roman" w:cs="Times New Roman"/>
                <w:b/>
                <w:sz w:val="20"/>
                <w:szCs w:val="20"/>
                <w:lang w:val="es-ES_tradnl"/>
              </w:rPr>
              <w:t xml:space="preserve"> </w:t>
            </w:r>
            <w:r w:rsidR="00D82569" w:rsidRPr="00976BFF">
              <w:rPr>
                <w:rFonts w:ascii="Times New Roman" w:hAnsi="Times New Roman" w:cs="Times New Roman"/>
                <w:sz w:val="20"/>
                <w:szCs w:val="20"/>
                <w:lang w:val="es-ES_tradnl"/>
              </w:rPr>
              <w:t xml:space="preserve">Al finalizar el </w:t>
            </w:r>
            <w:r w:rsidR="008A1019">
              <w:rPr>
                <w:rFonts w:ascii="Times New Roman" w:hAnsi="Times New Roman" w:cs="Times New Roman"/>
                <w:sz w:val="20"/>
                <w:szCs w:val="20"/>
                <w:lang w:val="es-ES_tradnl"/>
              </w:rPr>
              <w:t>programa</w:t>
            </w:r>
          </w:p>
        </w:tc>
        <w:tc>
          <w:tcPr>
            <w:tcW w:w="1786" w:type="dxa"/>
            <w:tcBorders>
              <w:top w:val="single" w:sz="4" w:space="0" w:color="A6A6A6" w:themeColor="background1" w:themeShade="A6"/>
              <w:left w:val="single" w:sz="4" w:space="0" w:color="000000"/>
              <w:right w:val="single" w:sz="4" w:space="0" w:color="000000"/>
            </w:tcBorders>
            <w:shd w:val="clear" w:color="auto" w:fill="auto"/>
            <w:vAlign w:val="center"/>
          </w:tcPr>
          <w:p w:rsidR="005C0B61" w:rsidRPr="00976BFF" w:rsidRDefault="005C0B61" w:rsidP="00D8256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S</w:t>
            </w:r>
            <w:r w:rsidR="00725A52" w:rsidRPr="00976BFF">
              <w:rPr>
                <w:rFonts w:ascii="Times New Roman" w:hAnsi="Times New Roman" w:cs="Times New Roman"/>
                <w:b/>
                <w:sz w:val="20"/>
                <w:szCs w:val="20"/>
                <w:lang w:val="es-ES_tradnl"/>
              </w:rPr>
              <w:t>ituación</w:t>
            </w:r>
            <w:r w:rsidRPr="00976BFF">
              <w:rPr>
                <w:rFonts w:ascii="Times New Roman" w:hAnsi="Times New Roman" w:cs="Times New Roman"/>
                <w:b/>
                <w:sz w:val="20"/>
                <w:szCs w:val="20"/>
                <w:lang w:val="es-ES_tradnl"/>
              </w:rPr>
              <w:t>:</w:t>
            </w:r>
            <w:r w:rsidR="004E6EED" w:rsidRPr="00976BFF">
              <w:rPr>
                <w:rFonts w:ascii="Times New Roman" w:hAnsi="Times New Roman" w:cs="Times New Roman"/>
                <w:b/>
                <w:sz w:val="20"/>
                <w:szCs w:val="20"/>
                <w:lang w:val="es-ES_tradnl"/>
              </w:rPr>
              <w:t xml:space="preserve"> </w:t>
            </w:r>
            <w:r w:rsidR="00D82569" w:rsidRPr="00976BFF">
              <w:rPr>
                <w:rFonts w:ascii="Times New Roman" w:hAnsi="Times New Roman" w:cs="Times New Roman"/>
                <w:sz w:val="20"/>
                <w:szCs w:val="20"/>
                <w:lang w:val="es-ES_tradnl"/>
              </w:rPr>
              <w:t>Aún no se ha iniciado</w:t>
            </w:r>
          </w:p>
        </w:tc>
      </w:tr>
      <w:tr w:rsidR="0026050C" w:rsidRPr="00976BFF">
        <w:tc>
          <w:tcPr>
            <w:tcW w:w="5234" w:type="dxa"/>
            <w:shd w:val="pct5" w:color="auto" w:fill="auto"/>
            <w:vAlign w:val="center"/>
          </w:tcPr>
          <w:p w:rsidR="00D60384" w:rsidRPr="00976BFF" w:rsidRDefault="004E78CF" w:rsidP="00182571">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1.2.</w:t>
            </w:r>
            <w:r w:rsidR="005C0B61" w:rsidRPr="00976BFF">
              <w:rPr>
                <w:rFonts w:ascii="Times New Roman" w:hAnsi="Times New Roman" w:cs="Times New Roman"/>
                <w:b/>
                <w:sz w:val="20"/>
                <w:szCs w:val="20"/>
                <w:lang w:val="es-ES_tradnl"/>
              </w:rPr>
              <w:t xml:space="preserve"> </w:t>
            </w:r>
            <w:r w:rsidR="00182571" w:rsidRPr="00976BFF">
              <w:rPr>
                <w:rFonts w:ascii="Times New Roman" w:hAnsi="Times New Roman" w:cs="Times New Roman"/>
                <w:b/>
                <w:sz w:val="20"/>
                <w:szCs w:val="20"/>
                <w:lang w:val="es-ES_tradnl"/>
              </w:rPr>
              <w:t>Riesgo fiduciario</w:t>
            </w:r>
          </w:p>
        </w:tc>
        <w:tc>
          <w:tcPr>
            <w:tcW w:w="1305" w:type="dxa"/>
            <w:tcBorders>
              <w:right w:val="single" w:sz="4" w:space="0" w:color="auto"/>
            </w:tcBorders>
            <w:shd w:val="pct5" w:color="auto" w:fill="auto"/>
          </w:tcPr>
          <w:p w:rsidR="005C0B61" w:rsidRPr="00976BFF" w:rsidRDefault="00182571"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Calificación:</w:t>
            </w:r>
          </w:p>
        </w:tc>
        <w:tc>
          <w:tcPr>
            <w:tcW w:w="6331" w:type="dxa"/>
            <w:gridSpan w:val="5"/>
            <w:tcBorders>
              <w:left w:val="single" w:sz="4" w:space="0" w:color="auto"/>
            </w:tcBorders>
            <w:shd w:val="pct5" w:color="auto" w:fill="auto"/>
            <w:vAlign w:val="center"/>
          </w:tcPr>
          <w:p w:rsidR="005C0B61" w:rsidRPr="00976BFF" w:rsidRDefault="00182571"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Moderado</w:t>
            </w:r>
          </w:p>
        </w:tc>
      </w:tr>
      <w:tr w:rsidR="0026050C"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val="restart"/>
            <w:tcBorders>
              <w:top w:val="single" w:sz="4" w:space="0" w:color="000000"/>
              <w:left w:val="single" w:sz="4" w:space="0" w:color="000000"/>
              <w:right w:val="single" w:sz="4" w:space="0" w:color="000000"/>
            </w:tcBorders>
            <w:shd w:val="clear" w:color="auto" w:fill="auto"/>
          </w:tcPr>
          <w:p w:rsidR="005C0B61" w:rsidRPr="00976BFF" w:rsidRDefault="005C0B61"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Descrip</w:t>
            </w:r>
            <w:r w:rsidR="00182571" w:rsidRPr="00976BFF">
              <w:rPr>
                <w:rFonts w:ascii="Times New Roman" w:hAnsi="Times New Roman" w:cs="Times New Roman"/>
                <w:b/>
                <w:sz w:val="20"/>
                <w:szCs w:val="20"/>
                <w:lang w:val="es-ES_tradnl"/>
              </w:rPr>
              <w:t>ció</w:t>
            </w:r>
            <w:r w:rsidRPr="00976BFF">
              <w:rPr>
                <w:rFonts w:ascii="Times New Roman" w:hAnsi="Times New Roman" w:cs="Times New Roman"/>
                <w:b/>
                <w:sz w:val="20"/>
                <w:szCs w:val="20"/>
                <w:lang w:val="es-ES_tradnl"/>
              </w:rPr>
              <w:t xml:space="preserve">n: </w:t>
            </w:r>
          </w:p>
          <w:p w:rsidR="004E6EED" w:rsidRPr="00976BFF" w:rsidRDefault="004E6EED" w:rsidP="00AD3C40">
            <w:pPr>
              <w:pStyle w:val="NoSpacing"/>
              <w:rPr>
                <w:rFonts w:ascii="Times New Roman" w:hAnsi="Times New Roman" w:cs="Times New Roman"/>
                <w:b/>
                <w:sz w:val="20"/>
                <w:szCs w:val="20"/>
                <w:lang w:val="es-ES_tradnl"/>
              </w:rPr>
            </w:pPr>
          </w:p>
          <w:p w:rsidR="004E6EED" w:rsidRPr="00976BFF" w:rsidRDefault="0026050C"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Los principios fiduciarios son sólidos, los procesos son transparentes y se considera que los sistemas existentes son satisfactorios para la ejecución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El Gobierno está actualizando el sistema de información sobre gestión financiera, incluido el módulo de contabilidad. Los riesgos potenciales identificados a través de la evaluación fiduciaria se reducen a l</w:t>
            </w:r>
            <w:r w:rsidR="00B7294D">
              <w:rPr>
                <w:rFonts w:ascii="Times New Roman" w:hAnsi="Times New Roman" w:cs="Times New Roman"/>
                <w:sz w:val="20"/>
                <w:szCs w:val="20"/>
                <w:lang w:val="es-ES_tradnl"/>
              </w:rPr>
              <w:t>os</w:t>
            </w:r>
            <w:r w:rsidRPr="00976BFF">
              <w:rPr>
                <w:rFonts w:ascii="Times New Roman" w:hAnsi="Times New Roman" w:cs="Times New Roman"/>
                <w:sz w:val="20"/>
                <w:szCs w:val="20"/>
                <w:lang w:val="es-ES_tradnl"/>
              </w:rPr>
              <w:t xml:space="preserve"> </w:t>
            </w:r>
            <w:r w:rsidR="00B7294D">
              <w:rPr>
                <w:rFonts w:ascii="Times New Roman" w:hAnsi="Times New Roman" w:cs="Times New Roman"/>
                <w:sz w:val="20"/>
                <w:szCs w:val="20"/>
                <w:lang w:val="es-ES_tradnl"/>
              </w:rPr>
              <w:t>plazos</w:t>
            </w:r>
            <w:r w:rsidRPr="00976BFF">
              <w:rPr>
                <w:rFonts w:ascii="Times New Roman" w:hAnsi="Times New Roman" w:cs="Times New Roman"/>
                <w:sz w:val="20"/>
                <w:szCs w:val="20"/>
                <w:lang w:val="es-ES_tradnl"/>
              </w:rPr>
              <w:t xml:space="preserve"> de los procesos de adquisiciones y las funciones de auditoría interna y externa de la gestión financiera</w:t>
            </w:r>
            <w:r w:rsidR="004E6EED" w:rsidRPr="00976BFF">
              <w:rPr>
                <w:rFonts w:ascii="Times New Roman" w:hAnsi="Times New Roman" w:cs="Times New Roman"/>
                <w:sz w:val="20"/>
                <w:szCs w:val="20"/>
                <w:lang w:val="es-ES_tradnl"/>
              </w:rPr>
              <w:t>:</w:t>
            </w: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26050C" w:rsidRPr="00976BFF">
              <w:rPr>
                <w:rFonts w:ascii="Times New Roman" w:hAnsi="Times New Roman" w:cs="Times New Roman"/>
                <w:sz w:val="20"/>
                <w:szCs w:val="20"/>
                <w:lang w:val="es-ES_tradnl"/>
              </w:rPr>
              <w:t>La lentitud del proceso decisorio durante la evaluación de las ofertas y la adjudicación de los contratos ocasiona retrasos importantes en los procesos de adquisiciones</w:t>
            </w:r>
            <w:r w:rsidRPr="00976BFF">
              <w:rPr>
                <w:rFonts w:ascii="Times New Roman" w:hAnsi="Times New Roman" w:cs="Times New Roman"/>
                <w:sz w:val="20"/>
                <w:szCs w:val="20"/>
                <w:lang w:val="es-ES_tradnl"/>
              </w:rPr>
              <w:t>.</w:t>
            </w: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B. </w:t>
            </w:r>
            <w:r w:rsidR="0026050C" w:rsidRPr="00976BFF">
              <w:rPr>
                <w:rFonts w:ascii="Times New Roman" w:hAnsi="Times New Roman" w:cs="Times New Roman"/>
                <w:sz w:val="20"/>
                <w:szCs w:val="20"/>
                <w:lang w:val="es-ES_tradnl"/>
              </w:rPr>
              <w:t xml:space="preserve">Las deficiencias en la </w:t>
            </w:r>
            <w:r w:rsidR="00C37774" w:rsidRPr="00976BFF">
              <w:rPr>
                <w:rFonts w:ascii="Times New Roman" w:hAnsi="Times New Roman" w:cs="Times New Roman"/>
                <w:sz w:val="20"/>
                <w:szCs w:val="20"/>
                <w:lang w:val="es-ES_tradnl"/>
              </w:rPr>
              <w:t>Unidad de A</w:t>
            </w:r>
            <w:r w:rsidR="0026050C" w:rsidRPr="00976BFF">
              <w:rPr>
                <w:rFonts w:ascii="Times New Roman" w:hAnsi="Times New Roman" w:cs="Times New Roman"/>
                <w:sz w:val="20"/>
                <w:szCs w:val="20"/>
                <w:lang w:val="es-ES_tradnl"/>
              </w:rPr>
              <w:t xml:space="preserve">uditoría </w:t>
            </w:r>
            <w:r w:rsidR="00C37774" w:rsidRPr="00976BFF">
              <w:rPr>
                <w:rFonts w:ascii="Times New Roman" w:hAnsi="Times New Roman" w:cs="Times New Roman"/>
                <w:sz w:val="20"/>
                <w:szCs w:val="20"/>
                <w:lang w:val="es-ES_tradnl"/>
              </w:rPr>
              <w:t>I</w:t>
            </w:r>
            <w:r w:rsidR="0026050C" w:rsidRPr="00976BFF">
              <w:rPr>
                <w:rFonts w:ascii="Times New Roman" w:hAnsi="Times New Roman" w:cs="Times New Roman"/>
                <w:sz w:val="20"/>
                <w:szCs w:val="20"/>
                <w:lang w:val="es-ES_tradnl"/>
              </w:rPr>
              <w:t xml:space="preserve">nterna del </w:t>
            </w:r>
            <w:r w:rsidR="00B87AA4" w:rsidRPr="00976BFF">
              <w:rPr>
                <w:rFonts w:ascii="Times New Roman" w:hAnsi="Times New Roman" w:cs="Times New Roman"/>
                <w:sz w:val="20"/>
                <w:szCs w:val="20"/>
                <w:lang w:val="es-ES_tradnl"/>
              </w:rPr>
              <w:t>MTOP</w:t>
            </w:r>
            <w:r w:rsidR="0026050C" w:rsidRPr="00976BFF">
              <w:rPr>
                <w:rFonts w:ascii="Times New Roman" w:hAnsi="Times New Roman" w:cs="Times New Roman"/>
                <w:sz w:val="20"/>
                <w:szCs w:val="20"/>
                <w:lang w:val="es-ES_tradnl"/>
              </w:rPr>
              <w:t xml:space="preserve"> dan por resultado que los controles fiduciarios internos no sean confiables o se ejerzan en forma parcial</w:t>
            </w:r>
            <w:r w:rsidR="004E379B" w:rsidRPr="00976BFF">
              <w:rPr>
                <w:rFonts w:ascii="Times New Roman" w:hAnsi="Times New Roman" w:cs="Times New Roman"/>
                <w:sz w:val="20"/>
                <w:szCs w:val="20"/>
                <w:lang w:val="es-ES_tradnl"/>
              </w:rPr>
              <w:t xml:space="preserve">. </w:t>
            </w:r>
          </w:p>
          <w:p w:rsidR="00070C51" w:rsidRPr="00976BFF" w:rsidRDefault="00070C51" w:rsidP="004E6EED">
            <w:pPr>
              <w:pStyle w:val="NoSpacing"/>
              <w:rPr>
                <w:rFonts w:ascii="Times New Roman" w:hAnsi="Times New Roman" w:cs="Times New Roman"/>
                <w:sz w:val="20"/>
                <w:szCs w:val="20"/>
                <w:lang w:val="es-ES_tradnl"/>
              </w:rPr>
            </w:pPr>
          </w:p>
          <w:p w:rsidR="00070C51" w:rsidRPr="00976BFF" w:rsidRDefault="00070C51"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C. </w:t>
            </w:r>
            <w:r w:rsidR="0026050C" w:rsidRPr="00976BFF">
              <w:rPr>
                <w:rFonts w:ascii="Times New Roman" w:hAnsi="Times New Roman" w:cs="Times New Roman"/>
                <w:sz w:val="20"/>
                <w:szCs w:val="20"/>
                <w:lang w:val="es-ES_tradnl"/>
              </w:rPr>
              <w:t xml:space="preserve">Los riesgos de fraude y corrupción relacionados con las actividades del </w:t>
            </w:r>
            <w:r w:rsidR="008A1019">
              <w:rPr>
                <w:rFonts w:ascii="Times New Roman" w:hAnsi="Times New Roman" w:cs="Times New Roman"/>
                <w:sz w:val="20"/>
                <w:szCs w:val="20"/>
                <w:lang w:val="es-ES_tradnl"/>
              </w:rPr>
              <w:t>programa</w:t>
            </w:r>
            <w:r w:rsidR="0026050C" w:rsidRPr="00976BFF">
              <w:rPr>
                <w:rFonts w:ascii="Times New Roman" w:hAnsi="Times New Roman" w:cs="Times New Roman"/>
                <w:sz w:val="20"/>
                <w:szCs w:val="20"/>
                <w:lang w:val="es-ES_tradnl"/>
              </w:rPr>
              <w:t xml:space="preserve"> </w:t>
            </w:r>
            <w:r w:rsidR="00A42B67" w:rsidRPr="00976BFF">
              <w:rPr>
                <w:rFonts w:ascii="Times New Roman" w:hAnsi="Times New Roman" w:cs="Times New Roman"/>
                <w:sz w:val="20"/>
                <w:szCs w:val="20"/>
                <w:lang w:val="es-ES_tradnl"/>
              </w:rPr>
              <w:t xml:space="preserve">se derivan especialmente de lo siguiente: a) la falta de un mecanismo formal de </w:t>
            </w:r>
            <w:r w:rsidR="001D22F8" w:rsidRPr="00976BFF">
              <w:rPr>
                <w:rFonts w:ascii="Times New Roman" w:hAnsi="Times New Roman" w:cs="Times New Roman"/>
                <w:sz w:val="20"/>
                <w:szCs w:val="20"/>
                <w:lang w:val="es-ES_tradnl"/>
              </w:rPr>
              <w:t>reclamación</w:t>
            </w:r>
            <w:r w:rsidR="00A42B67" w:rsidRPr="00976BFF">
              <w:rPr>
                <w:rFonts w:ascii="Times New Roman" w:hAnsi="Times New Roman" w:cs="Times New Roman"/>
                <w:sz w:val="20"/>
                <w:szCs w:val="20"/>
                <w:lang w:val="es-ES_tradnl"/>
              </w:rPr>
              <w:t xml:space="preserve"> para los ciudadanos</w:t>
            </w:r>
            <w:r w:rsidR="0081158E">
              <w:rPr>
                <w:rFonts w:ascii="Times New Roman" w:hAnsi="Times New Roman" w:cs="Times New Roman"/>
                <w:sz w:val="20"/>
                <w:szCs w:val="20"/>
                <w:lang w:val="es-ES_tradnl"/>
              </w:rPr>
              <w:t>;</w:t>
            </w:r>
            <w:r w:rsidR="0081158E" w:rsidRPr="00976BFF">
              <w:rPr>
                <w:rFonts w:ascii="Times New Roman" w:hAnsi="Times New Roman" w:cs="Times New Roman"/>
                <w:sz w:val="20"/>
                <w:szCs w:val="20"/>
                <w:lang w:val="es-ES_tradnl"/>
              </w:rPr>
              <w:t xml:space="preserve"> </w:t>
            </w:r>
            <w:r w:rsidR="00A42B67" w:rsidRPr="00976BFF">
              <w:rPr>
                <w:rFonts w:ascii="Times New Roman" w:hAnsi="Times New Roman" w:cs="Times New Roman"/>
                <w:sz w:val="20"/>
                <w:szCs w:val="20"/>
                <w:lang w:val="es-ES_tradnl"/>
              </w:rPr>
              <w:t xml:space="preserve">b) la falta de una lista centralizada de inhabilitación que incluya a las empresas y personas físicas penalizadas por actos de fraude y corrupción, y c) el potencial conflicto de intereses entre los contratistas y los equipos de supervisión del </w:t>
            </w:r>
            <w:r w:rsidR="008A1019">
              <w:rPr>
                <w:rFonts w:ascii="Times New Roman" w:hAnsi="Times New Roman" w:cs="Times New Roman"/>
                <w:sz w:val="20"/>
                <w:szCs w:val="20"/>
                <w:lang w:val="es-ES_tradnl"/>
              </w:rPr>
              <w:t>programa</w:t>
            </w:r>
            <w:r w:rsidR="00A42B67" w:rsidRPr="00976BFF">
              <w:rPr>
                <w:rFonts w:ascii="Times New Roman" w:hAnsi="Times New Roman" w:cs="Times New Roman"/>
                <w:sz w:val="20"/>
                <w:szCs w:val="20"/>
                <w:lang w:val="es-ES_tradnl"/>
              </w:rPr>
              <w:t xml:space="preserve"> debido al reducido tamaño del sector de construcción vial de </w:t>
            </w:r>
            <w:r w:rsidRPr="00976BFF">
              <w:rPr>
                <w:rFonts w:ascii="Times New Roman" w:hAnsi="Times New Roman" w:cs="Times New Roman"/>
                <w:sz w:val="20"/>
                <w:szCs w:val="20"/>
                <w:lang w:val="es-ES_tradnl"/>
              </w:rPr>
              <w:t>Uruguay.</w:t>
            </w:r>
          </w:p>
          <w:p w:rsidR="004E6EED" w:rsidRPr="00976BFF" w:rsidRDefault="004E6EED" w:rsidP="004E6EED">
            <w:pPr>
              <w:pStyle w:val="NoSpacing"/>
              <w:rPr>
                <w:rFonts w:ascii="Times New Roman" w:hAnsi="Times New Roman" w:cs="Times New Roman"/>
                <w:b/>
                <w:sz w:val="20"/>
                <w:szCs w:val="20"/>
                <w:lang w:val="es-ES_tradnl"/>
              </w:rPr>
            </w:pPr>
          </w:p>
        </w:tc>
        <w:tc>
          <w:tcPr>
            <w:tcW w:w="7636" w:type="dxa"/>
            <w:gridSpan w:val="6"/>
            <w:tcBorders>
              <w:top w:val="single" w:sz="4" w:space="0" w:color="000000"/>
              <w:left w:val="single" w:sz="4" w:space="0" w:color="000000"/>
              <w:bottom w:val="single" w:sz="4" w:space="0" w:color="A6A6A6" w:themeColor="background1" w:themeShade="A6"/>
              <w:right w:val="single" w:sz="4" w:space="0" w:color="000000"/>
            </w:tcBorders>
            <w:shd w:val="clear" w:color="auto" w:fill="auto"/>
            <w:vAlign w:val="center"/>
          </w:tcPr>
          <w:p w:rsidR="005C0B61" w:rsidRPr="00976BFF" w:rsidRDefault="00182571" w:rsidP="00AD3C4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Gestión de riesgos</w:t>
            </w:r>
            <w:r w:rsidR="005C0B61" w:rsidRPr="00976BFF">
              <w:rPr>
                <w:rFonts w:ascii="Times New Roman" w:hAnsi="Times New Roman" w:cs="Times New Roman"/>
                <w:b/>
                <w:sz w:val="20"/>
                <w:szCs w:val="20"/>
                <w:lang w:val="es-ES_tradnl"/>
              </w:rPr>
              <w:t>:</w:t>
            </w: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E10439" w:rsidRPr="00976BFF">
              <w:rPr>
                <w:rFonts w:ascii="Times New Roman" w:hAnsi="Times New Roman" w:cs="Times New Roman"/>
                <w:sz w:val="20"/>
                <w:szCs w:val="20"/>
                <w:lang w:val="es-ES_tradnl"/>
              </w:rPr>
              <w:t xml:space="preserve">Realizar un diagnóstico detallado de las instancias intermedias entre la evaluación de las ofertas y la adjudicación del contrato para </w:t>
            </w:r>
            <w:r w:rsidR="00C37774" w:rsidRPr="00976BFF">
              <w:rPr>
                <w:rFonts w:ascii="Times New Roman" w:hAnsi="Times New Roman" w:cs="Times New Roman"/>
                <w:sz w:val="20"/>
                <w:szCs w:val="20"/>
                <w:lang w:val="es-ES_tradnl"/>
              </w:rPr>
              <w:t xml:space="preserve">identificar los principales obstáculos y abrir oportunidades para aumentar la eficiencia. Adicionalmente, en el nuevo </w:t>
            </w:r>
            <w:r w:rsidRPr="00976BFF">
              <w:rPr>
                <w:rFonts w:ascii="Times New Roman" w:hAnsi="Times New Roman" w:cs="Times New Roman"/>
                <w:sz w:val="20"/>
                <w:szCs w:val="20"/>
                <w:lang w:val="es-ES_tradnl"/>
              </w:rPr>
              <w:t>TOCAF, e</w:t>
            </w:r>
            <w:r w:rsidR="00C37774" w:rsidRPr="00976BFF">
              <w:rPr>
                <w:rFonts w:ascii="Times New Roman" w:hAnsi="Times New Roman" w:cs="Times New Roman"/>
                <w:sz w:val="20"/>
                <w:szCs w:val="20"/>
                <w:lang w:val="es-ES_tradnl"/>
              </w:rPr>
              <w:t xml:space="preserve">n vigor desde junio de </w:t>
            </w:r>
            <w:r w:rsidRPr="00976BFF">
              <w:rPr>
                <w:rFonts w:ascii="Times New Roman" w:hAnsi="Times New Roman" w:cs="Times New Roman"/>
                <w:sz w:val="20"/>
                <w:szCs w:val="20"/>
                <w:lang w:val="es-ES_tradnl"/>
              </w:rPr>
              <w:t>2012, se</w:t>
            </w:r>
            <w:r w:rsidR="00C37774" w:rsidRPr="00976BFF">
              <w:rPr>
                <w:rFonts w:ascii="Times New Roman" w:hAnsi="Times New Roman" w:cs="Times New Roman"/>
                <w:sz w:val="20"/>
                <w:szCs w:val="20"/>
                <w:lang w:val="es-ES_tradnl"/>
              </w:rPr>
              <w:t xml:space="preserve"> </w:t>
            </w:r>
            <w:r w:rsidR="004A26E3" w:rsidRPr="00976BFF">
              <w:rPr>
                <w:rFonts w:ascii="Times New Roman" w:hAnsi="Times New Roman" w:cs="Times New Roman"/>
                <w:sz w:val="20"/>
                <w:szCs w:val="20"/>
                <w:lang w:val="es-ES_tradnl"/>
              </w:rPr>
              <w:t>establecen</w:t>
            </w:r>
            <w:r w:rsidR="00C37774" w:rsidRPr="00976BFF">
              <w:rPr>
                <w:rFonts w:ascii="Times New Roman" w:hAnsi="Times New Roman" w:cs="Times New Roman"/>
                <w:sz w:val="20"/>
                <w:szCs w:val="20"/>
                <w:lang w:val="es-ES_tradnl"/>
              </w:rPr>
              <w:t xml:space="preserve"> plazos para la labor que realizan los comités de evaluación de ofertas y el </w:t>
            </w:r>
            <w:r w:rsidR="00CF07C3">
              <w:rPr>
                <w:rFonts w:ascii="Times New Roman" w:hAnsi="Times New Roman" w:cs="Times New Roman"/>
                <w:sz w:val="20"/>
                <w:szCs w:val="20"/>
                <w:lang w:val="es-ES_tradnl"/>
              </w:rPr>
              <w:t>TCR</w:t>
            </w:r>
            <w:r w:rsidRPr="00976BFF">
              <w:rPr>
                <w:rFonts w:ascii="Times New Roman" w:hAnsi="Times New Roman" w:cs="Times New Roman"/>
                <w:sz w:val="20"/>
                <w:szCs w:val="20"/>
                <w:lang w:val="es-ES_tradnl"/>
              </w:rPr>
              <w:t xml:space="preserve">. </w:t>
            </w:r>
            <w:r w:rsidR="00C37774" w:rsidRPr="00976BFF">
              <w:rPr>
                <w:rFonts w:ascii="Times New Roman" w:hAnsi="Times New Roman" w:cs="Times New Roman"/>
                <w:sz w:val="20"/>
                <w:szCs w:val="20"/>
                <w:lang w:val="es-ES_tradnl"/>
              </w:rPr>
              <w:t xml:space="preserve">El Banco realizará un seguimiento del efecto de esta nueva legislación en </w:t>
            </w:r>
            <w:r w:rsidR="00B7294D">
              <w:rPr>
                <w:rFonts w:ascii="Times New Roman" w:hAnsi="Times New Roman" w:cs="Times New Roman"/>
                <w:sz w:val="20"/>
                <w:szCs w:val="20"/>
                <w:lang w:val="es-ES_tradnl"/>
              </w:rPr>
              <w:t>los plazos</w:t>
            </w:r>
            <w:r w:rsidR="00C37774" w:rsidRPr="00976BFF">
              <w:rPr>
                <w:rFonts w:ascii="Times New Roman" w:hAnsi="Times New Roman" w:cs="Times New Roman"/>
                <w:sz w:val="20"/>
                <w:szCs w:val="20"/>
                <w:lang w:val="es-ES_tradnl"/>
              </w:rPr>
              <w:t xml:space="preserve"> de los procesos de adquisiciones</w:t>
            </w:r>
            <w:r w:rsidRPr="00976BFF">
              <w:rPr>
                <w:rFonts w:ascii="Times New Roman" w:hAnsi="Times New Roman" w:cs="Times New Roman"/>
                <w:sz w:val="20"/>
                <w:szCs w:val="20"/>
                <w:lang w:val="es-ES_tradnl"/>
              </w:rPr>
              <w:t>.</w:t>
            </w: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070C51"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B. </w:t>
            </w:r>
            <w:r w:rsidR="00C37774" w:rsidRPr="00976BFF">
              <w:rPr>
                <w:rFonts w:ascii="Times New Roman" w:hAnsi="Times New Roman" w:cs="Times New Roman"/>
                <w:sz w:val="20"/>
                <w:szCs w:val="20"/>
                <w:lang w:val="es-ES_tradnl"/>
              </w:rPr>
              <w:t xml:space="preserve">Examinar el funcionamiento de la Unidad de Auditoría Interna del </w:t>
            </w:r>
            <w:r w:rsidR="004E6EED" w:rsidRPr="00976BFF">
              <w:rPr>
                <w:rFonts w:ascii="Times New Roman" w:hAnsi="Times New Roman" w:cs="Times New Roman"/>
                <w:sz w:val="20"/>
                <w:szCs w:val="20"/>
                <w:lang w:val="es-ES_tradnl"/>
              </w:rPr>
              <w:t>MTOP</w:t>
            </w:r>
            <w:r w:rsidR="00C37774" w:rsidRPr="00976BFF">
              <w:rPr>
                <w:rFonts w:ascii="Times New Roman" w:hAnsi="Times New Roman" w:cs="Times New Roman"/>
                <w:sz w:val="20"/>
                <w:szCs w:val="20"/>
                <w:lang w:val="es-ES_tradnl"/>
              </w:rPr>
              <w:t>, preparar un plan de fortalecimiento de la capacidad para la unidad, llevar a cabo las actividades de capacitación, con especial énfasis en la auditoría basada en los riesgos, para el personal de la unidad</w:t>
            </w:r>
            <w:r w:rsidR="004E6EED" w:rsidRPr="00976BFF">
              <w:rPr>
                <w:rFonts w:ascii="Times New Roman" w:hAnsi="Times New Roman" w:cs="Times New Roman"/>
                <w:sz w:val="20"/>
                <w:szCs w:val="20"/>
                <w:lang w:val="es-ES_tradnl"/>
              </w:rPr>
              <w:t>.</w:t>
            </w:r>
          </w:p>
          <w:p w:rsidR="00070C51" w:rsidRPr="00976BFF" w:rsidRDefault="00070C51" w:rsidP="004E6EED">
            <w:pPr>
              <w:pStyle w:val="NoSpacing"/>
              <w:tabs>
                <w:tab w:val="left" w:pos="372"/>
              </w:tabs>
              <w:rPr>
                <w:rFonts w:ascii="Times New Roman" w:hAnsi="Times New Roman" w:cs="Times New Roman"/>
                <w:sz w:val="20"/>
                <w:szCs w:val="20"/>
                <w:lang w:val="es-ES_tradnl"/>
              </w:rPr>
            </w:pPr>
          </w:p>
          <w:p w:rsidR="00070C51" w:rsidRPr="00976BFF" w:rsidRDefault="00070C51" w:rsidP="004E6EED">
            <w:pPr>
              <w:pStyle w:val="NoSpacing"/>
              <w:tabs>
                <w:tab w:val="left" w:pos="372"/>
              </w:tabs>
              <w:rPr>
                <w:rFonts w:ascii="Times New Roman" w:hAnsi="Times New Roman" w:cs="Times New Roman"/>
                <w:sz w:val="20"/>
                <w:szCs w:val="20"/>
                <w:lang w:val="es-ES_tradnl"/>
              </w:rPr>
            </w:pPr>
          </w:p>
          <w:p w:rsidR="00070C51" w:rsidRPr="00976BFF" w:rsidRDefault="00070C51" w:rsidP="004E6EED">
            <w:pPr>
              <w:pStyle w:val="NoSpacing"/>
              <w:tabs>
                <w:tab w:val="left" w:pos="372"/>
              </w:tabs>
              <w:rPr>
                <w:rFonts w:ascii="Times New Roman" w:hAnsi="Times New Roman" w:cs="Times New Roman"/>
                <w:sz w:val="20"/>
                <w:szCs w:val="20"/>
                <w:lang w:val="es-ES_tradnl"/>
              </w:rPr>
            </w:pPr>
          </w:p>
          <w:p w:rsidR="00401D88" w:rsidRPr="00976BFF" w:rsidRDefault="00070C51" w:rsidP="00B7294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C. </w:t>
            </w:r>
            <w:r w:rsidR="00C37774" w:rsidRPr="00976BFF">
              <w:rPr>
                <w:rFonts w:ascii="Times New Roman" w:hAnsi="Times New Roman" w:cs="Times New Roman"/>
                <w:sz w:val="20"/>
                <w:szCs w:val="20"/>
                <w:lang w:val="es-ES_tradnl"/>
              </w:rPr>
              <w:t xml:space="preserve">Se considera que existe un bajo nivel de riesgo durante la ejecución del </w:t>
            </w:r>
            <w:r w:rsidR="008A1019">
              <w:rPr>
                <w:rFonts w:ascii="Times New Roman" w:hAnsi="Times New Roman" w:cs="Times New Roman"/>
                <w:sz w:val="20"/>
                <w:szCs w:val="20"/>
                <w:lang w:val="es-ES_tradnl"/>
              </w:rPr>
              <w:t>programa</w:t>
            </w:r>
            <w:r w:rsidR="00C37774" w:rsidRPr="00976BFF">
              <w:rPr>
                <w:rFonts w:ascii="Times New Roman" w:hAnsi="Times New Roman" w:cs="Times New Roman"/>
                <w:sz w:val="20"/>
                <w:szCs w:val="20"/>
                <w:lang w:val="es-ES_tradnl"/>
              </w:rPr>
              <w:t xml:space="preserve">. Creación de la base de datos del mecanismo de reclamación y quejas. Se imparte capacitación para difundir el </w:t>
            </w:r>
            <w:r w:rsidR="00A15E06" w:rsidRPr="00976BFF">
              <w:rPr>
                <w:rFonts w:ascii="Times New Roman" w:hAnsi="Times New Roman" w:cs="Times New Roman"/>
                <w:sz w:val="20"/>
                <w:szCs w:val="20"/>
                <w:lang w:val="es-ES_tradnl"/>
              </w:rPr>
              <w:t>TOCAF</w:t>
            </w:r>
            <w:r w:rsidR="00C37774" w:rsidRPr="00976BFF">
              <w:rPr>
                <w:rFonts w:ascii="Times New Roman" w:hAnsi="Times New Roman" w:cs="Times New Roman"/>
                <w:sz w:val="20"/>
                <w:szCs w:val="20"/>
                <w:lang w:val="es-ES_tradnl"/>
              </w:rPr>
              <w:t xml:space="preserve"> actualizado</w:t>
            </w:r>
            <w:r w:rsidR="00A15E06" w:rsidRPr="00976BFF">
              <w:rPr>
                <w:rFonts w:ascii="Times New Roman" w:hAnsi="Times New Roman" w:cs="Times New Roman"/>
                <w:sz w:val="20"/>
                <w:szCs w:val="20"/>
                <w:lang w:val="es-ES_tradnl"/>
              </w:rPr>
              <w:t xml:space="preserve"> (</w:t>
            </w:r>
            <w:r w:rsidR="00C37774" w:rsidRPr="00976BFF">
              <w:rPr>
                <w:rFonts w:ascii="Times New Roman" w:hAnsi="Times New Roman" w:cs="Times New Roman"/>
                <w:sz w:val="20"/>
                <w:szCs w:val="20"/>
                <w:lang w:val="es-ES_tradnl"/>
              </w:rPr>
              <w:t>junio de</w:t>
            </w:r>
            <w:r w:rsidR="00A15E06" w:rsidRPr="00976BFF">
              <w:rPr>
                <w:rFonts w:ascii="Times New Roman" w:hAnsi="Times New Roman" w:cs="Times New Roman"/>
                <w:sz w:val="20"/>
                <w:szCs w:val="20"/>
                <w:lang w:val="es-ES_tradnl"/>
              </w:rPr>
              <w:t xml:space="preserve"> 2012).</w:t>
            </w:r>
            <w:r w:rsidR="00401D88" w:rsidRPr="00976BFF">
              <w:rPr>
                <w:rFonts w:ascii="Times New Roman" w:hAnsi="Times New Roman" w:cs="Times New Roman"/>
                <w:sz w:val="20"/>
                <w:szCs w:val="20"/>
                <w:lang w:val="es-ES_tradnl"/>
              </w:rPr>
              <w:t xml:space="preserve"> </w:t>
            </w:r>
            <w:r w:rsidR="00C37774" w:rsidRPr="00976BFF">
              <w:rPr>
                <w:rFonts w:ascii="Times New Roman" w:hAnsi="Times New Roman" w:cs="Times New Roman"/>
                <w:sz w:val="20"/>
                <w:szCs w:val="20"/>
                <w:lang w:val="es-ES_tradnl"/>
              </w:rPr>
              <w:t xml:space="preserve">Se sigue desarrollando el </w:t>
            </w:r>
            <w:r w:rsidR="00401D88" w:rsidRPr="00976BFF">
              <w:rPr>
                <w:rFonts w:ascii="Times New Roman" w:hAnsi="Times New Roman" w:cs="Times New Roman"/>
                <w:sz w:val="20"/>
                <w:szCs w:val="20"/>
                <w:lang w:val="es-ES_tradnl"/>
              </w:rPr>
              <w:t xml:space="preserve">Registro </w:t>
            </w:r>
            <w:r w:rsidR="00C37774" w:rsidRPr="00976BFF">
              <w:rPr>
                <w:rFonts w:ascii="Times New Roman" w:hAnsi="Times New Roman" w:cs="Times New Roman"/>
                <w:sz w:val="20"/>
                <w:szCs w:val="20"/>
                <w:lang w:val="es-ES_tradnl"/>
              </w:rPr>
              <w:t>N</w:t>
            </w:r>
            <w:r w:rsidR="00401D88" w:rsidRPr="00976BFF">
              <w:rPr>
                <w:rFonts w:ascii="Times New Roman" w:hAnsi="Times New Roman" w:cs="Times New Roman"/>
                <w:sz w:val="20"/>
                <w:szCs w:val="20"/>
                <w:lang w:val="es-ES_tradnl"/>
              </w:rPr>
              <w:t>acional de Empresas</w:t>
            </w:r>
            <w:r w:rsidR="0081158E">
              <w:rPr>
                <w:rFonts w:ascii="Times New Roman" w:hAnsi="Times New Roman" w:cs="Times New Roman"/>
                <w:sz w:val="20"/>
                <w:szCs w:val="20"/>
                <w:lang w:val="es-ES_tradnl"/>
              </w:rPr>
              <w:t xml:space="preserve"> de Obras Públicas</w:t>
            </w:r>
            <w:r w:rsidR="00401D88" w:rsidRPr="00976BFF">
              <w:rPr>
                <w:rFonts w:ascii="Times New Roman" w:hAnsi="Times New Roman" w:cs="Times New Roman"/>
                <w:sz w:val="20"/>
                <w:szCs w:val="20"/>
                <w:lang w:val="es-ES_tradnl"/>
              </w:rPr>
              <w:t xml:space="preserve">. </w:t>
            </w:r>
            <w:r w:rsidR="00C37774" w:rsidRPr="00976BFF">
              <w:rPr>
                <w:rFonts w:ascii="Times New Roman" w:hAnsi="Times New Roman" w:cs="Times New Roman"/>
                <w:sz w:val="20"/>
                <w:szCs w:val="20"/>
                <w:lang w:val="es-ES_tradnl"/>
              </w:rPr>
              <w:t xml:space="preserve">Se establece una mayor coordinación con otros </w:t>
            </w:r>
            <w:r w:rsidR="00B7294D">
              <w:rPr>
                <w:rFonts w:ascii="Times New Roman" w:hAnsi="Times New Roman" w:cs="Times New Roman"/>
                <w:sz w:val="20"/>
                <w:szCs w:val="20"/>
                <w:lang w:val="es-ES_tradnl"/>
              </w:rPr>
              <w:t>organismos que no dependen del P</w:t>
            </w:r>
            <w:r w:rsidR="00C37774" w:rsidRPr="00976BFF">
              <w:rPr>
                <w:rFonts w:ascii="Times New Roman" w:hAnsi="Times New Roman" w:cs="Times New Roman"/>
                <w:sz w:val="20"/>
                <w:szCs w:val="20"/>
                <w:lang w:val="es-ES_tradnl"/>
              </w:rPr>
              <w:t xml:space="preserve">oder </w:t>
            </w:r>
            <w:r w:rsidR="00B7294D">
              <w:rPr>
                <w:rFonts w:ascii="Times New Roman" w:hAnsi="Times New Roman" w:cs="Times New Roman"/>
                <w:sz w:val="20"/>
                <w:szCs w:val="20"/>
                <w:lang w:val="es-ES_tradnl"/>
              </w:rPr>
              <w:t>E</w:t>
            </w:r>
            <w:r w:rsidR="00C37774" w:rsidRPr="00976BFF">
              <w:rPr>
                <w:rFonts w:ascii="Times New Roman" w:hAnsi="Times New Roman" w:cs="Times New Roman"/>
                <w:sz w:val="20"/>
                <w:szCs w:val="20"/>
                <w:lang w:val="es-ES_tradnl"/>
              </w:rPr>
              <w:t xml:space="preserve">jecutivo, como por ejemplo la </w:t>
            </w:r>
            <w:r w:rsidR="00346B7F" w:rsidRPr="00976BFF">
              <w:rPr>
                <w:rFonts w:ascii="Times New Roman" w:hAnsi="Times New Roman" w:cs="Times New Roman"/>
                <w:sz w:val="20"/>
                <w:szCs w:val="20"/>
                <w:lang w:val="es-ES_tradnl"/>
              </w:rPr>
              <w:t>Junta de Transparencia y Ética Pública</w:t>
            </w:r>
            <w:r w:rsidR="00401D88" w:rsidRPr="00976BFF">
              <w:rPr>
                <w:rFonts w:ascii="Times New Roman" w:hAnsi="Times New Roman" w:cs="Times New Roman"/>
                <w:sz w:val="20"/>
                <w:szCs w:val="20"/>
                <w:lang w:val="es-ES_tradnl"/>
              </w:rPr>
              <w:t>.</w:t>
            </w:r>
          </w:p>
        </w:tc>
      </w:tr>
      <w:tr w:rsidR="001D22F8"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tcBorders>
              <w:left w:val="single" w:sz="4" w:space="0" w:color="000000"/>
              <w:right w:val="single" w:sz="4" w:space="0" w:color="000000"/>
            </w:tcBorders>
            <w:shd w:val="clear" w:color="auto" w:fill="auto"/>
          </w:tcPr>
          <w:p w:rsidR="001D22F8" w:rsidRPr="00976BFF" w:rsidRDefault="001D22F8" w:rsidP="00AD3C40">
            <w:pPr>
              <w:pStyle w:val="NoSpacing"/>
              <w:rPr>
                <w:rFonts w:ascii="Times New Roman" w:hAnsi="Times New Roman" w:cs="Times New Roman"/>
                <w:b/>
                <w:sz w:val="20"/>
                <w:szCs w:val="20"/>
                <w:lang w:val="es-ES_tradnl"/>
              </w:rPr>
            </w:pPr>
          </w:p>
        </w:tc>
        <w:tc>
          <w:tcPr>
            <w:tcW w:w="1746" w:type="dxa"/>
            <w:gridSpan w:val="3"/>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Organismo responsable: </w:t>
            </w:r>
            <w:r w:rsidRPr="00976BFF">
              <w:rPr>
                <w:rFonts w:ascii="Times New Roman" w:hAnsi="Times New Roman" w:cs="Times New Roman"/>
                <w:sz w:val="20"/>
                <w:szCs w:val="20"/>
                <w:lang w:val="es-ES_tradnl"/>
              </w:rPr>
              <w:t>Banco / Prestatario</w:t>
            </w:r>
          </w:p>
        </w:tc>
        <w:tc>
          <w:tcPr>
            <w:tcW w:w="1431"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Etapa:</w:t>
            </w:r>
            <w:r w:rsidRPr="00976BFF">
              <w:rPr>
                <w:rFonts w:ascii="Times New Roman" w:hAnsi="Times New Roman" w:cs="Times New Roman"/>
                <w:sz w:val="20"/>
                <w:szCs w:val="20"/>
                <w:lang w:val="es-ES_tradnl"/>
              </w:rPr>
              <w:t xml:space="preserve"> Ejecución</w:t>
            </w:r>
          </w:p>
        </w:tc>
        <w:tc>
          <w:tcPr>
            <w:tcW w:w="2673"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Fecha de presentación: </w:t>
            </w:r>
            <w:r w:rsidRPr="00976BFF">
              <w:rPr>
                <w:rFonts w:ascii="Times New Roman" w:hAnsi="Times New Roman" w:cs="Times New Roman"/>
                <w:sz w:val="20"/>
                <w:szCs w:val="20"/>
                <w:lang w:val="es-ES_tradnl"/>
              </w:rPr>
              <w:t xml:space="preserve">Al finalizar el </w:t>
            </w:r>
            <w:r w:rsidR="008A1019">
              <w:rPr>
                <w:rFonts w:ascii="Times New Roman" w:hAnsi="Times New Roman" w:cs="Times New Roman"/>
                <w:sz w:val="20"/>
                <w:szCs w:val="20"/>
                <w:lang w:val="es-ES_tradnl"/>
              </w:rPr>
              <w:t>programa</w:t>
            </w:r>
          </w:p>
        </w:tc>
        <w:tc>
          <w:tcPr>
            <w:tcW w:w="1786"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Situación: </w:t>
            </w:r>
            <w:r w:rsidRPr="00976BFF">
              <w:rPr>
                <w:rFonts w:ascii="Times New Roman" w:hAnsi="Times New Roman" w:cs="Times New Roman"/>
                <w:sz w:val="20"/>
                <w:szCs w:val="20"/>
                <w:lang w:val="es-ES_tradnl"/>
              </w:rPr>
              <w:t>Aún no se ha iniciado</w:t>
            </w:r>
          </w:p>
        </w:tc>
      </w:tr>
      <w:tr w:rsidR="0026050C" w:rsidRPr="00976BFF">
        <w:tc>
          <w:tcPr>
            <w:tcW w:w="5234" w:type="dxa"/>
            <w:shd w:val="clear" w:color="auto" w:fill="FFFFFF" w:themeFill="background1"/>
            <w:vAlign w:val="center"/>
          </w:tcPr>
          <w:p w:rsidR="00D60384" w:rsidRPr="00976BFF" w:rsidRDefault="004E78CF" w:rsidP="00346B7F">
            <w:pPr>
              <w:pStyle w:val="NoSpacing"/>
              <w:rPr>
                <w:rFonts w:ascii="Times New Roman" w:hAnsi="Times New Roman" w:cs="Times New Roman"/>
                <w:sz w:val="20"/>
                <w:szCs w:val="20"/>
                <w:lang w:val="es-ES_tradnl"/>
              </w:rPr>
            </w:pPr>
            <w:r w:rsidRPr="00976BFF">
              <w:rPr>
                <w:rFonts w:ascii="Times New Roman" w:hAnsi="Times New Roman" w:cs="Times New Roman"/>
                <w:b/>
                <w:sz w:val="20"/>
                <w:szCs w:val="20"/>
                <w:lang w:val="es-ES_tradnl"/>
              </w:rPr>
              <w:t>1.</w:t>
            </w:r>
            <w:r w:rsidR="005C0B61" w:rsidRPr="00976BFF">
              <w:rPr>
                <w:rFonts w:ascii="Times New Roman" w:hAnsi="Times New Roman" w:cs="Times New Roman"/>
                <w:b/>
                <w:sz w:val="20"/>
                <w:szCs w:val="20"/>
                <w:lang w:val="es-ES_tradnl"/>
              </w:rPr>
              <w:t>3</w:t>
            </w:r>
            <w:r w:rsidRPr="00976BFF">
              <w:rPr>
                <w:rFonts w:ascii="Times New Roman" w:hAnsi="Times New Roman" w:cs="Times New Roman"/>
                <w:b/>
                <w:sz w:val="20"/>
                <w:szCs w:val="20"/>
                <w:lang w:val="es-ES_tradnl"/>
              </w:rPr>
              <w:t>.</w:t>
            </w:r>
            <w:r w:rsidR="005C0B61" w:rsidRPr="00976BFF">
              <w:rPr>
                <w:rFonts w:ascii="Times New Roman" w:hAnsi="Times New Roman" w:cs="Times New Roman"/>
                <w:b/>
                <w:sz w:val="20"/>
                <w:szCs w:val="20"/>
                <w:lang w:val="es-ES_tradnl"/>
              </w:rPr>
              <w:t xml:space="preserve"> </w:t>
            </w:r>
            <w:r w:rsidR="00346B7F" w:rsidRPr="00976BFF">
              <w:rPr>
                <w:rFonts w:ascii="Times New Roman" w:hAnsi="Times New Roman" w:cs="Times New Roman"/>
                <w:b/>
                <w:sz w:val="20"/>
                <w:szCs w:val="20"/>
                <w:lang w:val="es-ES_tradnl"/>
              </w:rPr>
              <w:t>Riesgo ambiental y social</w:t>
            </w:r>
          </w:p>
        </w:tc>
        <w:tc>
          <w:tcPr>
            <w:tcW w:w="1305" w:type="dxa"/>
            <w:tcBorders>
              <w:right w:val="single" w:sz="4" w:space="0" w:color="auto"/>
            </w:tcBorders>
            <w:shd w:val="clear" w:color="auto" w:fill="FFFFFF" w:themeFill="background1"/>
          </w:tcPr>
          <w:p w:rsidR="005C0B61" w:rsidRPr="00976BFF" w:rsidRDefault="00346B7F"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Calificación</w:t>
            </w:r>
            <w:r w:rsidR="005C0B61" w:rsidRPr="00976BFF">
              <w:rPr>
                <w:rFonts w:ascii="Times New Roman" w:hAnsi="Times New Roman" w:cs="Times New Roman"/>
                <w:b/>
                <w:sz w:val="20"/>
                <w:szCs w:val="20"/>
                <w:lang w:val="es-ES_tradnl"/>
              </w:rPr>
              <w:t>:</w:t>
            </w:r>
          </w:p>
        </w:tc>
        <w:tc>
          <w:tcPr>
            <w:tcW w:w="6331" w:type="dxa"/>
            <w:gridSpan w:val="5"/>
            <w:tcBorders>
              <w:left w:val="single" w:sz="4" w:space="0" w:color="auto"/>
            </w:tcBorders>
            <w:shd w:val="clear" w:color="auto" w:fill="FFFFFF" w:themeFill="background1"/>
            <w:vAlign w:val="center"/>
          </w:tcPr>
          <w:p w:rsidR="005C0B61" w:rsidRPr="00976BFF" w:rsidRDefault="00346B7F"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Bajo</w:t>
            </w:r>
          </w:p>
        </w:tc>
      </w:tr>
      <w:tr w:rsidR="0026050C" w:rsidRPr="00976BFF">
        <w:trPr>
          <w:trHeight w:val="345"/>
        </w:trPr>
        <w:tc>
          <w:tcPr>
            <w:tcW w:w="5234" w:type="dxa"/>
            <w:vMerge w:val="restart"/>
            <w:tcBorders>
              <w:top w:val="single" w:sz="4" w:space="0" w:color="000000"/>
              <w:left w:val="single" w:sz="4" w:space="0" w:color="000000"/>
              <w:right w:val="single" w:sz="4" w:space="0" w:color="000000"/>
            </w:tcBorders>
            <w:shd w:val="clear" w:color="auto" w:fill="FFFFFF" w:themeFill="background1"/>
          </w:tcPr>
          <w:p w:rsidR="005C0B61" w:rsidRPr="00976BFF" w:rsidRDefault="005C0B61"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Descrip</w:t>
            </w:r>
            <w:r w:rsidR="00346B7F" w:rsidRPr="00976BFF">
              <w:rPr>
                <w:rFonts w:ascii="Times New Roman" w:hAnsi="Times New Roman" w:cs="Times New Roman"/>
                <w:b/>
                <w:sz w:val="20"/>
                <w:szCs w:val="20"/>
                <w:lang w:val="es-ES_tradnl"/>
              </w:rPr>
              <w:t>ció</w:t>
            </w:r>
            <w:r w:rsidRPr="00976BFF">
              <w:rPr>
                <w:rFonts w:ascii="Times New Roman" w:hAnsi="Times New Roman" w:cs="Times New Roman"/>
                <w:b/>
                <w:sz w:val="20"/>
                <w:szCs w:val="20"/>
                <w:lang w:val="es-ES_tradnl"/>
              </w:rPr>
              <w:t xml:space="preserve">n: </w:t>
            </w: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346B7F" w:rsidP="00AD3C40">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Se considera que los potenciales impactos ambientales y sociales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xml:space="preserve"> son bajos; las obras de rehabilitación y mantenimiento se circunscriben a los lugares especificados y son temporales; existen instrumentos y marcos regulatorios</w:t>
            </w:r>
            <w:r w:rsidR="00B7294D">
              <w:rPr>
                <w:rFonts w:ascii="Times New Roman" w:hAnsi="Times New Roman" w:cs="Times New Roman"/>
                <w:sz w:val="20"/>
                <w:szCs w:val="20"/>
                <w:lang w:val="es-ES_tradnl"/>
              </w:rPr>
              <w:t xml:space="preserve"> </w:t>
            </w:r>
            <w:r w:rsidR="00B7294D" w:rsidRPr="00976BFF">
              <w:rPr>
                <w:rFonts w:ascii="Times New Roman" w:hAnsi="Times New Roman" w:cs="Times New Roman"/>
                <w:sz w:val="20"/>
                <w:szCs w:val="20"/>
                <w:lang w:val="es-ES_tradnl"/>
              </w:rPr>
              <w:t>eficaces</w:t>
            </w:r>
            <w:r w:rsidRPr="00976BFF">
              <w:rPr>
                <w:rFonts w:ascii="Times New Roman" w:hAnsi="Times New Roman" w:cs="Times New Roman"/>
                <w:sz w:val="20"/>
                <w:szCs w:val="20"/>
                <w:lang w:val="es-ES_tradnl"/>
              </w:rPr>
              <w:t xml:space="preserve">, y las unidades encargadas de las salvaguardas (la UAV de la DNV y la unidad de expropiaciones de la </w:t>
            </w:r>
            <w:r w:rsidR="004E6EED" w:rsidRPr="00976BFF">
              <w:rPr>
                <w:rFonts w:ascii="Times New Roman" w:hAnsi="Times New Roman" w:cs="Times New Roman"/>
                <w:sz w:val="20"/>
                <w:szCs w:val="20"/>
                <w:lang w:val="es-ES_tradnl"/>
              </w:rPr>
              <w:t>DNTop)</w:t>
            </w:r>
            <w:r w:rsidR="002D0F20" w:rsidRPr="00976BFF">
              <w:rPr>
                <w:rFonts w:ascii="Times New Roman" w:hAnsi="Times New Roman" w:cs="Times New Roman"/>
                <w:sz w:val="20"/>
                <w:szCs w:val="20"/>
                <w:lang w:val="es-ES_tradnl"/>
              </w:rPr>
              <w:t xml:space="preserve"> poseen conocimientos especializados aunque carecen de personal suficiente. Los riesgos identificados incluyen</w:t>
            </w:r>
            <w:r w:rsidR="004E6EED" w:rsidRPr="00976BFF">
              <w:rPr>
                <w:rFonts w:ascii="Times New Roman" w:hAnsi="Times New Roman" w:cs="Times New Roman"/>
                <w:sz w:val="20"/>
                <w:szCs w:val="20"/>
                <w:lang w:val="es-ES_tradnl"/>
              </w:rPr>
              <w:t>:</w:t>
            </w: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4E6EED" w:rsidP="00AD3C40">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2D0F20" w:rsidRPr="00976BFF">
              <w:rPr>
                <w:rFonts w:ascii="Times New Roman" w:hAnsi="Times New Roman" w:cs="Times New Roman"/>
                <w:sz w:val="20"/>
                <w:szCs w:val="20"/>
                <w:lang w:val="es-ES_tradnl"/>
              </w:rPr>
              <w:t>El riesgo de que las obras tengan un impacto negativo en el medio ambiente, especialmente en las zonas protegidas, a raíz de una inadecuada supervisión ambiental o debido al deficiente desempeño ambiental de malos contratistas</w:t>
            </w:r>
            <w:r w:rsidRPr="00976BFF">
              <w:rPr>
                <w:rFonts w:ascii="Times New Roman" w:hAnsi="Times New Roman" w:cs="Times New Roman"/>
                <w:sz w:val="20"/>
                <w:szCs w:val="20"/>
                <w:lang w:val="es-ES_tradnl"/>
              </w:rPr>
              <w:t>.</w:t>
            </w:r>
          </w:p>
          <w:p w:rsidR="004E6EED" w:rsidRPr="00976BFF" w:rsidRDefault="004E6EED" w:rsidP="00AD3C40">
            <w:pPr>
              <w:pStyle w:val="NoSpacing"/>
              <w:rPr>
                <w:rFonts w:ascii="Times New Roman" w:hAnsi="Times New Roman" w:cs="Times New Roman"/>
                <w:sz w:val="20"/>
                <w:szCs w:val="20"/>
                <w:lang w:val="es-ES_tradnl"/>
              </w:rPr>
            </w:pPr>
          </w:p>
          <w:p w:rsidR="0059670E" w:rsidRPr="00976BFF" w:rsidRDefault="0059670E" w:rsidP="00AD3C40">
            <w:pPr>
              <w:pStyle w:val="NoSpacing"/>
              <w:rPr>
                <w:rFonts w:ascii="Times New Roman" w:hAnsi="Times New Roman" w:cs="Times New Roman"/>
                <w:sz w:val="20"/>
                <w:szCs w:val="20"/>
                <w:lang w:val="es-ES_tradnl"/>
              </w:rPr>
            </w:pPr>
          </w:p>
          <w:p w:rsidR="004E6EED" w:rsidRPr="00976BFF" w:rsidRDefault="0059670E" w:rsidP="00AD3C40">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B</w:t>
            </w:r>
            <w:r w:rsidR="004E6EED" w:rsidRPr="00976BFF">
              <w:rPr>
                <w:rFonts w:ascii="Times New Roman" w:hAnsi="Times New Roman" w:cs="Times New Roman"/>
                <w:sz w:val="20"/>
                <w:szCs w:val="20"/>
                <w:lang w:val="es-ES_tradnl"/>
              </w:rPr>
              <w:t xml:space="preserve">. </w:t>
            </w:r>
            <w:r w:rsidR="002D0F20" w:rsidRPr="00976BFF">
              <w:rPr>
                <w:rFonts w:ascii="Times New Roman" w:hAnsi="Times New Roman" w:cs="Times New Roman"/>
                <w:sz w:val="20"/>
                <w:szCs w:val="20"/>
                <w:lang w:val="es-ES_tradnl"/>
              </w:rPr>
              <w:t xml:space="preserve">El riesgo de que el </w:t>
            </w:r>
            <w:r w:rsidR="008A1019">
              <w:rPr>
                <w:rFonts w:ascii="Times New Roman" w:hAnsi="Times New Roman" w:cs="Times New Roman"/>
                <w:sz w:val="20"/>
                <w:szCs w:val="20"/>
                <w:lang w:val="es-ES_tradnl"/>
              </w:rPr>
              <w:t>programa</w:t>
            </w:r>
            <w:r w:rsidR="002D0F20" w:rsidRPr="00976BFF">
              <w:rPr>
                <w:rFonts w:ascii="Times New Roman" w:hAnsi="Times New Roman" w:cs="Times New Roman"/>
                <w:sz w:val="20"/>
                <w:szCs w:val="20"/>
                <w:lang w:val="es-ES_tradnl"/>
              </w:rPr>
              <w:t xml:space="preserve"> afronte obstáculos debido a potenciales denuncias de </w:t>
            </w:r>
            <w:r w:rsidR="00E83357" w:rsidRPr="00976BFF">
              <w:rPr>
                <w:rFonts w:ascii="Times New Roman" w:hAnsi="Times New Roman" w:cs="Times New Roman"/>
                <w:sz w:val="20"/>
                <w:szCs w:val="20"/>
                <w:lang w:val="es-ES_tradnl"/>
              </w:rPr>
              <w:t xml:space="preserve">partes interesadas, originadas en la falta de mecanismos formales suficientes para brindar información sobre el </w:t>
            </w:r>
            <w:r w:rsidR="008A1019">
              <w:rPr>
                <w:rFonts w:ascii="Times New Roman" w:hAnsi="Times New Roman" w:cs="Times New Roman"/>
                <w:sz w:val="20"/>
                <w:szCs w:val="20"/>
                <w:lang w:val="es-ES_tradnl"/>
              </w:rPr>
              <w:t>programa</w:t>
            </w:r>
            <w:r w:rsidR="00E83357" w:rsidRPr="00976BFF">
              <w:rPr>
                <w:rFonts w:ascii="Times New Roman" w:hAnsi="Times New Roman" w:cs="Times New Roman"/>
                <w:sz w:val="20"/>
                <w:szCs w:val="20"/>
                <w:lang w:val="es-ES_tradnl"/>
              </w:rPr>
              <w:t xml:space="preserve"> a beneficiarios o para encauzar el potencial descontento de las comunidades con el </w:t>
            </w:r>
            <w:r w:rsidR="008A1019">
              <w:rPr>
                <w:rFonts w:ascii="Times New Roman" w:hAnsi="Times New Roman" w:cs="Times New Roman"/>
                <w:sz w:val="20"/>
                <w:szCs w:val="20"/>
                <w:lang w:val="es-ES_tradnl"/>
              </w:rPr>
              <w:t>programa</w:t>
            </w:r>
            <w:r w:rsidR="00070C51" w:rsidRPr="00976BFF">
              <w:rPr>
                <w:rFonts w:ascii="Times New Roman" w:hAnsi="Times New Roman" w:cs="Times New Roman"/>
                <w:sz w:val="20"/>
                <w:szCs w:val="20"/>
                <w:lang w:val="es-ES_tradnl"/>
              </w:rPr>
              <w:t>.</w:t>
            </w: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59670E" w:rsidP="00AD3C40">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C</w:t>
            </w:r>
            <w:r w:rsidR="004E6EED" w:rsidRPr="00976BFF">
              <w:rPr>
                <w:rFonts w:ascii="Times New Roman" w:hAnsi="Times New Roman" w:cs="Times New Roman"/>
                <w:sz w:val="20"/>
                <w:szCs w:val="20"/>
                <w:lang w:val="es-ES_tradnl"/>
              </w:rPr>
              <w:t xml:space="preserve">. </w:t>
            </w:r>
            <w:r w:rsidR="00E83357" w:rsidRPr="00976BFF">
              <w:rPr>
                <w:rFonts w:ascii="Times New Roman" w:hAnsi="Times New Roman" w:cs="Times New Roman"/>
                <w:sz w:val="20"/>
                <w:szCs w:val="20"/>
                <w:lang w:val="es-ES_tradnl"/>
              </w:rPr>
              <w:t xml:space="preserve">El riesgo de perturbaciones institucionales en la </w:t>
            </w:r>
            <w:r w:rsidR="004E6EED" w:rsidRPr="00976BFF">
              <w:rPr>
                <w:rFonts w:ascii="Times New Roman" w:hAnsi="Times New Roman" w:cs="Times New Roman"/>
                <w:sz w:val="20"/>
                <w:szCs w:val="20"/>
                <w:lang w:val="es-ES_tradnl"/>
              </w:rPr>
              <w:t>DNTop (</w:t>
            </w:r>
            <w:r w:rsidR="00E83357" w:rsidRPr="00976BFF">
              <w:rPr>
                <w:rFonts w:ascii="Times New Roman" w:hAnsi="Times New Roman" w:cs="Times New Roman"/>
                <w:sz w:val="20"/>
                <w:szCs w:val="20"/>
                <w:lang w:val="es-ES_tradnl"/>
              </w:rPr>
              <w:t>mediano plazo</w:t>
            </w:r>
            <w:r w:rsidR="004E6EED" w:rsidRPr="00976BFF">
              <w:rPr>
                <w:rFonts w:ascii="Times New Roman" w:hAnsi="Times New Roman" w:cs="Times New Roman"/>
                <w:sz w:val="20"/>
                <w:szCs w:val="20"/>
                <w:lang w:val="es-ES_tradnl"/>
              </w:rPr>
              <w:t>).</w:t>
            </w: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59670E" w:rsidP="00AD3C40">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w:t>
            </w:r>
            <w:r w:rsidR="00A15E06" w:rsidRPr="00976BFF">
              <w:rPr>
                <w:rFonts w:ascii="Times New Roman" w:hAnsi="Times New Roman" w:cs="Times New Roman"/>
                <w:sz w:val="20"/>
                <w:szCs w:val="20"/>
                <w:lang w:val="es-ES_tradnl"/>
              </w:rPr>
              <w:t xml:space="preserve">. </w:t>
            </w:r>
            <w:r w:rsidR="00E83357" w:rsidRPr="00976BFF">
              <w:rPr>
                <w:rFonts w:ascii="Times New Roman" w:hAnsi="Times New Roman" w:cs="Times New Roman"/>
                <w:sz w:val="20"/>
                <w:szCs w:val="20"/>
                <w:lang w:val="es-ES_tradnl"/>
              </w:rPr>
              <w:t>El riesgo de una gestión deficiente de los procesos de reasentamiento involuntario, especialmente en el caso de las personas que no poseen derechos de propiedad sobre la tierra</w:t>
            </w:r>
            <w:r w:rsidR="004E6EED" w:rsidRPr="00976BFF">
              <w:rPr>
                <w:rFonts w:ascii="Times New Roman" w:hAnsi="Times New Roman" w:cs="Times New Roman"/>
                <w:sz w:val="20"/>
                <w:szCs w:val="20"/>
                <w:lang w:val="es-ES_tradnl"/>
              </w:rPr>
              <w:t>.</w:t>
            </w:r>
          </w:p>
          <w:p w:rsidR="004E6EED" w:rsidRPr="00976BFF" w:rsidRDefault="004E6EED" w:rsidP="00AD3C40">
            <w:pPr>
              <w:pStyle w:val="NoSpacing"/>
              <w:rPr>
                <w:rFonts w:ascii="Times New Roman" w:hAnsi="Times New Roman" w:cs="Times New Roman"/>
                <w:sz w:val="20"/>
                <w:szCs w:val="20"/>
                <w:lang w:val="es-ES_tradnl"/>
              </w:rPr>
            </w:pPr>
          </w:p>
          <w:p w:rsidR="00D717CC" w:rsidRPr="00976BFF" w:rsidRDefault="00D717CC" w:rsidP="00AD3C40">
            <w:pPr>
              <w:pStyle w:val="NoSpacing"/>
              <w:rPr>
                <w:rFonts w:ascii="Times New Roman" w:hAnsi="Times New Roman" w:cs="Times New Roman"/>
                <w:sz w:val="20"/>
                <w:szCs w:val="20"/>
                <w:lang w:val="es-ES_tradnl"/>
              </w:rPr>
            </w:pPr>
          </w:p>
          <w:p w:rsidR="004E6EED" w:rsidRPr="00976BFF" w:rsidRDefault="0059670E" w:rsidP="00AD3C40">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E</w:t>
            </w:r>
            <w:r w:rsidR="004E6EED" w:rsidRPr="00976BFF">
              <w:rPr>
                <w:rFonts w:ascii="Times New Roman" w:hAnsi="Times New Roman" w:cs="Times New Roman"/>
                <w:sz w:val="20"/>
                <w:szCs w:val="20"/>
                <w:lang w:val="es-ES_tradnl"/>
              </w:rPr>
              <w:t xml:space="preserve">. </w:t>
            </w:r>
            <w:r w:rsidR="00E83357" w:rsidRPr="00976BFF">
              <w:rPr>
                <w:rFonts w:ascii="Times New Roman" w:hAnsi="Times New Roman" w:cs="Times New Roman"/>
                <w:sz w:val="20"/>
                <w:szCs w:val="20"/>
                <w:lang w:val="es-ES_tradnl"/>
              </w:rPr>
              <w:t>El riesgo de que la compensación por la adquisición de servidumbres de paso no sea equitativa</w:t>
            </w:r>
            <w:r w:rsidR="004E6EED" w:rsidRPr="00976BFF">
              <w:rPr>
                <w:rFonts w:ascii="Times New Roman" w:hAnsi="Times New Roman" w:cs="Times New Roman"/>
                <w:sz w:val="20"/>
                <w:szCs w:val="20"/>
                <w:lang w:val="es-ES_tradnl"/>
              </w:rPr>
              <w:t>.</w:t>
            </w: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4E6EED" w:rsidP="00AD3C40">
            <w:pPr>
              <w:pStyle w:val="NoSpacing"/>
              <w:rPr>
                <w:rFonts w:ascii="Times New Roman" w:hAnsi="Times New Roman" w:cs="Times New Roman"/>
                <w:sz w:val="20"/>
                <w:szCs w:val="20"/>
                <w:lang w:val="es-ES_tradnl"/>
              </w:rPr>
            </w:pPr>
          </w:p>
          <w:p w:rsidR="004E6EED" w:rsidRPr="00976BFF" w:rsidRDefault="004E6EED" w:rsidP="00AD3C40">
            <w:pPr>
              <w:pStyle w:val="NoSpacing"/>
              <w:rPr>
                <w:rFonts w:ascii="Times New Roman" w:hAnsi="Times New Roman" w:cs="Times New Roman"/>
                <w:sz w:val="20"/>
                <w:szCs w:val="20"/>
                <w:lang w:val="es-ES_tradnl"/>
              </w:rPr>
            </w:pPr>
          </w:p>
        </w:tc>
        <w:tc>
          <w:tcPr>
            <w:tcW w:w="7636" w:type="dxa"/>
            <w:gridSpan w:val="6"/>
            <w:tcBorders>
              <w:top w:val="single" w:sz="4" w:space="0" w:color="000000"/>
              <w:left w:val="single" w:sz="4" w:space="0" w:color="000000"/>
              <w:bottom w:val="single" w:sz="4" w:space="0" w:color="A6A6A6" w:themeColor="background1" w:themeShade="A6"/>
              <w:right w:val="single" w:sz="4" w:space="0" w:color="000000"/>
            </w:tcBorders>
            <w:shd w:val="clear" w:color="auto" w:fill="FFFFFF" w:themeFill="background1"/>
            <w:vAlign w:val="center"/>
          </w:tcPr>
          <w:p w:rsidR="005C0B61" w:rsidRPr="00976BFF" w:rsidRDefault="00346B7F" w:rsidP="00AD3C4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Gestión de riesgos</w:t>
            </w:r>
            <w:r w:rsidR="005C0B61" w:rsidRPr="00976BFF">
              <w:rPr>
                <w:rFonts w:ascii="Times New Roman" w:hAnsi="Times New Roman" w:cs="Times New Roman"/>
                <w:b/>
                <w:sz w:val="20"/>
                <w:szCs w:val="20"/>
                <w:lang w:val="es-ES_tradnl"/>
              </w:rPr>
              <w:t>:</w:t>
            </w: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132222" w:rsidRPr="00976BFF">
              <w:rPr>
                <w:rFonts w:ascii="Times New Roman" w:hAnsi="Times New Roman" w:cs="Times New Roman"/>
                <w:sz w:val="20"/>
                <w:szCs w:val="20"/>
                <w:lang w:val="es-ES_tradnl"/>
              </w:rPr>
              <w:t xml:space="preserve">Reforzar y desarrollar la supervisión ambiental de las obras mediante la actualización del manual ambiental del MTOP y la </w:t>
            </w:r>
            <w:r w:rsidRPr="00976BFF">
              <w:rPr>
                <w:rFonts w:ascii="Times New Roman" w:hAnsi="Times New Roman" w:cs="Times New Roman"/>
                <w:sz w:val="20"/>
                <w:szCs w:val="20"/>
                <w:lang w:val="es-ES_tradnl"/>
              </w:rPr>
              <w:t>DNV</w:t>
            </w:r>
            <w:r w:rsidR="00132222" w:rsidRPr="00976BFF">
              <w:rPr>
                <w:rFonts w:ascii="Times New Roman" w:hAnsi="Times New Roman" w:cs="Times New Roman"/>
                <w:sz w:val="20"/>
                <w:szCs w:val="20"/>
                <w:lang w:val="es-ES_tradnl"/>
              </w:rPr>
              <w:t xml:space="preserve">. Realizar en forma regular </w:t>
            </w:r>
            <w:r w:rsidR="004A26E3" w:rsidRPr="00976BFF">
              <w:rPr>
                <w:rFonts w:ascii="Times New Roman" w:hAnsi="Times New Roman" w:cs="Times New Roman"/>
                <w:sz w:val="20"/>
                <w:szCs w:val="20"/>
                <w:lang w:val="es-ES_tradnl"/>
              </w:rPr>
              <w:t>auditorías</w:t>
            </w:r>
            <w:r w:rsidR="00132222" w:rsidRPr="00976BFF">
              <w:rPr>
                <w:rFonts w:ascii="Times New Roman" w:hAnsi="Times New Roman" w:cs="Times New Roman"/>
                <w:sz w:val="20"/>
                <w:szCs w:val="20"/>
                <w:lang w:val="es-ES_tradnl"/>
              </w:rPr>
              <w:t xml:space="preserve"> ambientales de los contratos del </w:t>
            </w:r>
            <w:r w:rsidR="008A1019">
              <w:rPr>
                <w:rFonts w:ascii="Times New Roman" w:hAnsi="Times New Roman" w:cs="Times New Roman"/>
                <w:sz w:val="20"/>
                <w:szCs w:val="20"/>
                <w:lang w:val="es-ES_tradnl"/>
              </w:rPr>
              <w:t>programa</w:t>
            </w:r>
            <w:r w:rsidR="00132222" w:rsidRPr="00976BFF">
              <w:rPr>
                <w:rFonts w:ascii="Times New Roman" w:hAnsi="Times New Roman" w:cs="Times New Roman"/>
                <w:sz w:val="20"/>
                <w:szCs w:val="20"/>
                <w:lang w:val="es-ES_tradnl"/>
              </w:rPr>
              <w:t xml:space="preserve">. Incluir por lo menos un profesional especializado en medio ambiente en la </w:t>
            </w:r>
            <w:r w:rsidR="00423929">
              <w:rPr>
                <w:rFonts w:ascii="Times New Roman" w:hAnsi="Times New Roman" w:cs="Times New Roman"/>
                <w:sz w:val="20"/>
                <w:szCs w:val="20"/>
                <w:lang w:val="es-ES_tradnl"/>
              </w:rPr>
              <w:t>UAV</w:t>
            </w:r>
            <w:r w:rsidR="00132222" w:rsidRPr="00976BFF">
              <w:rPr>
                <w:rFonts w:ascii="Times New Roman" w:hAnsi="Times New Roman" w:cs="Times New Roman"/>
                <w:sz w:val="20"/>
                <w:szCs w:val="20"/>
                <w:lang w:val="es-ES_tradnl"/>
              </w:rPr>
              <w:t xml:space="preserve"> </w:t>
            </w:r>
            <w:r w:rsidR="005B6CB8">
              <w:rPr>
                <w:rFonts w:ascii="Times New Roman" w:hAnsi="Times New Roman" w:cs="Times New Roman"/>
                <w:sz w:val="20"/>
                <w:szCs w:val="20"/>
                <w:lang w:val="es-ES_tradnl"/>
              </w:rPr>
              <w:t xml:space="preserve">para </w:t>
            </w:r>
            <w:r w:rsidR="00132222" w:rsidRPr="00976BFF">
              <w:rPr>
                <w:rFonts w:ascii="Times New Roman" w:hAnsi="Times New Roman" w:cs="Times New Roman"/>
                <w:sz w:val="20"/>
                <w:szCs w:val="20"/>
                <w:lang w:val="es-ES_tradnl"/>
              </w:rPr>
              <w:t>fortalecer la capacidad y aumentar el apoyo a los ingenieros viales de la DNV encargados de la supervisión ambiental</w:t>
            </w:r>
            <w:r w:rsidR="00B7294D">
              <w:rPr>
                <w:rFonts w:ascii="Times New Roman" w:hAnsi="Times New Roman" w:cs="Times New Roman"/>
                <w:sz w:val="20"/>
                <w:szCs w:val="20"/>
                <w:lang w:val="es-ES_tradnl"/>
              </w:rPr>
              <w:t>,</w:t>
            </w:r>
            <w:r w:rsidR="00132222" w:rsidRPr="00976BFF">
              <w:rPr>
                <w:rFonts w:ascii="Times New Roman" w:hAnsi="Times New Roman" w:cs="Times New Roman"/>
                <w:sz w:val="20"/>
                <w:szCs w:val="20"/>
                <w:lang w:val="es-ES_tradnl"/>
              </w:rPr>
              <w:t xml:space="preserve"> a través de actividades focalizadas de fortalecimiento de la capacidad</w:t>
            </w:r>
            <w:r w:rsidR="00B47C7F" w:rsidRPr="00976BFF">
              <w:rPr>
                <w:rFonts w:ascii="Times New Roman" w:hAnsi="Times New Roman" w:cs="Times New Roman"/>
                <w:sz w:val="20"/>
                <w:szCs w:val="20"/>
                <w:lang w:val="es-ES_tradnl"/>
              </w:rPr>
              <w:t>.</w:t>
            </w: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59670E"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B</w:t>
            </w:r>
            <w:r w:rsidR="001C47AE">
              <w:rPr>
                <w:rFonts w:ascii="Times New Roman" w:hAnsi="Times New Roman" w:cs="Times New Roman"/>
                <w:sz w:val="20"/>
                <w:szCs w:val="20"/>
                <w:lang w:val="es-ES_tradnl"/>
              </w:rPr>
              <w:t xml:space="preserve">. </w:t>
            </w:r>
            <w:r w:rsidR="00132222" w:rsidRPr="00976BFF">
              <w:rPr>
                <w:rFonts w:ascii="Times New Roman" w:hAnsi="Times New Roman" w:cs="Times New Roman"/>
                <w:sz w:val="20"/>
                <w:szCs w:val="20"/>
                <w:lang w:val="es-ES_tradnl"/>
              </w:rPr>
              <w:t xml:space="preserve">Brindar apoyo al </w:t>
            </w:r>
            <w:r w:rsidR="00070C51" w:rsidRPr="00976BFF">
              <w:rPr>
                <w:rFonts w:ascii="Times New Roman" w:hAnsi="Times New Roman" w:cs="Times New Roman"/>
                <w:sz w:val="20"/>
                <w:szCs w:val="20"/>
                <w:lang w:val="es-ES_tradnl"/>
              </w:rPr>
              <w:t xml:space="preserve">MTOP </w:t>
            </w:r>
            <w:r w:rsidR="00132222" w:rsidRPr="00976BFF">
              <w:rPr>
                <w:rFonts w:ascii="Times New Roman" w:hAnsi="Times New Roman" w:cs="Times New Roman"/>
                <w:sz w:val="20"/>
                <w:szCs w:val="20"/>
                <w:lang w:val="es-ES_tradnl"/>
              </w:rPr>
              <w:t xml:space="preserve">para formalizar los mecanismos de manejo de reclamaciones y quejas vinculadas a la ejecución del </w:t>
            </w:r>
            <w:r w:rsidR="008A1019">
              <w:rPr>
                <w:rFonts w:ascii="Times New Roman" w:hAnsi="Times New Roman" w:cs="Times New Roman"/>
                <w:sz w:val="20"/>
                <w:szCs w:val="20"/>
                <w:lang w:val="es-ES_tradnl"/>
              </w:rPr>
              <w:t>programa</w:t>
            </w:r>
            <w:r w:rsidR="00132222" w:rsidRPr="00976BFF">
              <w:rPr>
                <w:rFonts w:ascii="Times New Roman" w:hAnsi="Times New Roman" w:cs="Times New Roman"/>
                <w:sz w:val="20"/>
                <w:szCs w:val="20"/>
                <w:lang w:val="es-ES_tradnl"/>
              </w:rPr>
              <w:t xml:space="preserve">, mediante la creación de una base de datos para registrar, supervisar y realizar un seguimiento de las reclamaciones y quejas relacionadas con el </w:t>
            </w:r>
            <w:r w:rsidR="008A1019">
              <w:rPr>
                <w:rFonts w:ascii="Times New Roman" w:hAnsi="Times New Roman" w:cs="Times New Roman"/>
                <w:sz w:val="20"/>
                <w:szCs w:val="20"/>
                <w:lang w:val="es-ES_tradnl"/>
              </w:rPr>
              <w:t>programa</w:t>
            </w:r>
            <w:r w:rsidR="00132222" w:rsidRPr="00976BFF">
              <w:rPr>
                <w:rFonts w:ascii="Times New Roman" w:hAnsi="Times New Roman" w:cs="Times New Roman"/>
                <w:sz w:val="20"/>
                <w:szCs w:val="20"/>
                <w:lang w:val="es-ES_tradnl"/>
              </w:rPr>
              <w:t xml:space="preserve"> (ambientales, sociales, técnicas, fiduciarias, </w:t>
            </w:r>
            <w:r w:rsidR="005B6CB8">
              <w:rPr>
                <w:rFonts w:ascii="Times New Roman" w:hAnsi="Times New Roman" w:cs="Times New Roman"/>
                <w:sz w:val="20"/>
                <w:szCs w:val="20"/>
                <w:lang w:val="es-ES_tradnl"/>
              </w:rPr>
              <w:t xml:space="preserve">incluidas </w:t>
            </w:r>
            <w:r w:rsidR="00132222" w:rsidRPr="00976BFF">
              <w:rPr>
                <w:rFonts w:ascii="Times New Roman" w:hAnsi="Times New Roman" w:cs="Times New Roman"/>
                <w:sz w:val="20"/>
                <w:szCs w:val="20"/>
                <w:lang w:val="es-ES_tradnl"/>
              </w:rPr>
              <w:t xml:space="preserve">las denuncias de fraude y corrupción). Respaldar al MTOP en la labor de mejorar la rendición de cuentas y la comunicación del </w:t>
            </w:r>
            <w:r w:rsidR="008A1019">
              <w:rPr>
                <w:rFonts w:ascii="Times New Roman" w:hAnsi="Times New Roman" w:cs="Times New Roman"/>
                <w:sz w:val="20"/>
                <w:szCs w:val="20"/>
                <w:lang w:val="es-ES_tradnl"/>
              </w:rPr>
              <w:t>programa</w:t>
            </w:r>
            <w:r w:rsidR="00132222" w:rsidRPr="00976BFF">
              <w:rPr>
                <w:rFonts w:ascii="Times New Roman" w:hAnsi="Times New Roman" w:cs="Times New Roman"/>
                <w:sz w:val="20"/>
                <w:szCs w:val="20"/>
                <w:lang w:val="es-ES_tradnl"/>
              </w:rPr>
              <w:t xml:space="preserve"> con la sociedad civil</w:t>
            </w:r>
            <w:r w:rsidR="00070C51" w:rsidRPr="00976BFF">
              <w:rPr>
                <w:rFonts w:ascii="Times New Roman" w:hAnsi="Times New Roman" w:cs="Times New Roman"/>
                <w:sz w:val="20"/>
                <w:szCs w:val="20"/>
                <w:lang w:val="es-ES_tradnl"/>
              </w:rPr>
              <w:t>.</w:t>
            </w:r>
          </w:p>
          <w:p w:rsidR="00070C51" w:rsidRPr="00976BFF" w:rsidRDefault="00070C51" w:rsidP="004E6EED">
            <w:pPr>
              <w:pStyle w:val="NoSpacing"/>
              <w:tabs>
                <w:tab w:val="left" w:pos="372"/>
              </w:tabs>
              <w:rPr>
                <w:rFonts w:ascii="Times New Roman" w:hAnsi="Times New Roman" w:cs="Times New Roman"/>
                <w:sz w:val="20"/>
                <w:szCs w:val="20"/>
                <w:lang w:val="es-ES_tradnl"/>
              </w:rPr>
            </w:pPr>
          </w:p>
          <w:p w:rsidR="004E6EED" w:rsidRPr="00976BFF" w:rsidRDefault="0059670E"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C</w:t>
            </w:r>
            <w:r w:rsidR="004E6EED" w:rsidRPr="00976BFF">
              <w:rPr>
                <w:rFonts w:ascii="Times New Roman" w:hAnsi="Times New Roman" w:cs="Times New Roman"/>
                <w:sz w:val="20"/>
                <w:szCs w:val="20"/>
                <w:lang w:val="es-ES_tradnl"/>
              </w:rPr>
              <w:t>. Consolida</w:t>
            </w:r>
            <w:r w:rsidR="00132222" w:rsidRPr="00976BFF">
              <w:rPr>
                <w:rFonts w:ascii="Times New Roman" w:hAnsi="Times New Roman" w:cs="Times New Roman"/>
                <w:sz w:val="20"/>
                <w:szCs w:val="20"/>
                <w:lang w:val="es-ES_tradnl"/>
              </w:rPr>
              <w:t>r los procesos de expropiación y gestión social</w:t>
            </w:r>
            <w:r w:rsidR="00070C51" w:rsidRPr="00976BFF">
              <w:rPr>
                <w:rFonts w:ascii="Times New Roman" w:hAnsi="Times New Roman" w:cs="Times New Roman"/>
                <w:sz w:val="20"/>
                <w:szCs w:val="20"/>
                <w:lang w:val="es-ES_tradnl"/>
              </w:rPr>
              <w:t xml:space="preserve">. </w:t>
            </w: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59670E" w:rsidP="004E6EE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w:t>
            </w:r>
            <w:r w:rsidR="004E6EED" w:rsidRPr="00976BFF">
              <w:rPr>
                <w:rFonts w:ascii="Times New Roman" w:hAnsi="Times New Roman" w:cs="Times New Roman"/>
                <w:sz w:val="20"/>
                <w:szCs w:val="20"/>
                <w:lang w:val="es-ES_tradnl"/>
              </w:rPr>
              <w:t xml:space="preserve">. </w:t>
            </w:r>
            <w:r w:rsidR="00132222" w:rsidRPr="00976BFF">
              <w:rPr>
                <w:rFonts w:ascii="Times New Roman" w:hAnsi="Times New Roman" w:cs="Times New Roman"/>
                <w:sz w:val="20"/>
                <w:szCs w:val="20"/>
                <w:lang w:val="es-ES_tradnl"/>
              </w:rPr>
              <w:t xml:space="preserve">Riesgo muy improbable en el marco del </w:t>
            </w:r>
            <w:r w:rsidR="008A1019">
              <w:rPr>
                <w:rFonts w:ascii="Times New Roman" w:hAnsi="Times New Roman" w:cs="Times New Roman"/>
                <w:sz w:val="20"/>
                <w:szCs w:val="20"/>
                <w:lang w:val="es-ES_tradnl"/>
              </w:rPr>
              <w:t>programa</w:t>
            </w:r>
            <w:r w:rsidR="00132222" w:rsidRPr="00976BFF">
              <w:rPr>
                <w:rFonts w:ascii="Times New Roman" w:hAnsi="Times New Roman" w:cs="Times New Roman"/>
                <w:sz w:val="20"/>
                <w:szCs w:val="20"/>
                <w:lang w:val="es-ES_tradnl"/>
              </w:rPr>
              <w:t xml:space="preserve">. </w:t>
            </w:r>
            <w:r w:rsidR="00B7294D">
              <w:rPr>
                <w:rFonts w:ascii="Times New Roman" w:hAnsi="Times New Roman" w:cs="Times New Roman"/>
                <w:sz w:val="20"/>
                <w:szCs w:val="20"/>
                <w:lang w:val="es-ES_tradnl"/>
              </w:rPr>
              <w:t>Organizar</w:t>
            </w:r>
            <w:r w:rsidR="00132222" w:rsidRPr="00976BFF">
              <w:rPr>
                <w:rFonts w:ascii="Times New Roman" w:hAnsi="Times New Roman" w:cs="Times New Roman"/>
                <w:sz w:val="20"/>
                <w:szCs w:val="20"/>
                <w:lang w:val="es-ES_tradnl"/>
              </w:rPr>
              <w:t xml:space="preserve"> un taller internacional sobre la gestión social vinculada a las actividades de las obras viales y consolidar los procesos conexos de gestión social</w:t>
            </w:r>
            <w:r w:rsidR="00070C51" w:rsidRPr="00976BFF">
              <w:rPr>
                <w:rFonts w:ascii="Times New Roman" w:hAnsi="Times New Roman" w:cs="Times New Roman"/>
                <w:sz w:val="20"/>
                <w:szCs w:val="20"/>
                <w:lang w:val="es-ES_tradnl"/>
              </w:rPr>
              <w:t>.</w:t>
            </w:r>
          </w:p>
          <w:p w:rsidR="004E6EED" w:rsidRPr="00976BFF" w:rsidRDefault="004E6EED" w:rsidP="004E6EED">
            <w:pPr>
              <w:pStyle w:val="NoSpacing"/>
              <w:tabs>
                <w:tab w:val="left" w:pos="372"/>
              </w:tabs>
              <w:rPr>
                <w:rFonts w:ascii="Times New Roman" w:hAnsi="Times New Roman" w:cs="Times New Roman"/>
                <w:sz w:val="20"/>
                <w:szCs w:val="20"/>
                <w:lang w:val="es-ES_tradnl"/>
              </w:rPr>
            </w:pPr>
          </w:p>
          <w:p w:rsidR="004E6EED" w:rsidRPr="00976BFF" w:rsidRDefault="0059670E" w:rsidP="00B7294D">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E</w:t>
            </w:r>
            <w:r w:rsidR="004E6EED" w:rsidRPr="00976BFF">
              <w:rPr>
                <w:rFonts w:ascii="Times New Roman" w:hAnsi="Times New Roman" w:cs="Times New Roman"/>
                <w:sz w:val="20"/>
                <w:szCs w:val="20"/>
                <w:lang w:val="es-ES_tradnl"/>
              </w:rPr>
              <w:t xml:space="preserve">. </w:t>
            </w:r>
            <w:r w:rsidR="00132222" w:rsidRPr="00976BFF">
              <w:rPr>
                <w:rFonts w:ascii="Times New Roman" w:hAnsi="Times New Roman" w:cs="Times New Roman"/>
                <w:sz w:val="20"/>
                <w:szCs w:val="20"/>
                <w:lang w:val="es-ES_tradnl"/>
              </w:rPr>
              <w:t xml:space="preserve">Brindar apoyo a la </w:t>
            </w:r>
            <w:r w:rsidR="004E6EED" w:rsidRPr="00976BFF">
              <w:rPr>
                <w:rFonts w:ascii="Times New Roman" w:hAnsi="Times New Roman" w:cs="Times New Roman"/>
                <w:sz w:val="20"/>
                <w:szCs w:val="20"/>
                <w:lang w:val="es-ES_tradnl"/>
              </w:rPr>
              <w:t>DNTop p</w:t>
            </w:r>
            <w:r w:rsidR="00132222" w:rsidRPr="00976BFF">
              <w:rPr>
                <w:rFonts w:ascii="Times New Roman" w:hAnsi="Times New Roman" w:cs="Times New Roman"/>
                <w:sz w:val="20"/>
                <w:szCs w:val="20"/>
                <w:lang w:val="es-ES_tradnl"/>
              </w:rPr>
              <w:t xml:space="preserve">ara preparar una metodología de compensación aplicable a los casos de expropiación parcial. </w:t>
            </w:r>
            <w:r w:rsidR="00B7294D">
              <w:rPr>
                <w:rFonts w:ascii="Times New Roman" w:hAnsi="Times New Roman" w:cs="Times New Roman"/>
                <w:sz w:val="20"/>
                <w:szCs w:val="20"/>
                <w:lang w:val="es-ES_tradnl"/>
              </w:rPr>
              <w:t>Organizar</w:t>
            </w:r>
            <w:r w:rsidR="00132222" w:rsidRPr="00976BFF">
              <w:rPr>
                <w:rFonts w:ascii="Times New Roman" w:hAnsi="Times New Roman" w:cs="Times New Roman"/>
                <w:sz w:val="20"/>
                <w:szCs w:val="20"/>
                <w:lang w:val="es-ES_tradnl"/>
              </w:rPr>
              <w:t xml:space="preserve"> un taller internacional sobre métodos para calcular compensaciones</w:t>
            </w:r>
            <w:r w:rsidR="00B43EE9" w:rsidRPr="00976BFF">
              <w:rPr>
                <w:rFonts w:ascii="Times New Roman" w:hAnsi="Times New Roman" w:cs="Times New Roman"/>
                <w:sz w:val="20"/>
                <w:szCs w:val="20"/>
                <w:lang w:val="es-ES_tradnl"/>
              </w:rPr>
              <w:t>.</w:t>
            </w:r>
          </w:p>
        </w:tc>
      </w:tr>
      <w:tr w:rsidR="001D22F8"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tcBorders>
              <w:left w:val="single" w:sz="4" w:space="0" w:color="000000"/>
              <w:right w:val="single" w:sz="4" w:space="0" w:color="000000"/>
            </w:tcBorders>
            <w:shd w:val="clear" w:color="auto" w:fill="D9D9D9" w:themeFill="background1" w:themeFillShade="D9"/>
          </w:tcPr>
          <w:p w:rsidR="001D22F8" w:rsidRPr="00976BFF" w:rsidRDefault="001D22F8" w:rsidP="00AD3C40">
            <w:pPr>
              <w:pStyle w:val="NoSpacing"/>
              <w:rPr>
                <w:rFonts w:ascii="Times New Roman" w:hAnsi="Times New Roman" w:cs="Times New Roman"/>
                <w:b/>
                <w:sz w:val="20"/>
                <w:szCs w:val="20"/>
                <w:lang w:val="es-ES_tradnl"/>
              </w:rPr>
            </w:pPr>
          </w:p>
        </w:tc>
        <w:tc>
          <w:tcPr>
            <w:tcW w:w="1746" w:type="dxa"/>
            <w:gridSpan w:val="3"/>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Organismo responsable: </w:t>
            </w:r>
            <w:r w:rsidRPr="00976BFF">
              <w:rPr>
                <w:rFonts w:ascii="Times New Roman" w:hAnsi="Times New Roman" w:cs="Times New Roman"/>
                <w:sz w:val="20"/>
                <w:szCs w:val="20"/>
                <w:lang w:val="es-ES_tradnl"/>
              </w:rPr>
              <w:t>Banco / Prestatario</w:t>
            </w:r>
          </w:p>
        </w:tc>
        <w:tc>
          <w:tcPr>
            <w:tcW w:w="1431"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Etapa:</w:t>
            </w:r>
            <w:r w:rsidRPr="00976BFF">
              <w:rPr>
                <w:rFonts w:ascii="Times New Roman" w:hAnsi="Times New Roman" w:cs="Times New Roman"/>
                <w:sz w:val="20"/>
                <w:szCs w:val="20"/>
                <w:lang w:val="es-ES_tradnl"/>
              </w:rPr>
              <w:t xml:space="preserve"> Ejecución</w:t>
            </w:r>
          </w:p>
        </w:tc>
        <w:tc>
          <w:tcPr>
            <w:tcW w:w="2673"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Fecha de presentación: </w:t>
            </w:r>
            <w:r w:rsidRPr="00976BFF">
              <w:rPr>
                <w:rFonts w:ascii="Times New Roman" w:hAnsi="Times New Roman" w:cs="Times New Roman"/>
                <w:sz w:val="20"/>
                <w:szCs w:val="20"/>
                <w:lang w:val="es-ES_tradnl"/>
              </w:rPr>
              <w:t xml:space="preserve">Al finalizar el </w:t>
            </w:r>
            <w:r w:rsidR="008A1019">
              <w:rPr>
                <w:rFonts w:ascii="Times New Roman" w:hAnsi="Times New Roman" w:cs="Times New Roman"/>
                <w:sz w:val="20"/>
                <w:szCs w:val="20"/>
                <w:lang w:val="es-ES_tradnl"/>
              </w:rPr>
              <w:t>programa</w:t>
            </w:r>
          </w:p>
        </w:tc>
        <w:tc>
          <w:tcPr>
            <w:tcW w:w="1786"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Situación: </w:t>
            </w:r>
            <w:r w:rsidRPr="00976BFF">
              <w:rPr>
                <w:rFonts w:ascii="Times New Roman" w:hAnsi="Times New Roman" w:cs="Times New Roman"/>
                <w:sz w:val="20"/>
                <w:szCs w:val="20"/>
                <w:lang w:val="es-ES_tradnl"/>
              </w:rPr>
              <w:t>Aún no se ha iniciado</w:t>
            </w:r>
          </w:p>
        </w:tc>
      </w:tr>
      <w:tr w:rsidR="0026050C" w:rsidRPr="00976BFF">
        <w:tc>
          <w:tcPr>
            <w:tcW w:w="5234" w:type="dxa"/>
            <w:tcBorders>
              <w:bottom w:val="single" w:sz="4" w:space="0" w:color="auto"/>
            </w:tcBorders>
            <w:shd w:val="pct5" w:color="auto" w:fill="auto"/>
            <w:vAlign w:val="center"/>
          </w:tcPr>
          <w:p w:rsidR="00D60384" w:rsidRPr="00976BFF" w:rsidRDefault="004E78CF" w:rsidP="00E57E6E">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1.4.</w:t>
            </w:r>
            <w:r w:rsidR="005C0B61" w:rsidRPr="00976BFF">
              <w:rPr>
                <w:rFonts w:ascii="Times New Roman" w:hAnsi="Times New Roman" w:cs="Times New Roman"/>
                <w:b/>
                <w:sz w:val="20"/>
                <w:szCs w:val="20"/>
                <w:lang w:val="es-ES_tradnl"/>
              </w:rPr>
              <w:t xml:space="preserve"> </w:t>
            </w:r>
            <w:r w:rsidR="00B43EE9" w:rsidRPr="00976BFF">
              <w:rPr>
                <w:rFonts w:ascii="Times New Roman" w:hAnsi="Times New Roman" w:cs="Times New Roman"/>
                <w:b/>
                <w:sz w:val="20"/>
                <w:szCs w:val="20"/>
                <w:lang w:val="es-ES_tradnl"/>
              </w:rPr>
              <w:t xml:space="preserve">Riegos relativos a los indicadores vinculados </w:t>
            </w:r>
            <w:r w:rsidR="00E57E6E">
              <w:rPr>
                <w:rFonts w:ascii="Times New Roman" w:hAnsi="Times New Roman" w:cs="Times New Roman"/>
                <w:b/>
                <w:sz w:val="20"/>
                <w:szCs w:val="20"/>
                <w:lang w:val="es-ES_tradnl"/>
              </w:rPr>
              <w:t>con</w:t>
            </w:r>
            <w:r w:rsidR="00E57E6E" w:rsidRPr="00976BFF">
              <w:rPr>
                <w:rFonts w:ascii="Times New Roman" w:hAnsi="Times New Roman" w:cs="Times New Roman"/>
                <w:b/>
                <w:sz w:val="20"/>
                <w:szCs w:val="20"/>
                <w:lang w:val="es-ES_tradnl"/>
              </w:rPr>
              <w:t xml:space="preserve"> </w:t>
            </w:r>
            <w:r w:rsidR="00B43EE9" w:rsidRPr="00976BFF">
              <w:rPr>
                <w:rFonts w:ascii="Times New Roman" w:hAnsi="Times New Roman" w:cs="Times New Roman"/>
                <w:b/>
                <w:sz w:val="20"/>
                <w:szCs w:val="20"/>
                <w:lang w:val="es-ES_tradnl"/>
              </w:rPr>
              <w:t>los desembolsos</w:t>
            </w:r>
          </w:p>
        </w:tc>
        <w:tc>
          <w:tcPr>
            <w:tcW w:w="1393" w:type="dxa"/>
            <w:gridSpan w:val="2"/>
            <w:tcBorders>
              <w:bottom w:val="single" w:sz="4" w:space="0" w:color="auto"/>
              <w:right w:val="single" w:sz="4" w:space="0" w:color="auto"/>
            </w:tcBorders>
            <w:shd w:val="pct5" w:color="auto" w:fill="auto"/>
          </w:tcPr>
          <w:p w:rsidR="005C0B61" w:rsidRPr="00976BFF" w:rsidRDefault="00B43EE9"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Calificación</w:t>
            </w:r>
            <w:r w:rsidR="005C0B61" w:rsidRPr="00976BFF">
              <w:rPr>
                <w:rFonts w:ascii="Times New Roman" w:hAnsi="Times New Roman" w:cs="Times New Roman"/>
                <w:b/>
                <w:sz w:val="20"/>
                <w:szCs w:val="20"/>
                <w:lang w:val="es-ES_tradnl"/>
              </w:rPr>
              <w:t>:</w:t>
            </w:r>
          </w:p>
        </w:tc>
        <w:tc>
          <w:tcPr>
            <w:tcW w:w="6243" w:type="dxa"/>
            <w:gridSpan w:val="4"/>
            <w:tcBorders>
              <w:left w:val="single" w:sz="4" w:space="0" w:color="auto"/>
              <w:bottom w:val="single" w:sz="4" w:space="0" w:color="auto"/>
            </w:tcBorders>
            <w:shd w:val="pct5" w:color="auto" w:fill="auto"/>
          </w:tcPr>
          <w:p w:rsidR="005C0B61" w:rsidRPr="00976BFF" w:rsidRDefault="00B43EE9" w:rsidP="005B6CB8">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Moderado</w:t>
            </w:r>
          </w:p>
        </w:tc>
      </w:tr>
      <w:tr w:rsidR="0026050C"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val="restart"/>
            <w:tcBorders>
              <w:top w:val="single" w:sz="4" w:space="0" w:color="000000"/>
              <w:left w:val="single" w:sz="4" w:space="0" w:color="000000"/>
              <w:right w:val="single" w:sz="4" w:space="0" w:color="000000"/>
            </w:tcBorders>
            <w:shd w:val="clear" w:color="auto" w:fill="auto"/>
          </w:tcPr>
          <w:p w:rsidR="005C0B61" w:rsidRPr="00976BFF" w:rsidRDefault="005C0B61"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Descrip</w:t>
            </w:r>
            <w:r w:rsidR="00B43EE9" w:rsidRPr="00976BFF">
              <w:rPr>
                <w:rFonts w:ascii="Times New Roman" w:hAnsi="Times New Roman" w:cs="Times New Roman"/>
                <w:b/>
                <w:sz w:val="20"/>
                <w:szCs w:val="20"/>
                <w:lang w:val="es-ES_tradnl"/>
              </w:rPr>
              <w:t>ció</w:t>
            </w:r>
            <w:r w:rsidRPr="00976BFF">
              <w:rPr>
                <w:rFonts w:ascii="Times New Roman" w:hAnsi="Times New Roman" w:cs="Times New Roman"/>
                <w:b/>
                <w:sz w:val="20"/>
                <w:szCs w:val="20"/>
                <w:lang w:val="es-ES_tradnl"/>
              </w:rPr>
              <w:t xml:space="preserve">n: </w:t>
            </w:r>
          </w:p>
          <w:p w:rsidR="004E6EED" w:rsidRPr="00976BFF" w:rsidRDefault="004E6EED" w:rsidP="004E6EED">
            <w:pPr>
              <w:pStyle w:val="NoSpacing"/>
              <w:rPr>
                <w:rFonts w:ascii="Times New Roman" w:hAnsi="Times New Roman" w:cs="Times New Roman"/>
                <w:b/>
                <w:sz w:val="20"/>
                <w:szCs w:val="20"/>
                <w:lang w:val="es-ES_tradnl"/>
              </w:rPr>
            </w:pPr>
          </w:p>
          <w:p w:rsidR="004E6EED" w:rsidRPr="00976BFF" w:rsidRDefault="004E6EED"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B43EE9" w:rsidRPr="00976BFF">
              <w:rPr>
                <w:rFonts w:ascii="Times New Roman" w:hAnsi="Times New Roman" w:cs="Times New Roman"/>
                <w:sz w:val="20"/>
                <w:szCs w:val="20"/>
                <w:lang w:val="es-ES_tradnl"/>
              </w:rPr>
              <w:t>El riesgo de que los IVD sean muy ambiciosos o no estén bien diseñados</w:t>
            </w:r>
            <w:r w:rsidR="00040F9C" w:rsidRPr="00976BFF">
              <w:rPr>
                <w:rFonts w:ascii="Times New Roman" w:hAnsi="Times New Roman" w:cs="Times New Roman"/>
                <w:sz w:val="20"/>
                <w:szCs w:val="20"/>
                <w:lang w:val="es-ES_tradnl"/>
              </w:rPr>
              <w:t>.</w:t>
            </w:r>
          </w:p>
          <w:p w:rsidR="004E6EED" w:rsidRPr="00976BFF" w:rsidRDefault="004E6EED" w:rsidP="004E6EED">
            <w:pPr>
              <w:pStyle w:val="NoSpacing"/>
              <w:rPr>
                <w:rFonts w:ascii="Times New Roman" w:hAnsi="Times New Roman" w:cs="Times New Roman"/>
                <w:sz w:val="20"/>
                <w:szCs w:val="20"/>
                <w:lang w:val="es-ES_tradnl"/>
              </w:rPr>
            </w:pPr>
          </w:p>
          <w:p w:rsidR="004E6EED" w:rsidRPr="00976BFF" w:rsidRDefault="004E6EED" w:rsidP="00427C9B">
            <w:pPr>
              <w:pStyle w:val="NoSpacing"/>
              <w:rPr>
                <w:rFonts w:ascii="Times New Roman" w:hAnsi="Times New Roman" w:cs="Times New Roman"/>
                <w:b/>
                <w:sz w:val="20"/>
                <w:szCs w:val="20"/>
                <w:lang w:val="es-ES_tradnl"/>
              </w:rPr>
            </w:pPr>
          </w:p>
        </w:tc>
        <w:tc>
          <w:tcPr>
            <w:tcW w:w="7636" w:type="dxa"/>
            <w:gridSpan w:val="6"/>
            <w:tcBorders>
              <w:top w:val="single" w:sz="4" w:space="0" w:color="000000"/>
              <w:left w:val="single" w:sz="4" w:space="0" w:color="000000"/>
              <w:bottom w:val="single" w:sz="4" w:space="0" w:color="A6A6A6" w:themeColor="background1" w:themeShade="A6"/>
              <w:right w:val="single" w:sz="4" w:space="0" w:color="000000"/>
            </w:tcBorders>
            <w:shd w:val="clear" w:color="auto" w:fill="auto"/>
            <w:vAlign w:val="center"/>
          </w:tcPr>
          <w:p w:rsidR="005C0B61" w:rsidRPr="00976BFF" w:rsidRDefault="00B43EE9" w:rsidP="00AD3C4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Gestión de riesgos</w:t>
            </w:r>
            <w:r w:rsidR="005C0B61" w:rsidRPr="00976BFF">
              <w:rPr>
                <w:rFonts w:ascii="Times New Roman" w:hAnsi="Times New Roman" w:cs="Times New Roman"/>
                <w:b/>
                <w:sz w:val="20"/>
                <w:szCs w:val="20"/>
                <w:lang w:val="es-ES_tradnl"/>
              </w:rPr>
              <w:t>:</w:t>
            </w:r>
          </w:p>
          <w:p w:rsidR="004E6EED" w:rsidRPr="00976BFF" w:rsidRDefault="004E6EED" w:rsidP="00AD3C40">
            <w:pPr>
              <w:pStyle w:val="NoSpacing"/>
              <w:tabs>
                <w:tab w:val="left" w:pos="372"/>
              </w:tabs>
              <w:rPr>
                <w:rFonts w:ascii="Times New Roman" w:hAnsi="Times New Roman" w:cs="Times New Roman"/>
                <w:b/>
                <w:sz w:val="20"/>
                <w:szCs w:val="20"/>
                <w:lang w:val="es-ES_tradnl"/>
              </w:rPr>
            </w:pPr>
          </w:p>
          <w:p w:rsidR="004E6EED" w:rsidRPr="00976BFF" w:rsidRDefault="004E6EED" w:rsidP="00B43EE9">
            <w:pPr>
              <w:pStyle w:val="NoSpacing"/>
              <w:tabs>
                <w:tab w:val="left" w:pos="372"/>
              </w:tabs>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B43EE9" w:rsidRPr="00976BFF">
              <w:rPr>
                <w:rFonts w:ascii="Times New Roman" w:hAnsi="Times New Roman" w:cs="Times New Roman"/>
                <w:sz w:val="20"/>
                <w:szCs w:val="20"/>
                <w:lang w:val="es-ES_tradnl"/>
              </w:rPr>
              <w:t>Se seleccion</w:t>
            </w:r>
            <w:r w:rsidR="001C47AE">
              <w:rPr>
                <w:rFonts w:ascii="Times New Roman" w:hAnsi="Times New Roman" w:cs="Times New Roman"/>
                <w:sz w:val="20"/>
                <w:szCs w:val="20"/>
                <w:lang w:val="es-ES_tradnl"/>
              </w:rPr>
              <w:t xml:space="preserve">aron IVD realistas, directos y </w:t>
            </w:r>
            <w:r w:rsidR="00B43EE9" w:rsidRPr="00976BFF">
              <w:rPr>
                <w:rFonts w:ascii="Times New Roman" w:hAnsi="Times New Roman" w:cs="Times New Roman"/>
                <w:sz w:val="20"/>
                <w:szCs w:val="20"/>
                <w:lang w:val="es-ES_tradnl"/>
              </w:rPr>
              <w:t>escalables. Las metas de los IVD se calcularon de manera conservadora</w:t>
            </w:r>
            <w:r w:rsidR="00B47C7F" w:rsidRPr="00976BFF">
              <w:rPr>
                <w:rFonts w:ascii="Times New Roman" w:hAnsi="Times New Roman" w:cs="Times New Roman"/>
                <w:sz w:val="20"/>
                <w:szCs w:val="20"/>
                <w:lang w:val="es-ES_tradnl"/>
              </w:rPr>
              <w:t>.</w:t>
            </w:r>
          </w:p>
        </w:tc>
      </w:tr>
      <w:tr w:rsidR="00B43EE9" w:rsidRPr="00976B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tcBorders>
              <w:left w:val="single" w:sz="4" w:space="0" w:color="000000"/>
              <w:right w:val="single" w:sz="4" w:space="0" w:color="000000"/>
            </w:tcBorders>
            <w:shd w:val="clear" w:color="auto" w:fill="auto"/>
          </w:tcPr>
          <w:p w:rsidR="00B43EE9" w:rsidRPr="00976BFF" w:rsidRDefault="00B43EE9" w:rsidP="00AD3C40">
            <w:pPr>
              <w:pStyle w:val="NoSpacing"/>
              <w:rPr>
                <w:rFonts w:ascii="Times New Roman" w:hAnsi="Times New Roman" w:cs="Times New Roman"/>
                <w:b/>
                <w:sz w:val="20"/>
                <w:szCs w:val="20"/>
                <w:lang w:val="es-ES_tradnl"/>
              </w:rPr>
            </w:pPr>
          </w:p>
        </w:tc>
        <w:tc>
          <w:tcPr>
            <w:tcW w:w="1746" w:type="dxa"/>
            <w:gridSpan w:val="3"/>
            <w:tcBorders>
              <w:top w:val="single" w:sz="4" w:space="0" w:color="A6A6A6" w:themeColor="background1" w:themeShade="A6"/>
              <w:left w:val="single" w:sz="4" w:space="0" w:color="000000"/>
              <w:right w:val="single" w:sz="4" w:space="0" w:color="000000"/>
            </w:tcBorders>
            <w:shd w:val="clear" w:color="auto" w:fill="auto"/>
            <w:vAlign w:val="center"/>
          </w:tcPr>
          <w:p w:rsidR="00B43EE9" w:rsidRPr="00976BFF" w:rsidRDefault="00B43EE9" w:rsidP="00B43EE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Organismo responsable: </w:t>
            </w:r>
            <w:r w:rsidRPr="00976BFF">
              <w:rPr>
                <w:rFonts w:ascii="Times New Roman" w:hAnsi="Times New Roman" w:cs="Times New Roman"/>
                <w:sz w:val="20"/>
                <w:szCs w:val="20"/>
                <w:lang w:val="es-ES_tradnl"/>
              </w:rPr>
              <w:t>Banco</w:t>
            </w:r>
          </w:p>
        </w:tc>
        <w:tc>
          <w:tcPr>
            <w:tcW w:w="1431" w:type="dxa"/>
            <w:tcBorders>
              <w:top w:val="single" w:sz="4" w:space="0" w:color="A6A6A6" w:themeColor="background1" w:themeShade="A6"/>
              <w:left w:val="single" w:sz="4" w:space="0" w:color="000000"/>
              <w:right w:val="single" w:sz="4" w:space="0" w:color="000000"/>
            </w:tcBorders>
            <w:shd w:val="clear" w:color="auto" w:fill="auto"/>
            <w:vAlign w:val="center"/>
          </w:tcPr>
          <w:p w:rsidR="00B43EE9" w:rsidRPr="00976BFF" w:rsidRDefault="00B43EE9" w:rsidP="00B43EE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Etapa:</w:t>
            </w:r>
            <w:r w:rsidRPr="00976BFF">
              <w:rPr>
                <w:rFonts w:ascii="Times New Roman" w:hAnsi="Times New Roman" w:cs="Times New Roman"/>
                <w:sz w:val="20"/>
                <w:szCs w:val="20"/>
                <w:lang w:val="es-ES_tradnl"/>
              </w:rPr>
              <w:t xml:space="preserve"> Preparación</w:t>
            </w:r>
          </w:p>
        </w:tc>
        <w:tc>
          <w:tcPr>
            <w:tcW w:w="2673" w:type="dxa"/>
            <w:tcBorders>
              <w:top w:val="single" w:sz="4" w:space="0" w:color="A6A6A6" w:themeColor="background1" w:themeShade="A6"/>
              <w:left w:val="single" w:sz="4" w:space="0" w:color="000000"/>
              <w:right w:val="single" w:sz="4" w:space="0" w:color="000000"/>
            </w:tcBorders>
            <w:shd w:val="clear" w:color="auto" w:fill="auto"/>
            <w:vAlign w:val="center"/>
          </w:tcPr>
          <w:p w:rsidR="00B43EE9" w:rsidRPr="00976BFF" w:rsidRDefault="00B43EE9" w:rsidP="00B43EE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Fecha de presentación: </w:t>
            </w:r>
            <w:r w:rsidRPr="00976BFF">
              <w:rPr>
                <w:rFonts w:ascii="Times New Roman" w:hAnsi="Times New Roman" w:cs="Times New Roman"/>
                <w:sz w:val="20"/>
                <w:szCs w:val="20"/>
                <w:lang w:val="es-ES_tradnl"/>
              </w:rPr>
              <w:t>Al finalizar la preparación</w:t>
            </w:r>
          </w:p>
        </w:tc>
        <w:tc>
          <w:tcPr>
            <w:tcW w:w="1786" w:type="dxa"/>
            <w:tcBorders>
              <w:top w:val="single" w:sz="4" w:space="0" w:color="A6A6A6" w:themeColor="background1" w:themeShade="A6"/>
              <w:left w:val="single" w:sz="4" w:space="0" w:color="000000"/>
              <w:right w:val="single" w:sz="4" w:space="0" w:color="000000"/>
            </w:tcBorders>
            <w:shd w:val="clear" w:color="auto" w:fill="auto"/>
            <w:vAlign w:val="center"/>
          </w:tcPr>
          <w:p w:rsidR="00B43EE9" w:rsidRPr="00976BFF" w:rsidRDefault="00B43EE9" w:rsidP="00B43EE9">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Situación: </w:t>
            </w:r>
            <w:r w:rsidRPr="00976BFF">
              <w:rPr>
                <w:rFonts w:ascii="Times New Roman" w:hAnsi="Times New Roman" w:cs="Times New Roman"/>
                <w:sz w:val="20"/>
                <w:szCs w:val="20"/>
                <w:lang w:val="es-ES_tradnl"/>
              </w:rPr>
              <w:t>En marcha</w:t>
            </w:r>
          </w:p>
        </w:tc>
      </w:tr>
      <w:tr w:rsidR="0026050C" w:rsidRPr="00976BFF">
        <w:tc>
          <w:tcPr>
            <w:tcW w:w="5234" w:type="dxa"/>
            <w:shd w:val="pct5" w:color="auto" w:fill="auto"/>
            <w:vAlign w:val="center"/>
          </w:tcPr>
          <w:p w:rsidR="00D60384" w:rsidRPr="00976BFF" w:rsidRDefault="004E78CF" w:rsidP="00B43EE9">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1.5.</w:t>
            </w:r>
            <w:r w:rsidR="005C0B61" w:rsidRPr="00976BFF">
              <w:rPr>
                <w:rFonts w:ascii="Times New Roman" w:hAnsi="Times New Roman" w:cs="Times New Roman"/>
                <w:b/>
                <w:sz w:val="20"/>
                <w:szCs w:val="20"/>
                <w:lang w:val="es-ES_tradnl"/>
              </w:rPr>
              <w:t xml:space="preserve"> Otr</w:t>
            </w:r>
            <w:r w:rsidR="00B43EE9" w:rsidRPr="00976BFF">
              <w:rPr>
                <w:rFonts w:ascii="Times New Roman" w:hAnsi="Times New Roman" w:cs="Times New Roman"/>
                <w:b/>
                <w:sz w:val="20"/>
                <w:szCs w:val="20"/>
                <w:lang w:val="es-ES_tradnl"/>
              </w:rPr>
              <w:t>os riesgos</w:t>
            </w:r>
            <w:r w:rsidR="005C0B61" w:rsidRPr="00976BFF">
              <w:rPr>
                <w:rFonts w:ascii="Times New Roman" w:hAnsi="Times New Roman" w:cs="Times New Roman"/>
                <w:b/>
                <w:sz w:val="20"/>
                <w:szCs w:val="20"/>
                <w:lang w:val="es-ES_tradnl"/>
              </w:rPr>
              <w:t xml:space="preserve"> (</w:t>
            </w:r>
            <w:r w:rsidR="00B43EE9" w:rsidRPr="00976BFF">
              <w:rPr>
                <w:rFonts w:ascii="Times New Roman" w:hAnsi="Times New Roman" w:cs="Times New Roman"/>
                <w:b/>
                <w:sz w:val="20"/>
                <w:szCs w:val="20"/>
                <w:lang w:val="es-ES_tradnl"/>
              </w:rPr>
              <w:t>o</w:t>
            </w:r>
            <w:r w:rsidR="005C0B61" w:rsidRPr="00976BFF">
              <w:rPr>
                <w:rFonts w:ascii="Times New Roman" w:hAnsi="Times New Roman" w:cs="Times New Roman"/>
                <w:b/>
                <w:sz w:val="20"/>
                <w:szCs w:val="20"/>
                <w:lang w:val="es-ES_tradnl"/>
              </w:rPr>
              <w:t>p</w:t>
            </w:r>
            <w:r w:rsidR="00B43EE9" w:rsidRPr="00976BFF">
              <w:rPr>
                <w:rFonts w:ascii="Times New Roman" w:hAnsi="Times New Roman" w:cs="Times New Roman"/>
                <w:b/>
                <w:sz w:val="20"/>
                <w:szCs w:val="20"/>
                <w:lang w:val="es-ES_tradnl"/>
              </w:rPr>
              <w:t>c</w:t>
            </w:r>
            <w:r w:rsidR="005C0B61" w:rsidRPr="00976BFF">
              <w:rPr>
                <w:rFonts w:ascii="Times New Roman" w:hAnsi="Times New Roman" w:cs="Times New Roman"/>
                <w:b/>
                <w:sz w:val="20"/>
                <w:szCs w:val="20"/>
                <w:lang w:val="es-ES_tradnl"/>
              </w:rPr>
              <w:t>ional)</w:t>
            </w:r>
          </w:p>
        </w:tc>
        <w:tc>
          <w:tcPr>
            <w:tcW w:w="1393" w:type="dxa"/>
            <w:gridSpan w:val="2"/>
            <w:tcBorders>
              <w:right w:val="single" w:sz="4" w:space="0" w:color="auto"/>
            </w:tcBorders>
            <w:shd w:val="pct5" w:color="auto" w:fill="auto"/>
          </w:tcPr>
          <w:p w:rsidR="005C0B61" w:rsidRPr="00976BFF" w:rsidRDefault="003F0539"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Calificación</w:t>
            </w:r>
            <w:r w:rsidR="005C0B61" w:rsidRPr="00976BFF">
              <w:rPr>
                <w:rFonts w:ascii="Times New Roman" w:hAnsi="Times New Roman" w:cs="Times New Roman"/>
                <w:b/>
                <w:sz w:val="20"/>
                <w:szCs w:val="20"/>
                <w:lang w:val="es-ES_tradnl"/>
              </w:rPr>
              <w:t>:</w:t>
            </w:r>
          </w:p>
        </w:tc>
        <w:tc>
          <w:tcPr>
            <w:tcW w:w="6243" w:type="dxa"/>
            <w:gridSpan w:val="4"/>
            <w:tcBorders>
              <w:left w:val="single" w:sz="4" w:space="0" w:color="auto"/>
            </w:tcBorders>
            <w:shd w:val="pct5" w:color="auto" w:fill="auto"/>
            <w:vAlign w:val="center"/>
          </w:tcPr>
          <w:p w:rsidR="005C0B61" w:rsidRPr="00976BFF" w:rsidRDefault="003F0539" w:rsidP="00AD3C40">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Moderado</w:t>
            </w:r>
          </w:p>
        </w:tc>
      </w:tr>
      <w:tr w:rsidR="0026050C" w:rsidRPr="001E1C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val="restart"/>
            <w:tcBorders>
              <w:top w:val="single" w:sz="4" w:space="0" w:color="000000"/>
              <w:left w:val="single" w:sz="4" w:space="0" w:color="000000"/>
              <w:right w:val="single" w:sz="4" w:space="0" w:color="000000"/>
            </w:tcBorders>
            <w:shd w:val="clear" w:color="auto" w:fill="auto"/>
          </w:tcPr>
          <w:p w:rsidR="00E06387" w:rsidRPr="00976BFF" w:rsidRDefault="005C0B61" w:rsidP="0035167C">
            <w:pPr>
              <w:pStyle w:val="NoSpacing"/>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Descrip</w:t>
            </w:r>
            <w:r w:rsidR="003F0539" w:rsidRPr="00976BFF">
              <w:rPr>
                <w:rFonts w:ascii="Times New Roman" w:hAnsi="Times New Roman" w:cs="Times New Roman"/>
                <w:b/>
                <w:sz w:val="20"/>
                <w:szCs w:val="20"/>
                <w:lang w:val="es-ES_tradnl"/>
              </w:rPr>
              <w:t>ció</w:t>
            </w:r>
            <w:r w:rsidRPr="00976BFF">
              <w:rPr>
                <w:rFonts w:ascii="Times New Roman" w:hAnsi="Times New Roman" w:cs="Times New Roman"/>
                <w:b/>
                <w:sz w:val="20"/>
                <w:szCs w:val="20"/>
                <w:lang w:val="es-ES_tradnl"/>
              </w:rPr>
              <w:t xml:space="preserve">n: </w:t>
            </w:r>
            <w:r w:rsidR="003F0539" w:rsidRPr="00976BFF">
              <w:rPr>
                <w:rFonts w:ascii="Times New Roman" w:hAnsi="Times New Roman" w:cs="Times New Roman"/>
                <w:sz w:val="20"/>
                <w:szCs w:val="20"/>
                <w:lang w:val="es-ES_tradnl"/>
              </w:rPr>
              <w:t>Riesgo relativo a la sostenibilidad</w:t>
            </w:r>
          </w:p>
          <w:p w:rsidR="00E06387" w:rsidRPr="00976BFF" w:rsidRDefault="00E06387" w:rsidP="0035167C">
            <w:pPr>
              <w:pStyle w:val="NoSpacing"/>
              <w:rPr>
                <w:rFonts w:ascii="Times New Roman" w:hAnsi="Times New Roman" w:cs="Times New Roman"/>
                <w:b/>
                <w:sz w:val="20"/>
                <w:szCs w:val="20"/>
                <w:lang w:val="es-ES_tradnl"/>
              </w:rPr>
            </w:pPr>
          </w:p>
          <w:p w:rsidR="00E06387" w:rsidRPr="00976BFF" w:rsidRDefault="00E06387" w:rsidP="00E06387">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7B7F96" w:rsidRPr="00976BFF">
              <w:rPr>
                <w:rFonts w:ascii="Times New Roman" w:hAnsi="Times New Roman" w:cs="Times New Roman"/>
                <w:sz w:val="20"/>
                <w:szCs w:val="20"/>
                <w:lang w:val="es-ES_tradnl"/>
              </w:rPr>
              <w:t xml:space="preserve">Después de la finalización del </w:t>
            </w:r>
            <w:r w:rsidR="008A1019">
              <w:rPr>
                <w:rFonts w:ascii="Times New Roman" w:hAnsi="Times New Roman" w:cs="Times New Roman"/>
                <w:sz w:val="20"/>
                <w:szCs w:val="20"/>
                <w:lang w:val="es-ES_tradnl"/>
              </w:rPr>
              <w:t>programa</w:t>
            </w:r>
            <w:r w:rsidR="007B7F96" w:rsidRPr="00976BFF">
              <w:rPr>
                <w:rFonts w:ascii="Times New Roman" w:hAnsi="Times New Roman" w:cs="Times New Roman"/>
                <w:sz w:val="20"/>
                <w:szCs w:val="20"/>
                <w:lang w:val="es-ES_tradnl"/>
              </w:rPr>
              <w:t xml:space="preserve">, el riesgo de que el financiamiento para el </w:t>
            </w:r>
            <w:r w:rsidR="00B7294D">
              <w:rPr>
                <w:rFonts w:ascii="Times New Roman" w:hAnsi="Times New Roman" w:cs="Times New Roman"/>
                <w:sz w:val="20"/>
                <w:szCs w:val="20"/>
                <w:lang w:val="es-ES_tradnl"/>
              </w:rPr>
              <w:t>p</w:t>
            </w:r>
            <w:r w:rsidR="009B073D" w:rsidRPr="00976BFF">
              <w:rPr>
                <w:rFonts w:ascii="Times New Roman" w:hAnsi="Times New Roman" w:cs="Times New Roman"/>
                <w:sz w:val="20"/>
                <w:szCs w:val="20"/>
                <w:lang w:val="es-ES_tradnl"/>
              </w:rPr>
              <w:t>rograma</w:t>
            </w:r>
            <w:r w:rsidR="007B7F96" w:rsidRPr="00976BFF">
              <w:rPr>
                <w:rFonts w:ascii="Times New Roman" w:hAnsi="Times New Roman" w:cs="Times New Roman"/>
                <w:sz w:val="20"/>
                <w:szCs w:val="20"/>
                <w:lang w:val="es-ES_tradnl"/>
              </w:rPr>
              <w:t xml:space="preserve"> vial de Uruguay sea insuficiente, con la consiguiente disminución de la calidad de toda la red</w:t>
            </w:r>
            <w:r w:rsidRPr="00976BFF">
              <w:rPr>
                <w:rFonts w:ascii="Times New Roman" w:hAnsi="Times New Roman" w:cs="Times New Roman"/>
                <w:sz w:val="20"/>
                <w:szCs w:val="20"/>
                <w:lang w:val="es-ES_tradnl"/>
              </w:rPr>
              <w:t>.</w:t>
            </w:r>
          </w:p>
          <w:p w:rsidR="00E06387" w:rsidRPr="00976BFF" w:rsidRDefault="00E06387" w:rsidP="0035167C">
            <w:pPr>
              <w:pStyle w:val="NoSpacing"/>
              <w:rPr>
                <w:rFonts w:ascii="Times New Roman" w:hAnsi="Times New Roman" w:cs="Times New Roman"/>
                <w:b/>
                <w:sz w:val="20"/>
                <w:szCs w:val="20"/>
                <w:lang w:val="es-ES_tradnl"/>
              </w:rPr>
            </w:pPr>
          </w:p>
        </w:tc>
        <w:tc>
          <w:tcPr>
            <w:tcW w:w="7636" w:type="dxa"/>
            <w:gridSpan w:val="6"/>
            <w:tcBorders>
              <w:top w:val="single" w:sz="4" w:space="0" w:color="000000"/>
              <w:left w:val="single" w:sz="4" w:space="0" w:color="000000"/>
              <w:bottom w:val="single" w:sz="4" w:space="0" w:color="A6A6A6" w:themeColor="background1" w:themeShade="A6"/>
              <w:right w:val="single" w:sz="4" w:space="0" w:color="000000"/>
            </w:tcBorders>
            <w:shd w:val="clear" w:color="auto" w:fill="auto"/>
            <w:vAlign w:val="center"/>
          </w:tcPr>
          <w:p w:rsidR="005C0B61" w:rsidRPr="00976BFF" w:rsidRDefault="003F0539" w:rsidP="00AD3C4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Gestión de riesgos</w:t>
            </w:r>
            <w:r w:rsidR="005C0B61" w:rsidRPr="00976BFF">
              <w:rPr>
                <w:rFonts w:ascii="Times New Roman" w:hAnsi="Times New Roman" w:cs="Times New Roman"/>
                <w:b/>
                <w:sz w:val="20"/>
                <w:szCs w:val="20"/>
                <w:lang w:val="es-ES_tradnl"/>
              </w:rPr>
              <w:t>:</w:t>
            </w:r>
          </w:p>
          <w:p w:rsidR="00E06387" w:rsidRPr="00976BFF" w:rsidRDefault="00E06387" w:rsidP="0035167C">
            <w:pPr>
              <w:pStyle w:val="NoSpacing"/>
              <w:rPr>
                <w:rFonts w:ascii="Times New Roman" w:hAnsi="Times New Roman" w:cs="Times New Roman"/>
                <w:sz w:val="20"/>
                <w:szCs w:val="20"/>
                <w:lang w:val="es-ES_tradnl"/>
              </w:rPr>
            </w:pPr>
          </w:p>
          <w:p w:rsidR="00F5002D" w:rsidRPr="00976BFF" w:rsidRDefault="00E06387" w:rsidP="00D61A8A">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A. </w:t>
            </w:r>
            <w:r w:rsidR="007B7F96" w:rsidRPr="00976BFF">
              <w:rPr>
                <w:rFonts w:ascii="Times New Roman" w:hAnsi="Times New Roman" w:cs="Times New Roman"/>
                <w:sz w:val="20"/>
                <w:szCs w:val="20"/>
                <w:lang w:val="es-ES_tradnl"/>
              </w:rPr>
              <w:t xml:space="preserve">A través del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r w:rsidR="007B7F96" w:rsidRPr="00976BFF">
              <w:rPr>
                <w:rFonts w:ascii="Times New Roman" w:hAnsi="Times New Roman" w:cs="Times New Roman"/>
                <w:sz w:val="20"/>
                <w:szCs w:val="20"/>
                <w:lang w:val="es-ES_tradnl"/>
              </w:rPr>
              <w:t xml:space="preserve">, se mejorarán los sistemas del </w:t>
            </w:r>
            <w:r w:rsidR="008A1019">
              <w:rPr>
                <w:rFonts w:ascii="Times New Roman" w:hAnsi="Times New Roman" w:cs="Times New Roman"/>
                <w:sz w:val="20"/>
                <w:szCs w:val="20"/>
                <w:lang w:val="es-ES_tradnl"/>
              </w:rPr>
              <w:t>programa</w:t>
            </w:r>
            <w:r w:rsidR="007B7F96" w:rsidRPr="00976BFF">
              <w:rPr>
                <w:rFonts w:ascii="Times New Roman" w:hAnsi="Times New Roman" w:cs="Times New Roman"/>
                <w:sz w:val="20"/>
                <w:szCs w:val="20"/>
                <w:lang w:val="es-ES_tradnl"/>
              </w:rPr>
              <w:t xml:space="preserve"> para lograr un mayor grado de sostenibilidad. En particular, el objetivo de la reclasificación de la red vial (primera actividad del </w:t>
            </w:r>
            <w:r w:rsidR="00D61A8A">
              <w:rPr>
                <w:rFonts w:ascii="Times New Roman" w:hAnsi="Times New Roman" w:cs="Times New Roman"/>
                <w:sz w:val="20"/>
                <w:szCs w:val="20"/>
                <w:lang w:val="es-ES_tradnl"/>
              </w:rPr>
              <w:t>P</w:t>
            </w:r>
            <w:r w:rsidR="00D61A8A" w:rsidRPr="00976BFF">
              <w:rPr>
                <w:rFonts w:ascii="Times New Roman" w:hAnsi="Times New Roman" w:cs="Times New Roman"/>
                <w:sz w:val="20"/>
                <w:szCs w:val="20"/>
                <w:lang w:val="es-ES_tradnl"/>
              </w:rPr>
              <w:t xml:space="preserve">lan </w:t>
            </w:r>
            <w:r w:rsidR="007B7F96" w:rsidRPr="00976BFF">
              <w:rPr>
                <w:rFonts w:ascii="Times New Roman" w:hAnsi="Times New Roman" w:cs="Times New Roman"/>
                <w:sz w:val="20"/>
                <w:szCs w:val="20"/>
                <w:lang w:val="es-ES_tradnl"/>
              </w:rPr>
              <w:t xml:space="preserve">de </w:t>
            </w:r>
            <w:r w:rsidR="00D61A8A">
              <w:rPr>
                <w:rFonts w:ascii="Times New Roman" w:hAnsi="Times New Roman" w:cs="Times New Roman"/>
                <w:sz w:val="20"/>
                <w:szCs w:val="20"/>
                <w:lang w:val="es-ES_tradnl"/>
              </w:rPr>
              <w:t>A</w:t>
            </w:r>
            <w:r w:rsidR="00D61A8A" w:rsidRPr="00976BFF">
              <w:rPr>
                <w:rFonts w:ascii="Times New Roman" w:hAnsi="Times New Roman" w:cs="Times New Roman"/>
                <w:sz w:val="20"/>
                <w:szCs w:val="20"/>
                <w:lang w:val="es-ES_tradnl"/>
              </w:rPr>
              <w:t>cción</w:t>
            </w:r>
            <w:r w:rsidR="007B7F96" w:rsidRPr="00976BFF">
              <w:rPr>
                <w:rFonts w:ascii="Times New Roman" w:hAnsi="Times New Roman" w:cs="Times New Roman"/>
                <w:sz w:val="20"/>
                <w:szCs w:val="20"/>
                <w:lang w:val="es-ES_tradnl"/>
              </w:rPr>
              <w:t xml:space="preserve">) consistirá en adaptar la red vial nacional a las futuras necesidades de transporte y los recursos. </w:t>
            </w:r>
            <w:r w:rsidR="00513D9A" w:rsidRPr="00976BFF">
              <w:rPr>
                <w:rFonts w:ascii="Times New Roman" w:hAnsi="Times New Roman" w:cs="Times New Roman"/>
                <w:sz w:val="20"/>
                <w:szCs w:val="20"/>
                <w:lang w:val="es-ES_tradnl"/>
              </w:rPr>
              <w:t>Se prevé que la promoción de la planificación a largo plazo y la multimodalidad</w:t>
            </w:r>
            <w:r w:rsidR="00B7294D">
              <w:rPr>
                <w:rFonts w:ascii="Times New Roman" w:hAnsi="Times New Roman" w:cs="Times New Roman"/>
                <w:sz w:val="20"/>
                <w:szCs w:val="20"/>
                <w:lang w:val="es-ES_tradnl"/>
              </w:rPr>
              <w:t xml:space="preserve"> (IVD-3, segunda actividad del Plan de Acción del </w:t>
            </w:r>
            <w:r w:rsidR="008A1019">
              <w:rPr>
                <w:rFonts w:ascii="Times New Roman" w:hAnsi="Times New Roman" w:cs="Times New Roman"/>
                <w:sz w:val="20"/>
                <w:szCs w:val="20"/>
                <w:lang w:val="es-ES_tradnl"/>
              </w:rPr>
              <w:t>programa</w:t>
            </w:r>
            <w:r w:rsidR="00B7294D">
              <w:rPr>
                <w:rFonts w:ascii="Times New Roman" w:hAnsi="Times New Roman" w:cs="Times New Roman"/>
                <w:sz w:val="20"/>
                <w:szCs w:val="20"/>
                <w:lang w:val="es-ES_tradnl"/>
              </w:rPr>
              <w:t>)</w:t>
            </w:r>
            <w:r w:rsidR="00513D9A" w:rsidRPr="00976BFF">
              <w:rPr>
                <w:rFonts w:ascii="Times New Roman" w:hAnsi="Times New Roman" w:cs="Times New Roman"/>
                <w:sz w:val="20"/>
                <w:szCs w:val="20"/>
                <w:lang w:val="es-ES_tradnl"/>
              </w:rPr>
              <w:t xml:space="preserve"> reducirán la carga que soporta la red vial. Por último, el Gobierno de Uruguay está analizando diferentes alternativas de financiamiento y el aumento de la participación del sector privado (asociaciones público-privadas)</w:t>
            </w:r>
            <w:r w:rsidRPr="00976BFF">
              <w:rPr>
                <w:rFonts w:ascii="Times New Roman" w:hAnsi="Times New Roman" w:cs="Times New Roman"/>
                <w:sz w:val="20"/>
                <w:szCs w:val="20"/>
                <w:lang w:val="es-ES_tradnl"/>
              </w:rPr>
              <w:t xml:space="preserve">. </w:t>
            </w:r>
          </w:p>
        </w:tc>
      </w:tr>
      <w:tr w:rsidR="001D22F8" w:rsidRPr="00976B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234" w:type="dxa"/>
            <w:vMerge/>
            <w:tcBorders>
              <w:left w:val="single" w:sz="4" w:space="0" w:color="000000"/>
              <w:right w:val="single" w:sz="4" w:space="0" w:color="000000"/>
            </w:tcBorders>
            <w:shd w:val="clear" w:color="auto" w:fill="auto"/>
          </w:tcPr>
          <w:p w:rsidR="001D22F8" w:rsidRPr="00976BFF" w:rsidRDefault="001D22F8" w:rsidP="00AD3C40">
            <w:pPr>
              <w:pStyle w:val="NoSpacing"/>
              <w:rPr>
                <w:rFonts w:ascii="Times New Roman" w:hAnsi="Times New Roman" w:cs="Times New Roman"/>
                <w:b/>
                <w:sz w:val="20"/>
                <w:szCs w:val="20"/>
                <w:lang w:val="es-ES_tradnl"/>
              </w:rPr>
            </w:pPr>
          </w:p>
        </w:tc>
        <w:tc>
          <w:tcPr>
            <w:tcW w:w="1746" w:type="dxa"/>
            <w:gridSpan w:val="3"/>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513D9A">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Organismo responsable: </w:t>
            </w:r>
            <w:r w:rsidRPr="00976BFF">
              <w:rPr>
                <w:rFonts w:ascii="Times New Roman" w:hAnsi="Times New Roman" w:cs="Times New Roman"/>
                <w:sz w:val="20"/>
                <w:szCs w:val="20"/>
                <w:lang w:val="es-ES_tradnl"/>
              </w:rPr>
              <w:t>Prestatario</w:t>
            </w:r>
          </w:p>
        </w:tc>
        <w:tc>
          <w:tcPr>
            <w:tcW w:w="1431"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Etapa:</w:t>
            </w:r>
            <w:r w:rsidRPr="00976BFF">
              <w:rPr>
                <w:rFonts w:ascii="Times New Roman" w:hAnsi="Times New Roman" w:cs="Times New Roman"/>
                <w:sz w:val="20"/>
                <w:szCs w:val="20"/>
                <w:lang w:val="es-ES_tradnl"/>
              </w:rPr>
              <w:t xml:space="preserve"> Ejecución</w:t>
            </w:r>
          </w:p>
        </w:tc>
        <w:tc>
          <w:tcPr>
            <w:tcW w:w="2673"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AA37C0">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Fecha de presentación: </w:t>
            </w:r>
            <w:r w:rsidRPr="00976BFF">
              <w:rPr>
                <w:rFonts w:ascii="Times New Roman" w:hAnsi="Times New Roman" w:cs="Times New Roman"/>
                <w:sz w:val="20"/>
                <w:szCs w:val="20"/>
                <w:lang w:val="es-ES_tradnl"/>
              </w:rPr>
              <w:t xml:space="preserve">Al finalizar el </w:t>
            </w:r>
            <w:r w:rsidR="008A1019">
              <w:rPr>
                <w:rFonts w:ascii="Times New Roman" w:hAnsi="Times New Roman" w:cs="Times New Roman"/>
                <w:sz w:val="20"/>
                <w:szCs w:val="20"/>
                <w:lang w:val="es-ES_tradnl"/>
              </w:rPr>
              <w:t>programa</w:t>
            </w:r>
          </w:p>
        </w:tc>
        <w:tc>
          <w:tcPr>
            <w:tcW w:w="1786" w:type="dxa"/>
            <w:tcBorders>
              <w:top w:val="single" w:sz="4" w:space="0" w:color="A6A6A6" w:themeColor="background1" w:themeShade="A6"/>
              <w:left w:val="single" w:sz="4" w:space="0" w:color="000000"/>
              <w:right w:val="single" w:sz="4" w:space="0" w:color="000000"/>
            </w:tcBorders>
            <w:shd w:val="clear" w:color="auto" w:fill="auto"/>
            <w:vAlign w:val="center"/>
          </w:tcPr>
          <w:p w:rsidR="001D22F8" w:rsidRPr="00976BFF" w:rsidRDefault="001D22F8" w:rsidP="00513D9A">
            <w:pPr>
              <w:pStyle w:val="NoSpacing"/>
              <w:tabs>
                <w:tab w:val="left" w:pos="372"/>
              </w:tabs>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 xml:space="preserve">Situación: </w:t>
            </w:r>
            <w:r w:rsidR="00513D9A" w:rsidRPr="00976BFF">
              <w:rPr>
                <w:rFonts w:ascii="Times New Roman" w:hAnsi="Times New Roman" w:cs="Times New Roman"/>
                <w:sz w:val="20"/>
                <w:szCs w:val="20"/>
                <w:lang w:val="es-ES_tradnl"/>
              </w:rPr>
              <w:t>En marcha</w:t>
            </w:r>
          </w:p>
        </w:tc>
      </w:tr>
      <w:tr w:rsidR="005C0B61" w:rsidRPr="00976BFF">
        <w:tc>
          <w:tcPr>
            <w:tcW w:w="12870" w:type="dxa"/>
            <w:gridSpan w:val="7"/>
            <w:shd w:val="clear" w:color="auto" w:fill="F2F2F2" w:themeFill="background1" w:themeFillShade="F2"/>
            <w:vAlign w:val="center"/>
          </w:tcPr>
          <w:p w:rsidR="00D60384" w:rsidRPr="00976BFF" w:rsidRDefault="003D5669">
            <w:pPr>
              <w:pStyle w:val="NoSpacing"/>
              <w:numPr>
                <w:ilvl w:val="0"/>
                <w:numId w:val="2"/>
              </w:numPr>
              <w:rPr>
                <w:rFonts w:ascii="Times New Roman" w:hAnsi="Times New Roman" w:cs="Times New Roman"/>
                <w:b/>
                <w:sz w:val="20"/>
                <w:szCs w:val="20"/>
                <w:lang w:val="es-ES_tradnl"/>
              </w:rPr>
            </w:pPr>
            <w:r w:rsidRPr="00976BFF">
              <w:rPr>
                <w:rFonts w:ascii="Times New Roman" w:hAnsi="Times New Roman" w:cs="Times New Roman"/>
                <w:b/>
                <w:sz w:val="20"/>
                <w:szCs w:val="20"/>
                <w:lang w:val="es-ES_tradnl"/>
              </w:rPr>
              <w:t>CALIFICACIÓN GENERAL DEL RIESGO</w:t>
            </w:r>
          </w:p>
        </w:tc>
      </w:tr>
      <w:tr w:rsidR="004E6EED" w:rsidRPr="001E1C20">
        <w:tc>
          <w:tcPr>
            <w:tcW w:w="12870" w:type="dxa"/>
            <w:gridSpan w:val="7"/>
            <w:shd w:val="clear" w:color="auto" w:fill="auto"/>
            <w:vAlign w:val="center"/>
          </w:tcPr>
          <w:p w:rsidR="004E6EED" w:rsidRPr="00976BFF" w:rsidRDefault="003D5669" w:rsidP="004E6EED">
            <w:pPr>
              <w:pStyle w:val="NoSpacing"/>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Se considera que todos los riesgos son bajos o moderados</w:t>
            </w:r>
            <w:r w:rsidR="004E6EED" w:rsidRPr="00976BFF">
              <w:rPr>
                <w:rFonts w:ascii="Times New Roman" w:hAnsi="Times New Roman" w:cs="Times New Roman"/>
                <w:sz w:val="20"/>
                <w:szCs w:val="20"/>
                <w:lang w:val="es-ES_tradnl"/>
              </w:rPr>
              <w:t xml:space="preserve">. </w:t>
            </w:r>
          </w:p>
          <w:p w:rsidR="004E6EED" w:rsidRPr="00976BFF" w:rsidRDefault="003D5669" w:rsidP="005B6CB8">
            <w:pPr>
              <w:pStyle w:val="NoSpacing"/>
              <w:rPr>
                <w:rFonts w:ascii="Times New Roman" w:hAnsi="Times New Roman" w:cs="Times New Roman"/>
                <w:b/>
                <w:sz w:val="20"/>
                <w:szCs w:val="20"/>
                <w:lang w:val="es-ES_tradnl"/>
              </w:rPr>
            </w:pPr>
            <w:r w:rsidRPr="00976BFF">
              <w:rPr>
                <w:rFonts w:ascii="Times New Roman" w:hAnsi="Times New Roman" w:cs="Times New Roman"/>
                <w:sz w:val="20"/>
                <w:szCs w:val="20"/>
                <w:lang w:val="es-ES_tradnl"/>
              </w:rPr>
              <w:t xml:space="preserve">La calificación general del riesgo es </w:t>
            </w:r>
            <w:r w:rsidR="005B6CB8">
              <w:rPr>
                <w:rFonts w:ascii="Times New Roman" w:hAnsi="Times New Roman" w:cs="Times New Roman"/>
                <w:sz w:val="20"/>
                <w:szCs w:val="20"/>
                <w:lang w:val="es-ES_tradnl"/>
              </w:rPr>
              <w:t>m</w:t>
            </w:r>
            <w:r w:rsidR="005B6CB8" w:rsidRPr="00976BFF">
              <w:rPr>
                <w:rFonts w:ascii="Times New Roman" w:hAnsi="Times New Roman" w:cs="Times New Roman"/>
                <w:sz w:val="20"/>
                <w:szCs w:val="20"/>
                <w:lang w:val="es-ES_tradnl"/>
              </w:rPr>
              <w:t>oderado</w:t>
            </w:r>
            <w:r w:rsidRPr="00976BFF">
              <w:rPr>
                <w:rFonts w:ascii="Times New Roman" w:hAnsi="Times New Roman" w:cs="Times New Roman"/>
                <w:sz w:val="20"/>
                <w:szCs w:val="20"/>
                <w:lang w:val="es-ES_tradnl"/>
              </w:rPr>
              <w:t xml:space="preserve">, como se confirmó en la etapa de evaluación inicial. </w:t>
            </w:r>
            <w:r w:rsidR="00F268B0" w:rsidRPr="00976BFF">
              <w:rPr>
                <w:rFonts w:ascii="Times New Roman" w:hAnsi="Times New Roman" w:cs="Times New Roman"/>
                <w:sz w:val="20"/>
                <w:szCs w:val="20"/>
                <w:lang w:val="es-ES_tradnl"/>
              </w:rPr>
              <w:t xml:space="preserve">El compromiso asumido por el Gobierno de Uruguay y las partes interesadas y el historial del MTOP y la DNV confirman que los riesgos serán manejables y que </w:t>
            </w:r>
            <w:r w:rsidR="00625C6A">
              <w:rPr>
                <w:rFonts w:ascii="Times New Roman" w:hAnsi="Times New Roman" w:cs="Times New Roman"/>
                <w:sz w:val="20"/>
                <w:szCs w:val="20"/>
                <w:lang w:val="es-ES_tradnl"/>
              </w:rPr>
              <w:t xml:space="preserve">el </w:t>
            </w:r>
            <w:r w:rsidR="008A1019">
              <w:rPr>
                <w:rFonts w:ascii="Times New Roman" w:hAnsi="Times New Roman" w:cs="Times New Roman"/>
                <w:sz w:val="20"/>
                <w:szCs w:val="20"/>
                <w:lang w:val="es-ES_tradnl"/>
              </w:rPr>
              <w:t>programa</w:t>
            </w:r>
            <w:r w:rsidR="00625C6A">
              <w:rPr>
                <w:rFonts w:ascii="Times New Roman" w:hAnsi="Times New Roman" w:cs="Times New Roman"/>
                <w:sz w:val="20"/>
                <w:szCs w:val="20"/>
                <w:lang w:val="es-ES_tradnl"/>
              </w:rPr>
              <w:t xml:space="preserve"> incluirá </w:t>
            </w:r>
            <w:r w:rsidR="00F268B0" w:rsidRPr="00976BFF">
              <w:rPr>
                <w:rFonts w:ascii="Times New Roman" w:hAnsi="Times New Roman" w:cs="Times New Roman"/>
                <w:sz w:val="20"/>
                <w:szCs w:val="20"/>
                <w:lang w:val="es-ES_tradnl"/>
              </w:rPr>
              <w:t xml:space="preserve">las medidas necesarias de mitigación de riesgos. Los riesgos se tendrán en cuenta en 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r w:rsidR="00F268B0" w:rsidRPr="00976BFF">
              <w:rPr>
                <w:rFonts w:ascii="Times New Roman" w:hAnsi="Times New Roman" w:cs="Times New Roman"/>
                <w:sz w:val="20"/>
                <w:szCs w:val="20"/>
                <w:lang w:val="es-ES_tradnl"/>
              </w:rPr>
              <w:t xml:space="preserve"> y se incluirán en el marco de resultados </w:t>
            </w:r>
            <w:r w:rsidR="005B6CB8">
              <w:rPr>
                <w:rFonts w:ascii="Times New Roman" w:hAnsi="Times New Roman" w:cs="Times New Roman"/>
                <w:sz w:val="20"/>
                <w:szCs w:val="20"/>
                <w:lang w:val="es-ES_tradnl"/>
              </w:rPr>
              <w:t xml:space="preserve">para </w:t>
            </w:r>
            <w:r w:rsidR="00F268B0" w:rsidRPr="00976BFF">
              <w:rPr>
                <w:rFonts w:ascii="Times New Roman" w:hAnsi="Times New Roman" w:cs="Times New Roman"/>
                <w:sz w:val="20"/>
                <w:szCs w:val="20"/>
                <w:lang w:val="es-ES_tradnl"/>
              </w:rPr>
              <w:t>su seguimiento</w:t>
            </w:r>
            <w:r w:rsidR="004E6EED" w:rsidRPr="00976BFF">
              <w:rPr>
                <w:rFonts w:ascii="Times New Roman" w:hAnsi="Times New Roman" w:cs="Times New Roman"/>
                <w:sz w:val="20"/>
                <w:szCs w:val="20"/>
                <w:lang w:val="es-ES_tradnl"/>
              </w:rPr>
              <w:t>.</w:t>
            </w:r>
          </w:p>
        </w:tc>
      </w:tr>
    </w:tbl>
    <w:p w:rsidR="005C0B61" w:rsidRPr="00976BFF" w:rsidRDefault="005C0B61">
      <w:pPr>
        <w:rPr>
          <w:lang w:val="es-ES_tradnl"/>
        </w:rPr>
      </w:pPr>
    </w:p>
    <w:p w:rsidR="00587AB1" w:rsidRPr="00976BFF" w:rsidRDefault="00587AB1" w:rsidP="00587AB1">
      <w:pPr>
        <w:pStyle w:val="NoSpacing"/>
        <w:rPr>
          <w:rFonts w:ascii="Times New Roman" w:hAnsi="Times New Roman" w:cs="Times New Roman"/>
          <w:b/>
          <w:sz w:val="20"/>
          <w:szCs w:val="20"/>
          <w:lang w:val="es-ES_tradnl"/>
        </w:rPr>
        <w:sectPr w:rsidR="00587AB1" w:rsidRPr="00976BFF">
          <w:pgSz w:w="15840" w:h="12240" w:orient="landscape"/>
          <w:pgMar w:top="1440" w:right="1440" w:bottom="1440" w:left="1440" w:header="720" w:footer="720" w:gutter="0"/>
          <w:cols w:space="720"/>
          <w:titlePg/>
          <w:docGrid w:linePitch="360"/>
        </w:sectPr>
      </w:pPr>
    </w:p>
    <w:p w:rsidR="007606FA" w:rsidRPr="00976BFF" w:rsidRDefault="007606FA" w:rsidP="007606FA">
      <w:pPr>
        <w:pStyle w:val="Heading1"/>
        <w:numPr>
          <w:ilvl w:val="0"/>
          <w:numId w:val="0"/>
        </w:numPr>
        <w:rPr>
          <w:lang w:val="es-ES_tradnl"/>
        </w:rPr>
      </w:pPr>
      <w:bookmarkStart w:id="111" w:name="_Toc344927224"/>
      <w:r w:rsidRPr="00976BFF">
        <w:rPr>
          <w:lang w:val="es-ES_tradnl"/>
        </w:rPr>
        <w:t>Anexo 8</w:t>
      </w:r>
      <w:r w:rsidR="00E65F78">
        <w:rPr>
          <w:lang w:val="es-ES_tradnl"/>
        </w:rPr>
        <w:t>.</w:t>
      </w:r>
      <w:r w:rsidRPr="00976BFF">
        <w:rPr>
          <w:lang w:val="es-ES_tradnl"/>
        </w:rPr>
        <w:t xml:space="preserve"> </w:t>
      </w:r>
      <w:r w:rsidR="007A653A" w:rsidRPr="00976BFF">
        <w:rPr>
          <w:lang w:val="es-ES_tradnl"/>
        </w:rPr>
        <w:t xml:space="preserve">Plan de Acción del </w:t>
      </w:r>
      <w:bookmarkEnd w:id="111"/>
      <w:r w:rsidR="008A1019">
        <w:rPr>
          <w:lang w:val="es-ES_tradnl"/>
        </w:rPr>
        <w:t>programa</w:t>
      </w:r>
      <w:r w:rsidRPr="00976BFF">
        <w:rPr>
          <w:lang w:val="es-ES_tradnl"/>
        </w:rPr>
        <w:t xml:space="preserve"> </w:t>
      </w:r>
    </w:p>
    <w:p w:rsidR="007606FA" w:rsidRPr="00976BFF" w:rsidRDefault="007606FA" w:rsidP="007606FA">
      <w:pPr>
        <w:pStyle w:val="NoSpacing"/>
        <w:ind w:left="360"/>
        <w:jc w:val="center"/>
        <w:rPr>
          <w:rFonts w:ascii="Times New Roman" w:hAnsi="Times New Roman" w:cs="Times New Roman"/>
          <w:lang w:val="es-ES_tradnl"/>
        </w:rPr>
      </w:pPr>
    </w:p>
    <w:p w:rsidR="007606FA" w:rsidRPr="00976BFF" w:rsidRDefault="007606FA" w:rsidP="007606FA">
      <w:pPr>
        <w:pStyle w:val="NoSpacing"/>
        <w:ind w:left="360"/>
        <w:rPr>
          <w:rFonts w:ascii="Times New Roman" w:hAnsi="Times New Roman" w:cs="Times New Roman"/>
          <w:b/>
          <w:i/>
          <w:lang w:val="es-ES_tradnl"/>
        </w:rPr>
      </w:pPr>
    </w:p>
    <w:p w:rsidR="007606FA" w:rsidRPr="00976BFF" w:rsidRDefault="007606FA" w:rsidP="007606FA">
      <w:pPr>
        <w:pStyle w:val="NoSpacing"/>
        <w:ind w:left="360"/>
        <w:rPr>
          <w:rFonts w:ascii="Times New Roman" w:hAnsi="Times New Roman" w:cs="Times New Roman"/>
          <w:b/>
          <w:i/>
          <w:lang w:val="es-ES_tradnl"/>
        </w:rPr>
      </w:pPr>
    </w:p>
    <w:tbl>
      <w:tblPr>
        <w:tblStyle w:val="TableGrid"/>
        <w:tblW w:w="5192" w:type="pct"/>
        <w:tblInd w:w="-162" w:type="dxa"/>
        <w:tblLayout w:type="fixed"/>
        <w:tblLook w:val="04A0" w:firstRow="1" w:lastRow="0" w:firstColumn="1" w:lastColumn="0" w:noHBand="0" w:noVBand="1"/>
      </w:tblPr>
      <w:tblGrid>
        <w:gridCol w:w="6393"/>
        <w:gridCol w:w="811"/>
        <w:gridCol w:w="863"/>
        <w:gridCol w:w="1119"/>
        <w:gridCol w:w="1385"/>
        <w:gridCol w:w="3111"/>
      </w:tblGrid>
      <w:tr w:rsidR="007606FA" w:rsidRPr="00976BFF">
        <w:tc>
          <w:tcPr>
            <w:tcW w:w="2336" w:type="pct"/>
            <w:tcBorders>
              <w:bottom w:val="single" w:sz="4" w:space="0" w:color="auto"/>
            </w:tcBorders>
          </w:tcPr>
          <w:p w:rsidR="007606FA" w:rsidRPr="00976BFF" w:rsidRDefault="007606FA" w:rsidP="007A653A">
            <w:pPr>
              <w:jc w:val="center"/>
              <w:rPr>
                <w:rFonts w:ascii="Times New Roman" w:hAnsi="Times New Roman" w:cs="Times New Roman"/>
                <w:b/>
                <w:lang w:val="es-ES_tradnl"/>
              </w:rPr>
            </w:pPr>
            <w:r w:rsidRPr="00976BFF">
              <w:rPr>
                <w:rFonts w:ascii="Times New Roman" w:hAnsi="Times New Roman" w:cs="Times New Roman"/>
                <w:b/>
                <w:lang w:val="es-ES_tradnl"/>
              </w:rPr>
              <w:t>Descripción de la actividad</w:t>
            </w:r>
          </w:p>
        </w:tc>
        <w:tc>
          <w:tcPr>
            <w:tcW w:w="296" w:type="pct"/>
            <w:tcBorders>
              <w:bottom w:val="single" w:sz="4" w:space="0" w:color="auto"/>
            </w:tcBorders>
          </w:tcPr>
          <w:p w:rsidR="007606FA" w:rsidRPr="00976BFF" w:rsidRDefault="007606FA" w:rsidP="007A653A">
            <w:pPr>
              <w:jc w:val="center"/>
              <w:rPr>
                <w:rFonts w:ascii="Times New Roman" w:hAnsi="Times New Roman" w:cs="Times New Roman"/>
                <w:b/>
                <w:lang w:val="es-ES_tradnl"/>
              </w:rPr>
            </w:pPr>
            <w:r w:rsidRPr="00976BFF">
              <w:rPr>
                <w:rFonts w:ascii="Times New Roman" w:hAnsi="Times New Roman" w:cs="Times New Roman"/>
                <w:b/>
                <w:lang w:val="es-ES_tradnl"/>
              </w:rPr>
              <w:t>IVD</w:t>
            </w:r>
          </w:p>
        </w:tc>
        <w:tc>
          <w:tcPr>
            <w:tcW w:w="315" w:type="pct"/>
            <w:tcBorders>
              <w:bottom w:val="single" w:sz="4" w:space="0" w:color="auto"/>
            </w:tcBorders>
          </w:tcPr>
          <w:p w:rsidR="007606FA" w:rsidRPr="00976BFF" w:rsidRDefault="007606FA" w:rsidP="007A653A">
            <w:pPr>
              <w:jc w:val="center"/>
              <w:rPr>
                <w:rFonts w:ascii="Times New Roman" w:hAnsi="Times New Roman" w:cs="Times New Roman"/>
                <w:b/>
                <w:lang w:val="es-ES_tradnl"/>
              </w:rPr>
            </w:pPr>
            <w:r w:rsidRPr="00976BFF">
              <w:rPr>
                <w:rFonts w:ascii="Times New Roman" w:hAnsi="Times New Roman" w:cs="Times New Roman"/>
                <w:b/>
                <w:lang w:val="es-ES_tradnl"/>
              </w:rPr>
              <w:t>Acuerdo</w:t>
            </w:r>
          </w:p>
        </w:tc>
        <w:tc>
          <w:tcPr>
            <w:tcW w:w="409" w:type="pct"/>
            <w:tcBorders>
              <w:bottom w:val="single" w:sz="4" w:space="0" w:color="auto"/>
            </w:tcBorders>
          </w:tcPr>
          <w:p w:rsidR="007606FA" w:rsidRPr="00976BFF" w:rsidRDefault="007606FA" w:rsidP="007A653A">
            <w:pPr>
              <w:jc w:val="center"/>
              <w:rPr>
                <w:rFonts w:ascii="Times New Roman" w:hAnsi="Times New Roman" w:cs="Times New Roman"/>
                <w:b/>
                <w:lang w:val="es-ES_tradnl"/>
              </w:rPr>
            </w:pPr>
            <w:r w:rsidRPr="00976BFF">
              <w:rPr>
                <w:rFonts w:ascii="Times New Roman" w:hAnsi="Times New Roman" w:cs="Times New Roman"/>
                <w:b/>
                <w:lang w:val="es-ES_tradnl"/>
              </w:rPr>
              <w:t>Fecha de vencimiento</w:t>
            </w:r>
          </w:p>
        </w:tc>
        <w:tc>
          <w:tcPr>
            <w:tcW w:w="506" w:type="pct"/>
            <w:tcBorders>
              <w:bottom w:val="single" w:sz="4" w:space="0" w:color="auto"/>
            </w:tcBorders>
          </w:tcPr>
          <w:p w:rsidR="007606FA" w:rsidRPr="00976BFF" w:rsidRDefault="001C47AE" w:rsidP="007A653A">
            <w:pPr>
              <w:jc w:val="center"/>
              <w:rPr>
                <w:rFonts w:ascii="Times New Roman" w:hAnsi="Times New Roman" w:cs="Times New Roman"/>
                <w:b/>
                <w:lang w:val="es-ES_tradnl"/>
              </w:rPr>
            </w:pPr>
            <w:r>
              <w:rPr>
                <w:rFonts w:ascii="Times New Roman" w:hAnsi="Times New Roman" w:cs="Times New Roman"/>
                <w:b/>
                <w:lang w:val="es-ES_tradnl"/>
              </w:rPr>
              <w:t>Institución</w:t>
            </w:r>
            <w:r w:rsidR="007606FA" w:rsidRPr="00976BFF">
              <w:rPr>
                <w:rFonts w:ascii="Times New Roman" w:hAnsi="Times New Roman" w:cs="Times New Roman"/>
                <w:b/>
                <w:lang w:val="es-ES_tradnl"/>
              </w:rPr>
              <w:t xml:space="preserve"> responsable</w:t>
            </w:r>
          </w:p>
        </w:tc>
        <w:tc>
          <w:tcPr>
            <w:tcW w:w="1137" w:type="pct"/>
            <w:tcBorders>
              <w:bottom w:val="single" w:sz="4" w:space="0" w:color="auto"/>
            </w:tcBorders>
          </w:tcPr>
          <w:p w:rsidR="007606FA" w:rsidRPr="00976BFF" w:rsidRDefault="007606FA" w:rsidP="007A653A">
            <w:pPr>
              <w:jc w:val="center"/>
              <w:rPr>
                <w:rFonts w:ascii="Times New Roman" w:hAnsi="Times New Roman" w:cs="Times New Roman"/>
                <w:b/>
                <w:lang w:val="es-ES_tradnl"/>
              </w:rPr>
            </w:pPr>
            <w:r w:rsidRPr="00976BFF">
              <w:rPr>
                <w:rFonts w:ascii="Times New Roman" w:hAnsi="Times New Roman" w:cs="Times New Roman"/>
                <w:b/>
                <w:lang w:val="es-ES_tradnl"/>
              </w:rPr>
              <w:t>Indicador de finalización</w:t>
            </w:r>
          </w:p>
        </w:tc>
      </w:tr>
      <w:tr w:rsidR="007606FA" w:rsidRPr="00976BFF">
        <w:tc>
          <w:tcPr>
            <w:tcW w:w="2336" w:type="pct"/>
            <w:shd w:val="clear" w:color="auto" w:fill="D9D9D9" w:themeFill="background1" w:themeFillShade="D9"/>
          </w:tcPr>
          <w:p w:rsidR="007606FA" w:rsidRPr="00976BFF" w:rsidRDefault="007606FA" w:rsidP="007A653A">
            <w:pPr>
              <w:rPr>
                <w:rFonts w:ascii="Times New Roman" w:hAnsi="Times New Roman" w:cs="Times New Roman"/>
                <w:b/>
                <w:i/>
                <w:lang w:val="es-ES_tradnl"/>
              </w:rPr>
            </w:pPr>
            <w:r w:rsidRPr="00976BFF">
              <w:rPr>
                <w:rFonts w:ascii="Times New Roman" w:hAnsi="Times New Roman" w:cs="Times New Roman"/>
                <w:b/>
                <w:i/>
                <w:lang w:val="es-ES_tradnl"/>
              </w:rPr>
              <w:t>Área de planeamiento</w:t>
            </w:r>
          </w:p>
        </w:tc>
        <w:tc>
          <w:tcPr>
            <w:tcW w:w="296"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315"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409"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506"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1137"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r>
      <w:tr w:rsidR="007606FA" w:rsidRPr="001E1C20">
        <w:tc>
          <w:tcPr>
            <w:tcW w:w="2336" w:type="pct"/>
          </w:tcPr>
          <w:p w:rsidR="007606FA" w:rsidRPr="00976BFF" w:rsidRDefault="007606FA" w:rsidP="007A653A">
            <w:pPr>
              <w:pStyle w:val="ListParagraph"/>
              <w:numPr>
                <w:ilvl w:val="2"/>
                <w:numId w:val="8"/>
              </w:numPr>
              <w:rPr>
                <w:rFonts w:ascii="Times New Roman" w:hAnsi="Times New Roman" w:cs="Times New Roman"/>
                <w:b/>
                <w:lang w:val="es-ES_tradnl"/>
              </w:rPr>
            </w:pPr>
            <w:r w:rsidRPr="00976BFF">
              <w:rPr>
                <w:rFonts w:ascii="Times New Roman" w:hAnsi="Times New Roman" w:cs="Times New Roman"/>
                <w:b/>
                <w:lang w:val="es-ES_tradnl"/>
              </w:rPr>
              <w:t>Clasificación de la red vial nacional</w:t>
            </w:r>
          </w:p>
          <w:p w:rsidR="007606FA" w:rsidRPr="00976BFF" w:rsidRDefault="007606FA" w:rsidP="008877A5">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Definir nuevas categorías de la red vial nacional que coincidan con las necesidades actuales del </w:t>
            </w:r>
            <w:r w:rsidR="008877A5">
              <w:rPr>
                <w:rFonts w:ascii="Times New Roman" w:hAnsi="Times New Roman" w:cs="Times New Roman"/>
                <w:lang w:val="es-ES_tradnl"/>
              </w:rPr>
              <w:t>p</w:t>
            </w:r>
            <w:r w:rsidR="008877A5" w:rsidRPr="00976BFF">
              <w:rPr>
                <w:rFonts w:ascii="Times New Roman" w:hAnsi="Times New Roman" w:cs="Times New Roman"/>
                <w:lang w:val="es-ES_tradnl"/>
              </w:rPr>
              <w:t xml:space="preserve">restatario </w:t>
            </w:r>
            <w:r w:rsidRPr="00976BFF">
              <w:rPr>
                <w:rFonts w:ascii="Times New Roman" w:hAnsi="Times New Roman" w:cs="Times New Roman"/>
                <w:lang w:val="es-ES_tradnl"/>
              </w:rPr>
              <w:t xml:space="preserve">en materia de transporte. </w:t>
            </w:r>
            <w:r w:rsidR="00AC4C37">
              <w:rPr>
                <w:rFonts w:ascii="Times New Roman" w:hAnsi="Times New Roman" w:cs="Times New Roman"/>
                <w:lang w:val="es-ES_tradnl"/>
              </w:rPr>
              <w:t>En la</w:t>
            </w:r>
            <w:r w:rsidRPr="00976BFF">
              <w:rPr>
                <w:rFonts w:ascii="Times New Roman" w:hAnsi="Times New Roman" w:cs="Times New Roman"/>
                <w:lang w:val="es-ES_tradnl"/>
              </w:rPr>
              <w:t xml:space="preserve"> clasificación </w:t>
            </w:r>
            <w:r w:rsidR="00AC4C37">
              <w:rPr>
                <w:rFonts w:ascii="Times New Roman" w:hAnsi="Times New Roman" w:cs="Times New Roman"/>
                <w:lang w:val="es-ES_tradnl"/>
              </w:rPr>
              <w:t>se tendrán</w:t>
            </w:r>
            <w:r w:rsidRPr="00976BFF">
              <w:rPr>
                <w:rFonts w:ascii="Times New Roman" w:hAnsi="Times New Roman" w:cs="Times New Roman"/>
                <w:lang w:val="es-ES_tradnl"/>
              </w:rPr>
              <w:t xml:space="preserve"> en cuenta los recursos de mantenimiento y </w:t>
            </w:r>
            <w:r w:rsidR="00AC4C37">
              <w:rPr>
                <w:rFonts w:ascii="Times New Roman" w:hAnsi="Times New Roman" w:cs="Times New Roman"/>
                <w:lang w:val="es-ES_tradnl"/>
              </w:rPr>
              <w:t xml:space="preserve">se </w:t>
            </w:r>
            <w:r w:rsidRPr="00976BFF">
              <w:rPr>
                <w:rFonts w:ascii="Times New Roman" w:hAnsi="Times New Roman" w:cs="Times New Roman"/>
                <w:lang w:val="es-ES_tradnl"/>
              </w:rPr>
              <w:t>definir</w:t>
            </w:r>
            <w:r w:rsidR="00AC4C37">
              <w:rPr>
                <w:rFonts w:ascii="Times New Roman" w:hAnsi="Times New Roman" w:cs="Times New Roman"/>
                <w:lang w:val="es-ES_tradnl"/>
              </w:rPr>
              <w:t>án</w:t>
            </w:r>
            <w:r w:rsidRPr="00976BFF">
              <w:rPr>
                <w:rFonts w:ascii="Times New Roman" w:hAnsi="Times New Roman" w:cs="Times New Roman"/>
                <w:lang w:val="es-ES_tradnl"/>
              </w:rPr>
              <w:t xml:space="preserve"> las características básicas de las diversas categorías viales.</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12/2015</w:t>
            </w:r>
          </w:p>
        </w:tc>
        <w:tc>
          <w:tcPr>
            <w:tcW w:w="506"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MTOP</w:t>
            </w:r>
          </w:p>
        </w:tc>
        <w:tc>
          <w:tcPr>
            <w:tcW w:w="1137"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El MTOP dicta una resolución en la que se definen las categorías y normas de la red vial nacional.</w:t>
            </w:r>
          </w:p>
          <w:p w:rsidR="007606FA" w:rsidRPr="00976BFF" w:rsidRDefault="007606FA" w:rsidP="007A653A">
            <w:pPr>
              <w:rPr>
                <w:rFonts w:ascii="Times New Roman" w:hAnsi="Times New Roman" w:cs="Times New Roman"/>
                <w:lang w:val="es-ES_tradnl"/>
              </w:rPr>
            </w:pPr>
          </w:p>
        </w:tc>
      </w:tr>
      <w:tr w:rsidR="007606FA" w:rsidRPr="001E1C20">
        <w:tc>
          <w:tcPr>
            <w:tcW w:w="2336" w:type="pct"/>
          </w:tcPr>
          <w:p w:rsidR="007606FA" w:rsidRPr="00976BFF" w:rsidRDefault="007606FA" w:rsidP="000B5989">
            <w:pPr>
              <w:pStyle w:val="ListParagraph"/>
              <w:numPr>
                <w:ilvl w:val="2"/>
                <w:numId w:val="8"/>
              </w:numPr>
              <w:ind w:left="729" w:hanging="709"/>
              <w:rPr>
                <w:rFonts w:ascii="Times New Roman" w:hAnsi="Times New Roman" w:cs="Times New Roman"/>
                <w:b/>
                <w:lang w:val="es-ES_tradnl"/>
              </w:rPr>
            </w:pPr>
            <w:r w:rsidRPr="00976BFF">
              <w:rPr>
                <w:rFonts w:ascii="Times New Roman" w:hAnsi="Times New Roman" w:cs="Times New Roman"/>
                <w:b/>
                <w:lang w:val="es-ES_tradnl"/>
              </w:rPr>
              <w:t>Fortalecimiento de la ca</w:t>
            </w:r>
            <w:r w:rsidR="001C47AE">
              <w:rPr>
                <w:rFonts w:ascii="Times New Roman" w:hAnsi="Times New Roman" w:cs="Times New Roman"/>
                <w:b/>
                <w:lang w:val="es-ES_tradnl"/>
              </w:rPr>
              <w:t>pacidad analítica para elaborar</w:t>
            </w:r>
            <w:r w:rsidRPr="00976BFF">
              <w:rPr>
                <w:rFonts w:ascii="Times New Roman" w:hAnsi="Times New Roman" w:cs="Times New Roman"/>
                <w:b/>
                <w:lang w:val="es-ES_tradnl"/>
              </w:rPr>
              <w:t xml:space="preserve"> modelos de transporte</w:t>
            </w:r>
          </w:p>
          <w:p w:rsidR="007606FA" w:rsidRPr="00976BFF" w:rsidRDefault="007606FA" w:rsidP="008877A5">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Diseñar y aplicar un modelo nacional de transporte de carga para evaluar los requisitos a largo plazo del </w:t>
            </w:r>
            <w:r w:rsidR="008877A5">
              <w:rPr>
                <w:rFonts w:ascii="Times New Roman" w:hAnsi="Times New Roman" w:cs="Times New Roman"/>
                <w:lang w:val="es-ES_tradnl"/>
              </w:rPr>
              <w:t>p</w:t>
            </w:r>
            <w:r w:rsidR="008877A5" w:rsidRPr="00976BFF">
              <w:rPr>
                <w:rFonts w:ascii="Times New Roman" w:hAnsi="Times New Roman" w:cs="Times New Roman"/>
                <w:lang w:val="es-ES_tradnl"/>
              </w:rPr>
              <w:t xml:space="preserve">restatario </w:t>
            </w:r>
            <w:r w:rsidRPr="00976BFF">
              <w:rPr>
                <w:rFonts w:ascii="Times New Roman" w:hAnsi="Times New Roman" w:cs="Times New Roman"/>
                <w:lang w:val="es-ES_tradnl"/>
              </w:rPr>
              <w:t xml:space="preserve">en términos de necesidades básicas de infraestructura. </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12/2015</w:t>
            </w:r>
          </w:p>
        </w:tc>
        <w:tc>
          <w:tcPr>
            <w:tcW w:w="506"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DINAPLO</w:t>
            </w:r>
          </w:p>
        </w:tc>
        <w:tc>
          <w:tcPr>
            <w:tcW w:w="1137" w:type="pct"/>
          </w:tcPr>
          <w:p w:rsidR="007606FA" w:rsidRPr="00976BFF" w:rsidRDefault="007606FA" w:rsidP="005B6CB8">
            <w:pPr>
              <w:rPr>
                <w:rFonts w:ascii="Times New Roman" w:hAnsi="Times New Roman" w:cs="Times New Roman"/>
                <w:lang w:val="es-ES_tradnl"/>
              </w:rPr>
            </w:pPr>
            <w:r w:rsidRPr="00976BFF">
              <w:rPr>
                <w:rFonts w:ascii="Times New Roman" w:hAnsi="Times New Roman" w:cs="Times New Roman"/>
                <w:lang w:val="es-ES_tradnl"/>
              </w:rPr>
              <w:t xml:space="preserve">El </w:t>
            </w:r>
            <w:r w:rsidR="005B6CB8">
              <w:rPr>
                <w:rFonts w:ascii="Times New Roman" w:hAnsi="Times New Roman" w:cs="Times New Roman"/>
                <w:lang w:val="es-ES_tradnl"/>
              </w:rPr>
              <w:t>d</w:t>
            </w:r>
            <w:r w:rsidR="005B6CB8" w:rsidRPr="00976BFF">
              <w:rPr>
                <w:rFonts w:ascii="Times New Roman" w:hAnsi="Times New Roman" w:cs="Times New Roman"/>
                <w:lang w:val="es-ES_tradnl"/>
              </w:rPr>
              <w:t xml:space="preserve">irector </w:t>
            </w:r>
            <w:r w:rsidRPr="00976BFF">
              <w:rPr>
                <w:rFonts w:ascii="Times New Roman" w:hAnsi="Times New Roman" w:cs="Times New Roman"/>
                <w:lang w:val="es-ES_tradnl"/>
              </w:rPr>
              <w:t>de la DINAPLO dicta una resolución por la que se aprueba el modelo nacional de transporte de carga.</w:t>
            </w:r>
          </w:p>
        </w:tc>
      </w:tr>
      <w:tr w:rsidR="007606FA" w:rsidRPr="00976BFF">
        <w:tc>
          <w:tcPr>
            <w:tcW w:w="2336" w:type="pct"/>
            <w:shd w:val="clear" w:color="auto" w:fill="D9D9D9" w:themeFill="background1" w:themeFillShade="D9"/>
          </w:tcPr>
          <w:p w:rsidR="007606FA" w:rsidRPr="00976BFF" w:rsidRDefault="007606FA" w:rsidP="007A653A">
            <w:pPr>
              <w:rPr>
                <w:rFonts w:ascii="Times New Roman" w:hAnsi="Times New Roman" w:cs="Times New Roman"/>
                <w:b/>
                <w:i/>
                <w:lang w:val="es-ES_tradnl"/>
              </w:rPr>
            </w:pPr>
            <w:r w:rsidRPr="00976BFF">
              <w:rPr>
                <w:rFonts w:ascii="Times New Roman" w:hAnsi="Times New Roman" w:cs="Times New Roman"/>
                <w:b/>
                <w:i/>
                <w:lang w:val="es-ES_tradnl"/>
              </w:rPr>
              <w:t>Área técnica</w:t>
            </w:r>
          </w:p>
        </w:tc>
        <w:tc>
          <w:tcPr>
            <w:tcW w:w="296"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315"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409"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506"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1137"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r>
      <w:tr w:rsidR="007606FA" w:rsidRPr="001E1C20">
        <w:tc>
          <w:tcPr>
            <w:tcW w:w="2336" w:type="pct"/>
          </w:tcPr>
          <w:p w:rsidR="007606FA" w:rsidRPr="00976BFF" w:rsidRDefault="007606FA" w:rsidP="000B5989">
            <w:pPr>
              <w:pStyle w:val="ListParagraph"/>
              <w:numPr>
                <w:ilvl w:val="2"/>
                <w:numId w:val="8"/>
              </w:numPr>
              <w:ind w:left="729" w:hanging="709"/>
              <w:rPr>
                <w:rFonts w:ascii="Times New Roman" w:hAnsi="Times New Roman" w:cs="Times New Roman"/>
                <w:b/>
                <w:lang w:val="es-ES_tradnl"/>
              </w:rPr>
            </w:pPr>
            <w:r w:rsidRPr="00976BFF">
              <w:rPr>
                <w:rFonts w:ascii="Times New Roman" w:hAnsi="Times New Roman" w:cs="Times New Roman"/>
                <w:b/>
                <w:lang w:val="es-ES_tradnl"/>
              </w:rPr>
              <w:t>Mejoramiento del diseño de puntos críticos para la seguridad vial</w:t>
            </w:r>
          </w:p>
          <w:p w:rsidR="007606FA" w:rsidRPr="00976BFF" w:rsidRDefault="007606FA" w:rsidP="007A653A">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Definir un manual que contenga las soluciones técnicas estándar para optimizar y normalizar el diseño de intersecciones en las que suelen producirse accidentes. </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12/2014</w:t>
            </w:r>
          </w:p>
        </w:tc>
        <w:tc>
          <w:tcPr>
            <w:tcW w:w="506"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DNV</w:t>
            </w:r>
          </w:p>
        </w:tc>
        <w:tc>
          <w:tcPr>
            <w:tcW w:w="1137" w:type="pct"/>
          </w:tcPr>
          <w:p w:rsidR="007606FA" w:rsidRPr="00976BFF" w:rsidRDefault="007606FA" w:rsidP="005B6CB8">
            <w:pPr>
              <w:rPr>
                <w:rFonts w:ascii="Times New Roman" w:hAnsi="Times New Roman" w:cs="Times New Roman"/>
                <w:lang w:val="es-ES_tradnl"/>
              </w:rPr>
            </w:pPr>
            <w:r w:rsidRPr="00976BFF">
              <w:rPr>
                <w:rFonts w:ascii="Times New Roman" w:hAnsi="Times New Roman" w:cs="Times New Roman"/>
                <w:lang w:val="es-ES_tradnl"/>
              </w:rPr>
              <w:t xml:space="preserve">El </w:t>
            </w:r>
            <w:r w:rsidR="005B6CB8">
              <w:rPr>
                <w:rFonts w:ascii="Times New Roman" w:hAnsi="Times New Roman" w:cs="Times New Roman"/>
                <w:lang w:val="es-ES_tradnl"/>
              </w:rPr>
              <w:t>d</w:t>
            </w:r>
            <w:r w:rsidR="005B6CB8" w:rsidRPr="00976BFF">
              <w:rPr>
                <w:rFonts w:ascii="Times New Roman" w:hAnsi="Times New Roman" w:cs="Times New Roman"/>
                <w:lang w:val="es-ES_tradnl"/>
              </w:rPr>
              <w:t xml:space="preserve">irector </w:t>
            </w:r>
            <w:r w:rsidRPr="00976BFF">
              <w:rPr>
                <w:rFonts w:ascii="Times New Roman" w:hAnsi="Times New Roman" w:cs="Times New Roman"/>
                <w:lang w:val="es-ES_tradnl"/>
              </w:rPr>
              <w:t xml:space="preserve">de la DINAPLO dicta una resolución por la que se aprueba el </w:t>
            </w:r>
            <w:r w:rsidR="00AC4C37">
              <w:rPr>
                <w:rFonts w:ascii="Times New Roman" w:hAnsi="Times New Roman" w:cs="Times New Roman"/>
                <w:lang w:val="es-ES_tradnl"/>
              </w:rPr>
              <w:t>m</w:t>
            </w:r>
            <w:r w:rsidRPr="00976BFF">
              <w:rPr>
                <w:rFonts w:ascii="Times New Roman" w:hAnsi="Times New Roman" w:cs="Times New Roman"/>
                <w:lang w:val="es-ES_tradnl"/>
              </w:rPr>
              <w:t xml:space="preserve">anual que contiene las soluciones técnicas estándar para mejorar la seguridad vial en las intersecciones </w:t>
            </w:r>
            <w:r w:rsidR="00AC4C37">
              <w:rPr>
                <w:rFonts w:ascii="Times New Roman" w:hAnsi="Times New Roman" w:cs="Times New Roman"/>
                <w:lang w:val="es-ES_tradnl"/>
              </w:rPr>
              <w:t>de caminos</w:t>
            </w:r>
            <w:r w:rsidRPr="00976BFF">
              <w:rPr>
                <w:rFonts w:ascii="Times New Roman" w:hAnsi="Times New Roman" w:cs="Times New Roman"/>
                <w:lang w:val="es-ES_tradnl"/>
              </w:rPr>
              <w:t>.</w:t>
            </w:r>
          </w:p>
        </w:tc>
      </w:tr>
      <w:tr w:rsidR="007606FA" w:rsidRPr="001E1C20">
        <w:tc>
          <w:tcPr>
            <w:tcW w:w="2336" w:type="pct"/>
            <w:tcBorders>
              <w:bottom w:val="single" w:sz="4" w:space="0" w:color="auto"/>
            </w:tcBorders>
          </w:tcPr>
          <w:p w:rsidR="007606FA" w:rsidRPr="00976BFF" w:rsidRDefault="007606FA" w:rsidP="000B5989">
            <w:pPr>
              <w:pStyle w:val="ListParagraph"/>
              <w:numPr>
                <w:ilvl w:val="2"/>
                <w:numId w:val="8"/>
              </w:numPr>
              <w:ind w:left="729" w:hanging="709"/>
              <w:rPr>
                <w:rFonts w:ascii="Times New Roman" w:hAnsi="Times New Roman" w:cs="Times New Roman"/>
                <w:b/>
                <w:lang w:val="es-ES_tradnl"/>
              </w:rPr>
            </w:pPr>
            <w:r w:rsidRPr="00976BFF">
              <w:rPr>
                <w:rFonts w:ascii="Times New Roman" w:hAnsi="Times New Roman" w:cs="Times New Roman"/>
                <w:b/>
                <w:lang w:val="es-ES_tradnl"/>
              </w:rPr>
              <w:t>Consolidación de procesos para la supervisión de las obras</w:t>
            </w:r>
          </w:p>
          <w:p w:rsidR="007606FA" w:rsidRPr="00976BFF" w:rsidRDefault="007606FA" w:rsidP="007A653A">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Terminar el manual de supervisión de obras viales, incluida una sección sobre contratos de mantenimiento y contratos basados en </w:t>
            </w:r>
            <w:r w:rsidRPr="00746A45">
              <w:rPr>
                <w:rFonts w:ascii="Times New Roman" w:hAnsi="Times New Roman" w:cs="Times New Roman"/>
                <w:lang w:val="es-ES_tradnl"/>
              </w:rPr>
              <w:t>los</w:t>
            </w:r>
            <w:r w:rsidRPr="00976BFF">
              <w:rPr>
                <w:rFonts w:ascii="Times New Roman" w:hAnsi="Times New Roman" w:cs="Times New Roman"/>
                <w:lang w:val="es-ES_tradnl"/>
              </w:rPr>
              <w:t xml:space="preserve"> resultados.</w:t>
            </w:r>
          </w:p>
        </w:tc>
        <w:tc>
          <w:tcPr>
            <w:tcW w:w="296" w:type="pct"/>
            <w:tcBorders>
              <w:bottom w:val="single" w:sz="4" w:space="0" w:color="auto"/>
            </w:tcBorders>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Borders>
              <w:bottom w:val="single" w:sz="4" w:space="0" w:color="auto"/>
            </w:tcBorders>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Borders>
              <w:bottom w:val="single" w:sz="4" w:space="0" w:color="auto"/>
            </w:tcBorders>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12/2013</w:t>
            </w:r>
          </w:p>
        </w:tc>
        <w:tc>
          <w:tcPr>
            <w:tcW w:w="506" w:type="pct"/>
            <w:tcBorders>
              <w:bottom w:val="single" w:sz="4" w:space="0" w:color="auto"/>
            </w:tcBorders>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DNV</w:t>
            </w:r>
          </w:p>
        </w:tc>
        <w:tc>
          <w:tcPr>
            <w:tcW w:w="1137" w:type="pct"/>
            <w:tcBorders>
              <w:bottom w:val="single" w:sz="4" w:space="0" w:color="auto"/>
            </w:tcBorders>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Se logrará cuando</w:t>
            </w:r>
            <w:r w:rsidR="005B6CB8">
              <w:rPr>
                <w:rFonts w:ascii="Times New Roman" w:hAnsi="Times New Roman" w:cs="Times New Roman"/>
                <w:lang w:val="es-ES_tradnl"/>
              </w:rPr>
              <w:t>:</w:t>
            </w:r>
            <w:r w:rsidRPr="00976BFF">
              <w:rPr>
                <w:rFonts w:ascii="Times New Roman" w:hAnsi="Times New Roman" w:cs="Times New Roman"/>
                <w:lang w:val="es-ES_tradnl"/>
              </w:rPr>
              <w:t xml:space="preserve"> i) el </w:t>
            </w:r>
            <w:r w:rsidR="005B6CB8">
              <w:rPr>
                <w:rFonts w:ascii="Times New Roman" w:hAnsi="Times New Roman" w:cs="Times New Roman"/>
                <w:lang w:val="es-ES_tradnl"/>
              </w:rPr>
              <w:t>d</w:t>
            </w:r>
            <w:r w:rsidR="005B6CB8" w:rsidRPr="00976BFF">
              <w:rPr>
                <w:rFonts w:ascii="Times New Roman" w:hAnsi="Times New Roman" w:cs="Times New Roman"/>
                <w:lang w:val="es-ES_tradnl"/>
              </w:rPr>
              <w:t xml:space="preserve">irector </w:t>
            </w:r>
            <w:r w:rsidRPr="00976BFF">
              <w:rPr>
                <w:rFonts w:ascii="Times New Roman" w:hAnsi="Times New Roman" w:cs="Times New Roman"/>
                <w:lang w:val="es-ES_tradnl"/>
              </w:rPr>
              <w:t>de la DINAPLO dicte una resolución por la que se aprueba el manual del proceso de supervisión de obras</w:t>
            </w:r>
            <w:r w:rsidR="005B6CB8">
              <w:rPr>
                <w:rFonts w:ascii="Times New Roman" w:hAnsi="Times New Roman" w:cs="Times New Roman"/>
                <w:lang w:val="es-ES_tradnl"/>
              </w:rPr>
              <w:t>,</w:t>
            </w:r>
            <w:r w:rsidRPr="00976BFF">
              <w:rPr>
                <w:rFonts w:ascii="Times New Roman" w:hAnsi="Times New Roman" w:cs="Times New Roman"/>
                <w:lang w:val="es-ES_tradnl"/>
              </w:rPr>
              <w:t xml:space="preserve"> y ii) al menos el 50% de los equipos de supervisión de la DNV hayan recibido capacitación sobre el tema, según lo demuestre: a) el material de capacitación</w:t>
            </w:r>
            <w:r w:rsidR="005B6CB8">
              <w:rPr>
                <w:rFonts w:ascii="Times New Roman" w:hAnsi="Times New Roman" w:cs="Times New Roman"/>
                <w:lang w:val="es-ES_tradnl"/>
              </w:rPr>
              <w:t>,</w:t>
            </w:r>
            <w:r w:rsidR="005B6CB8" w:rsidRPr="00976BFF">
              <w:rPr>
                <w:rFonts w:ascii="Times New Roman" w:hAnsi="Times New Roman" w:cs="Times New Roman"/>
                <w:lang w:val="es-ES_tradnl"/>
              </w:rPr>
              <w:t xml:space="preserve"> </w:t>
            </w:r>
            <w:r w:rsidR="005B6CB8">
              <w:rPr>
                <w:rFonts w:ascii="Times New Roman" w:hAnsi="Times New Roman" w:cs="Times New Roman"/>
                <w:lang w:val="es-ES_tradnl"/>
              </w:rPr>
              <w:t xml:space="preserve">y </w:t>
            </w:r>
            <w:r w:rsidRPr="00976BFF">
              <w:rPr>
                <w:rFonts w:ascii="Times New Roman" w:hAnsi="Times New Roman" w:cs="Times New Roman"/>
                <w:lang w:val="es-ES_tradnl"/>
              </w:rPr>
              <w:t>b) el registro de asistencia de los participantes.</w:t>
            </w:r>
          </w:p>
          <w:p w:rsidR="007606FA" w:rsidRPr="00976BFF" w:rsidRDefault="007606FA" w:rsidP="007A653A">
            <w:pPr>
              <w:rPr>
                <w:rFonts w:ascii="Times New Roman" w:hAnsi="Times New Roman" w:cs="Times New Roman"/>
                <w:lang w:val="es-ES_tradnl"/>
              </w:rPr>
            </w:pPr>
          </w:p>
        </w:tc>
      </w:tr>
      <w:tr w:rsidR="007606FA" w:rsidRPr="00976BFF">
        <w:tc>
          <w:tcPr>
            <w:tcW w:w="2336" w:type="pct"/>
            <w:shd w:val="clear" w:color="auto" w:fill="D9D9D9" w:themeFill="background1" w:themeFillShade="D9"/>
          </w:tcPr>
          <w:p w:rsidR="007606FA" w:rsidRPr="00976BFF" w:rsidRDefault="007606FA" w:rsidP="007A653A">
            <w:pPr>
              <w:rPr>
                <w:rFonts w:ascii="Times New Roman" w:hAnsi="Times New Roman" w:cs="Times New Roman"/>
                <w:b/>
                <w:i/>
                <w:lang w:val="es-ES_tradnl"/>
              </w:rPr>
            </w:pPr>
            <w:r w:rsidRPr="00976BFF">
              <w:rPr>
                <w:rFonts w:ascii="Times New Roman" w:hAnsi="Times New Roman" w:cs="Times New Roman"/>
                <w:b/>
                <w:i/>
                <w:lang w:val="es-ES_tradnl"/>
              </w:rPr>
              <w:t>Área fiduciaria</w:t>
            </w:r>
          </w:p>
        </w:tc>
        <w:tc>
          <w:tcPr>
            <w:tcW w:w="296"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315"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409"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506"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1137"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r>
      <w:tr w:rsidR="007606FA" w:rsidRPr="001E1C20">
        <w:tc>
          <w:tcPr>
            <w:tcW w:w="2336" w:type="pct"/>
          </w:tcPr>
          <w:p w:rsidR="007606FA" w:rsidRPr="00976BFF" w:rsidRDefault="007606FA" w:rsidP="000B5989">
            <w:pPr>
              <w:pStyle w:val="ListParagraph"/>
              <w:numPr>
                <w:ilvl w:val="2"/>
                <w:numId w:val="8"/>
              </w:numPr>
              <w:ind w:left="729" w:hanging="709"/>
              <w:rPr>
                <w:rFonts w:ascii="Times New Roman" w:hAnsi="Times New Roman" w:cs="Times New Roman"/>
                <w:b/>
                <w:lang w:val="es-ES_tradnl"/>
              </w:rPr>
            </w:pPr>
            <w:r w:rsidRPr="00976BFF">
              <w:rPr>
                <w:rFonts w:ascii="Times New Roman" w:hAnsi="Times New Roman" w:cs="Times New Roman"/>
                <w:b/>
                <w:lang w:val="es-ES_tradnl"/>
              </w:rPr>
              <w:t xml:space="preserve">Mejoramiento de la capacidad de </w:t>
            </w:r>
            <w:r w:rsidR="001C47AE">
              <w:rPr>
                <w:rFonts w:ascii="Times New Roman" w:hAnsi="Times New Roman" w:cs="Times New Roman"/>
                <w:b/>
                <w:lang w:val="es-ES_tradnl"/>
              </w:rPr>
              <w:t xml:space="preserve">la Unidad de Auditoría Interna </w:t>
            </w:r>
            <w:r w:rsidRPr="00976BFF">
              <w:rPr>
                <w:rFonts w:ascii="Times New Roman" w:hAnsi="Times New Roman" w:cs="Times New Roman"/>
                <w:b/>
                <w:lang w:val="es-ES_tradnl"/>
              </w:rPr>
              <w:t>del MTOP</w:t>
            </w:r>
          </w:p>
          <w:p w:rsidR="007606FA" w:rsidRPr="00976BFF" w:rsidRDefault="007606FA" w:rsidP="007A653A">
            <w:pPr>
              <w:pStyle w:val="ListParagraph"/>
              <w:rPr>
                <w:rFonts w:ascii="Times New Roman" w:hAnsi="Times New Roman" w:cs="Times New Roman"/>
                <w:lang w:val="es-ES_tradnl"/>
              </w:rPr>
            </w:pPr>
            <w:r w:rsidRPr="00976BFF">
              <w:rPr>
                <w:rFonts w:ascii="Times New Roman" w:hAnsi="Times New Roman" w:cs="Times New Roman"/>
                <w:lang w:val="es-ES_tradnl"/>
              </w:rPr>
              <w:t>i) Examinar la capacidad de la Unidad de Auditoría Interna del MTOP, ii) elaborar un plan de fortalecimiento de la capacidad y iii) impartir capacitación al personal de la Unidad de Auditoría Interna del MTOP sobre auditoría basada en los riesgos.</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12/2014</w:t>
            </w:r>
          </w:p>
        </w:tc>
        <w:tc>
          <w:tcPr>
            <w:tcW w:w="506"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Dirección General de la Secretaría del MTOP</w:t>
            </w:r>
          </w:p>
        </w:tc>
        <w:tc>
          <w:tcPr>
            <w:tcW w:w="1137" w:type="pct"/>
          </w:tcPr>
          <w:p w:rsidR="007606FA" w:rsidRPr="00976BFF" w:rsidRDefault="007606FA" w:rsidP="005B6CB8">
            <w:pPr>
              <w:rPr>
                <w:rFonts w:ascii="Times New Roman" w:hAnsi="Times New Roman" w:cs="Times New Roman"/>
                <w:lang w:val="es-ES_tradnl"/>
              </w:rPr>
            </w:pPr>
            <w:r w:rsidRPr="00976BFF">
              <w:rPr>
                <w:rFonts w:ascii="Times New Roman" w:hAnsi="Times New Roman" w:cs="Times New Roman"/>
                <w:lang w:val="es-ES_tradnl"/>
              </w:rPr>
              <w:t>Se logrará cuando</w:t>
            </w:r>
            <w:r w:rsidR="005B6CB8">
              <w:rPr>
                <w:rFonts w:ascii="Times New Roman" w:hAnsi="Times New Roman" w:cs="Times New Roman"/>
                <w:lang w:val="es-ES_tradnl"/>
              </w:rPr>
              <w:t>:</w:t>
            </w:r>
            <w:r w:rsidRPr="00976BFF">
              <w:rPr>
                <w:rFonts w:ascii="Times New Roman" w:hAnsi="Times New Roman" w:cs="Times New Roman"/>
                <w:lang w:val="es-ES_tradnl"/>
              </w:rPr>
              <w:t xml:space="preserve"> i) el </w:t>
            </w:r>
            <w:r w:rsidR="005B6CB8">
              <w:rPr>
                <w:rFonts w:ascii="Times New Roman" w:hAnsi="Times New Roman" w:cs="Times New Roman"/>
                <w:lang w:val="es-ES_tradnl"/>
              </w:rPr>
              <w:t>d</w:t>
            </w:r>
            <w:r w:rsidR="005B6CB8" w:rsidRPr="00976BFF">
              <w:rPr>
                <w:rFonts w:ascii="Times New Roman" w:hAnsi="Times New Roman" w:cs="Times New Roman"/>
                <w:lang w:val="es-ES_tradnl"/>
              </w:rPr>
              <w:t xml:space="preserve">irector </w:t>
            </w:r>
            <w:r w:rsidRPr="00976BFF">
              <w:rPr>
                <w:rFonts w:ascii="Times New Roman" w:hAnsi="Times New Roman" w:cs="Times New Roman"/>
                <w:lang w:val="es-ES_tradnl"/>
              </w:rPr>
              <w:t>general del MTOP apruebe el plan de fortalecimiento de la capacidad</w:t>
            </w:r>
            <w:r w:rsidR="005B6CB8">
              <w:rPr>
                <w:rFonts w:ascii="Times New Roman" w:hAnsi="Times New Roman" w:cs="Times New Roman"/>
                <w:lang w:val="es-ES_tradnl"/>
              </w:rPr>
              <w:t>;</w:t>
            </w:r>
            <w:r w:rsidR="005B6CB8" w:rsidRPr="00976BFF">
              <w:rPr>
                <w:rFonts w:ascii="Times New Roman" w:hAnsi="Times New Roman" w:cs="Times New Roman"/>
                <w:lang w:val="es-ES_tradnl"/>
              </w:rPr>
              <w:t xml:space="preserve"> </w:t>
            </w:r>
            <w:r w:rsidRPr="00976BFF">
              <w:rPr>
                <w:rFonts w:ascii="Times New Roman" w:hAnsi="Times New Roman" w:cs="Times New Roman"/>
                <w:lang w:val="es-ES_tradnl"/>
              </w:rPr>
              <w:t xml:space="preserve">ii) todo el personal de la Unidad de Auditoría Interna haya recibido capacitación en auditorías basadas en los riesgos, según lo demuestre el material de capacitación y el registro de asistencia de los participantes, </w:t>
            </w:r>
            <w:r w:rsidR="005B6CB8">
              <w:rPr>
                <w:rFonts w:ascii="Times New Roman" w:hAnsi="Times New Roman" w:cs="Times New Roman"/>
                <w:lang w:val="es-ES_tradnl"/>
              </w:rPr>
              <w:t xml:space="preserve">y </w:t>
            </w:r>
            <w:r w:rsidRPr="00976BFF">
              <w:rPr>
                <w:rFonts w:ascii="Times New Roman" w:hAnsi="Times New Roman" w:cs="Times New Roman"/>
                <w:lang w:val="es-ES_tradnl"/>
              </w:rPr>
              <w:t>iii) la Unidad de Auditoría Interna presente su primer informe de auditoría basada en los riesgos.</w:t>
            </w:r>
          </w:p>
        </w:tc>
      </w:tr>
      <w:tr w:rsidR="007606FA" w:rsidRPr="001E1C20">
        <w:tc>
          <w:tcPr>
            <w:tcW w:w="2336" w:type="pct"/>
          </w:tcPr>
          <w:p w:rsidR="007606FA" w:rsidRPr="00976BFF" w:rsidRDefault="007606FA" w:rsidP="007A653A">
            <w:pPr>
              <w:pStyle w:val="ListParagraph"/>
              <w:numPr>
                <w:ilvl w:val="2"/>
                <w:numId w:val="8"/>
              </w:numPr>
              <w:rPr>
                <w:rFonts w:ascii="Times New Roman" w:hAnsi="Times New Roman" w:cs="Times New Roman"/>
                <w:b/>
                <w:lang w:val="es-ES_tradnl"/>
              </w:rPr>
            </w:pPr>
            <w:r w:rsidRPr="00976BFF">
              <w:rPr>
                <w:rFonts w:ascii="Times New Roman" w:hAnsi="Times New Roman" w:cs="Times New Roman"/>
                <w:b/>
                <w:lang w:val="es-ES_tradnl"/>
              </w:rPr>
              <w:t xml:space="preserve">Reducción de la duración de los procesos de licitación </w:t>
            </w:r>
          </w:p>
          <w:p w:rsidR="007606FA" w:rsidRPr="00976BFF" w:rsidRDefault="007606FA" w:rsidP="00AC4C37">
            <w:pPr>
              <w:pStyle w:val="ListParagraph"/>
              <w:rPr>
                <w:rFonts w:ascii="Times New Roman" w:hAnsi="Times New Roman" w:cs="Times New Roman"/>
                <w:lang w:val="es-ES_tradnl"/>
              </w:rPr>
            </w:pPr>
            <w:r w:rsidRPr="00976BFF">
              <w:rPr>
                <w:rFonts w:ascii="Times New Roman" w:hAnsi="Times New Roman" w:cs="Times New Roman"/>
                <w:lang w:val="es-ES_tradnl"/>
              </w:rPr>
              <w:t>Elaborar un diagnóstico detallado de las instancias intermedias entre la evaluación de las ofertas y la adjudicación del contrato para identificar los obstáculos y abrir oportunidades para mejorar la efic</w:t>
            </w:r>
            <w:r w:rsidR="00AC4C37">
              <w:rPr>
                <w:rFonts w:ascii="Times New Roman" w:hAnsi="Times New Roman" w:cs="Times New Roman"/>
                <w:lang w:val="es-ES_tradnl"/>
              </w:rPr>
              <w:t>ien</w:t>
            </w:r>
            <w:r w:rsidRPr="00976BFF">
              <w:rPr>
                <w:rFonts w:ascii="Times New Roman" w:hAnsi="Times New Roman" w:cs="Times New Roman"/>
                <w:lang w:val="es-ES_tradnl"/>
              </w:rPr>
              <w:t>cia y el desempeño.</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12/2014</w:t>
            </w:r>
          </w:p>
        </w:tc>
        <w:tc>
          <w:tcPr>
            <w:tcW w:w="506"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Dirección General de la Secretaría del MTOP</w:t>
            </w:r>
          </w:p>
        </w:tc>
        <w:tc>
          <w:tcPr>
            <w:tcW w:w="1137" w:type="pct"/>
          </w:tcPr>
          <w:p w:rsidR="007606FA" w:rsidRPr="00976BFF" w:rsidRDefault="007606FA" w:rsidP="00AC4C37">
            <w:pPr>
              <w:rPr>
                <w:rFonts w:ascii="Times New Roman" w:hAnsi="Times New Roman" w:cs="Times New Roman"/>
                <w:lang w:val="es-ES_tradnl"/>
              </w:rPr>
            </w:pPr>
            <w:r w:rsidRPr="00976BFF">
              <w:rPr>
                <w:rFonts w:ascii="Times New Roman" w:hAnsi="Times New Roman" w:cs="Times New Roman"/>
                <w:lang w:val="es-ES_tradnl"/>
              </w:rPr>
              <w:t>Se presentó un informe detallado de evaluación, incluidas recomendaciones, y fue objeto de consultas con las principales partes interesadas en la esfera de las adquisiciones, según lo demuestra el acta de las consultas.</w:t>
            </w:r>
          </w:p>
        </w:tc>
      </w:tr>
      <w:tr w:rsidR="007606FA" w:rsidRPr="00976BFF">
        <w:tc>
          <w:tcPr>
            <w:tcW w:w="2336" w:type="pct"/>
            <w:shd w:val="clear" w:color="auto" w:fill="D9D9D9" w:themeFill="background1" w:themeFillShade="D9"/>
          </w:tcPr>
          <w:p w:rsidR="007606FA" w:rsidRPr="00976BFF" w:rsidRDefault="007606FA" w:rsidP="007A653A">
            <w:pPr>
              <w:rPr>
                <w:rFonts w:ascii="Times New Roman" w:hAnsi="Times New Roman" w:cs="Times New Roman"/>
                <w:b/>
                <w:i/>
                <w:lang w:val="es-ES_tradnl"/>
              </w:rPr>
            </w:pPr>
            <w:r w:rsidRPr="00976BFF">
              <w:rPr>
                <w:rFonts w:ascii="Times New Roman" w:hAnsi="Times New Roman" w:cs="Times New Roman"/>
                <w:b/>
                <w:i/>
                <w:lang w:val="es-ES_tradnl"/>
              </w:rPr>
              <w:t>Área ambiental y social</w:t>
            </w:r>
          </w:p>
        </w:tc>
        <w:tc>
          <w:tcPr>
            <w:tcW w:w="296"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315"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409"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506"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1137"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r>
      <w:tr w:rsidR="007606FA" w:rsidRPr="001E1C20">
        <w:tc>
          <w:tcPr>
            <w:tcW w:w="2336" w:type="pct"/>
          </w:tcPr>
          <w:p w:rsidR="007606FA" w:rsidRPr="00976BFF" w:rsidRDefault="007606FA" w:rsidP="007A653A">
            <w:pPr>
              <w:pStyle w:val="ListParagraph"/>
              <w:numPr>
                <w:ilvl w:val="2"/>
                <w:numId w:val="8"/>
              </w:numPr>
              <w:rPr>
                <w:rFonts w:ascii="Times New Roman" w:hAnsi="Times New Roman" w:cs="Times New Roman"/>
                <w:b/>
                <w:lang w:val="es-ES_tradnl"/>
              </w:rPr>
            </w:pPr>
            <w:r w:rsidRPr="00976BFF">
              <w:rPr>
                <w:rFonts w:ascii="Times New Roman" w:hAnsi="Times New Roman" w:cs="Times New Roman"/>
                <w:b/>
                <w:lang w:val="es-ES_tradnl"/>
              </w:rPr>
              <w:t>Elaboración de auditorías ambientales de las obras</w:t>
            </w:r>
          </w:p>
          <w:p w:rsidR="007606FA" w:rsidRPr="00976BFF" w:rsidRDefault="007606FA" w:rsidP="007A653A">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Realizar una auditoría ambiental cada seis meses en contratos seleccionados del </w:t>
            </w:r>
            <w:r w:rsidR="008A1019">
              <w:rPr>
                <w:rFonts w:ascii="Times New Roman" w:hAnsi="Times New Roman" w:cs="Times New Roman"/>
                <w:lang w:val="es-ES_tradnl"/>
              </w:rPr>
              <w:t>programa</w:t>
            </w:r>
            <w:r w:rsidRPr="00976BFF">
              <w:rPr>
                <w:rFonts w:ascii="Times New Roman" w:hAnsi="Times New Roman" w:cs="Times New Roman"/>
                <w:lang w:val="es-ES_tradnl"/>
              </w:rPr>
              <w:t>.</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12/2015</w:t>
            </w:r>
          </w:p>
        </w:tc>
        <w:tc>
          <w:tcPr>
            <w:tcW w:w="506"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DNV</w:t>
            </w:r>
          </w:p>
        </w:tc>
        <w:tc>
          <w:tcPr>
            <w:tcW w:w="1137"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Se logrará cuando: i) estén disponibles los informes semestrales de auditoría ambiental para una muestra (30%) de los contratos de obras en ejecución</w:t>
            </w:r>
            <w:r w:rsidR="005B6CB8">
              <w:rPr>
                <w:rFonts w:ascii="Times New Roman" w:hAnsi="Times New Roman" w:cs="Times New Roman"/>
                <w:lang w:val="es-ES_tradnl"/>
              </w:rPr>
              <w:t>,</w:t>
            </w:r>
            <w:r w:rsidRPr="00976BFF">
              <w:rPr>
                <w:rFonts w:ascii="Times New Roman" w:hAnsi="Times New Roman" w:cs="Times New Roman"/>
                <w:lang w:val="es-ES_tradnl"/>
              </w:rPr>
              <w:t xml:space="preserve"> y ii) se haya contratado a un especialista ambiental en la UAV.</w:t>
            </w:r>
          </w:p>
          <w:p w:rsidR="007606FA" w:rsidRPr="00976BFF" w:rsidRDefault="007606FA" w:rsidP="007A653A">
            <w:pPr>
              <w:rPr>
                <w:rFonts w:ascii="Times New Roman" w:hAnsi="Times New Roman" w:cs="Times New Roman"/>
                <w:lang w:val="es-ES_tradnl"/>
              </w:rPr>
            </w:pPr>
          </w:p>
        </w:tc>
      </w:tr>
      <w:tr w:rsidR="007606FA" w:rsidRPr="00976BFF">
        <w:tc>
          <w:tcPr>
            <w:tcW w:w="2336" w:type="pct"/>
            <w:shd w:val="clear" w:color="auto" w:fill="D9D9D9" w:themeFill="background1" w:themeFillShade="D9"/>
          </w:tcPr>
          <w:p w:rsidR="007606FA" w:rsidRPr="00976BFF" w:rsidRDefault="007606FA" w:rsidP="007A653A">
            <w:pPr>
              <w:rPr>
                <w:rFonts w:ascii="Times New Roman" w:hAnsi="Times New Roman" w:cs="Times New Roman"/>
                <w:b/>
                <w:i/>
                <w:lang w:val="es-ES_tradnl"/>
              </w:rPr>
            </w:pPr>
            <w:r w:rsidRPr="00976BFF">
              <w:rPr>
                <w:rFonts w:ascii="Times New Roman" w:hAnsi="Times New Roman" w:cs="Times New Roman"/>
                <w:b/>
                <w:i/>
                <w:lang w:val="es-ES_tradnl"/>
              </w:rPr>
              <w:t>Áreas transversales</w:t>
            </w:r>
          </w:p>
        </w:tc>
        <w:tc>
          <w:tcPr>
            <w:tcW w:w="296"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315" w:type="pct"/>
            <w:shd w:val="clear" w:color="auto" w:fill="D9D9D9" w:themeFill="background1" w:themeFillShade="D9"/>
          </w:tcPr>
          <w:p w:rsidR="007606FA" w:rsidRPr="00976BFF" w:rsidRDefault="007606FA" w:rsidP="007A653A">
            <w:pPr>
              <w:jc w:val="center"/>
              <w:rPr>
                <w:rFonts w:ascii="Times New Roman" w:hAnsi="Times New Roman" w:cs="Times New Roman"/>
                <w:sz w:val="24"/>
                <w:szCs w:val="24"/>
                <w:lang w:val="es-ES_tradnl"/>
              </w:rPr>
            </w:pPr>
          </w:p>
        </w:tc>
        <w:tc>
          <w:tcPr>
            <w:tcW w:w="409"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506"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c>
          <w:tcPr>
            <w:tcW w:w="1137" w:type="pct"/>
            <w:shd w:val="clear" w:color="auto" w:fill="D9D9D9" w:themeFill="background1" w:themeFillShade="D9"/>
          </w:tcPr>
          <w:p w:rsidR="007606FA" w:rsidRPr="00976BFF" w:rsidRDefault="007606FA" w:rsidP="007A653A">
            <w:pPr>
              <w:rPr>
                <w:rFonts w:ascii="Times New Roman" w:hAnsi="Times New Roman" w:cs="Times New Roman"/>
                <w:lang w:val="es-ES_tradnl"/>
              </w:rPr>
            </w:pPr>
          </w:p>
        </w:tc>
      </w:tr>
      <w:tr w:rsidR="007606FA" w:rsidRPr="001E1C20">
        <w:tc>
          <w:tcPr>
            <w:tcW w:w="2336" w:type="pct"/>
          </w:tcPr>
          <w:p w:rsidR="007606FA" w:rsidRPr="00976BFF" w:rsidRDefault="007606FA" w:rsidP="007A653A">
            <w:pPr>
              <w:pStyle w:val="ListParagraph"/>
              <w:numPr>
                <w:ilvl w:val="2"/>
                <w:numId w:val="8"/>
              </w:numPr>
              <w:rPr>
                <w:rFonts w:ascii="Times New Roman" w:hAnsi="Times New Roman" w:cs="Times New Roman"/>
                <w:b/>
                <w:lang w:val="es-ES_tradnl"/>
              </w:rPr>
            </w:pPr>
            <w:r w:rsidRPr="00976BFF">
              <w:rPr>
                <w:rFonts w:ascii="Times New Roman" w:hAnsi="Times New Roman" w:cs="Times New Roman"/>
                <w:b/>
                <w:lang w:val="es-ES_tradnl"/>
              </w:rPr>
              <w:t xml:space="preserve">Mejoramiento de los mecanismos de reclamación y quejas </w:t>
            </w:r>
          </w:p>
          <w:p w:rsidR="007606FA" w:rsidRPr="00976BFF" w:rsidRDefault="007606FA" w:rsidP="007A653A">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i) Institucionalizar el proceso de resolución de quejas y reclamaciones relacionadas con la ejecución del </w:t>
            </w:r>
            <w:r w:rsidR="008A1019">
              <w:rPr>
                <w:rFonts w:ascii="Times New Roman" w:hAnsi="Times New Roman" w:cs="Times New Roman"/>
                <w:lang w:val="es-ES_tradnl"/>
              </w:rPr>
              <w:t>programa</w:t>
            </w:r>
            <w:r w:rsidR="005B6CB8">
              <w:rPr>
                <w:rFonts w:ascii="Times New Roman" w:hAnsi="Times New Roman" w:cs="Times New Roman"/>
                <w:lang w:val="es-ES_tradnl"/>
              </w:rPr>
              <w:t>,</w:t>
            </w:r>
            <w:r w:rsidRPr="00976BFF">
              <w:rPr>
                <w:rFonts w:ascii="Times New Roman" w:hAnsi="Times New Roman" w:cs="Times New Roman"/>
                <w:lang w:val="es-ES_tradnl"/>
              </w:rPr>
              <w:t xml:space="preserve"> y ii) crear y mantener una base de datos para </w:t>
            </w:r>
            <w:r w:rsidR="00AC4C37">
              <w:rPr>
                <w:rFonts w:ascii="Times New Roman" w:hAnsi="Times New Roman" w:cs="Times New Roman"/>
                <w:lang w:val="es-ES_tradnl"/>
              </w:rPr>
              <w:t xml:space="preserve">supervisar y </w:t>
            </w:r>
            <w:r w:rsidRPr="00976BFF">
              <w:rPr>
                <w:rFonts w:ascii="Times New Roman" w:hAnsi="Times New Roman" w:cs="Times New Roman"/>
                <w:lang w:val="es-ES_tradnl"/>
              </w:rPr>
              <w:t xml:space="preserve">realizar un seguimiento de estas quejas y reclamaciones, incluidas las relativas a los procesos de adquisiciones, la ejecución de las obras y las cuestiones ambientales y sociales. </w:t>
            </w: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Del="00B17D32"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12/2014</w:t>
            </w:r>
          </w:p>
        </w:tc>
        <w:tc>
          <w:tcPr>
            <w:tcW w:w="506" w:type="pct"/>
          </w:tcPr>
          <w:p w:rsidR="007606FA" w:rsidRPr="00976BFF" w:rsidDel="00B17D32" w:rsidRDefault="007606FA" w:rsidP="005B6CB8">
            <w:pPr>
              <w:rPr>
                <w:rFonts w:ascii="Times New Roman" w:hAnsi="Times New Roman" w:cs="Times New Roman"/>
                <w:lang w:val="es-ES_tradnl"/>
              </w:rPr>
            </w:pPr>
            <w:r w:rsidRPr="00976BFF">
              <w:rPr>
                <w:rFonts w:ascii="Times New Roman" w:hAnsi="Times New Roman" w:cs="Times New Roman"/>
                <w:lang w:val="es-ES_tradnl"/>
              </w:rPr>
              <w:t xml:space="preserve">Unidad de </w:t>
            </w:r>
            <w:r w:rsidR="005B6CB8">
              <w:rPr>
                <w:rFonts w:ascii="Times New Roman" w:hAnsi="Times New Roman" w:cs="Times New Roman"/>
                <w:lang w:val="es-ES_tradnl"/>
              </w:rPr>
              <w:t>A</w:t>
            </w:r>
            <w:r w:rsidR="005B6CB8" w:rsidRPr="00976BFF">
              <w:rPr>
                <w:rFonts w:ascii="Times New Roman" w:hAnsi="Times New Roman" w:cs="Times New Roman"/>
                <w:lang w:val="es-ES_tradnl"/>
              </w:rPr>
              <w:t xml:space="preserve">cceso </w:t>
            </w:r>
            <w:r w:rsidRPr="00976BFF">
              <w:rPr>
                <w:rFonts w:ascii="Times New Roman" w:hAnsi="Times New Roman" w:cs="Times New Roman"/>
                <w:lang w:val="es-ES_tradnl"/>
              </w:rPr>
              <w:t xml:space="preserve">a la </w:t>
            </w:r>
            <w:r w:rsidR="005B6CB8">
              <w:rPr>
                <w:rFonts w:ascii="Times New Roman" w:hAnsi="Times New Roman" w:cs="Times New Roman"/>
                <w:lang w:val="es-ES_tradnl"/>
              </w:rPr>
              <w:t>I</w:t>
            </w:r>
            <w:r w:rsidR="005B6CB8" w:rsidRPr="00976BFF">
              <w:rPr>
                <w:rFonts w:ascii="Times New Roman" w:hAnsi="Times New Roman" w:cs="Times New Roman"/>
                <w:lang w:val="es-ES_tradnl"/>
              </w:rPr>
              <w:t xml:space="preserve">nformación </w:t>
            </w:r>
            <w:r w:rsidR="005B6CB8">
              <w:rPr>
                <w:rFonts w:ascii="Times New Roman" w:hAnsi="Times New Roman" w:cs="Times New Roman"/>
                <w:lang w:val="es-ES_tradnl"/>
              </w:rPr>
              <w:t>P</w:t>
            </w:r>
            <w:r w:rsidR="005B6CB8" w:rsidRPr="00976BFF">
              <w:rPr>
                <w:rFonts w:ascii="Times New Roman" w:hAnsi="Times New Roman" w:cs="Times New Roman"/>
                <w:lang w:val="es-ES_tradnl"/>
              </w:rPr>
              <w:t xml:space="preserve">ública </w:t>
            </w:r>
            <w:r w:rsidRPr="00976BFF">
              <w:rPr>
                <w:rFonts w:ascii="Times New Roman" w:hAnsi="Times New Roman" w:cs="Times New Roman"/>
                <w:lang w:val="es-ES_tradnl"/>
              </w:rPr>
              <w:t>del MTOP</w:t>
            </w:r>
          </w:p>
        </w:tc>
        <w:tc>
          <w:tcPr>
            <w:tcW w:w="1137" w:type="pct"/>
          </w:tcPr>
          <w:p w:rsidR="007606FA" w:rsidRPr="00976BFF" w:rsidDel="00B17D32" w:rsidRDefault="007606FA" w:rsidP="005B6CB8">
            <w:pPr>
              <w:rPr>
                <w:rFonts w:ascii="Times New Roman" w:hAnsi="Times New Roman" w:cs="Times New Roman"/>
                <w:lang w:val="es-ES_tradnl"/>
              </w:rPr>
            </w:pPr>
            <w:r w:rsidRPr="00976BFF">
              <w:rPr>
                <w:rFonts w:ascii="Times New Roman" w:hAnsi="Times New Roman" w:cs="Times New Roman"/>
                <w:lang w:val="es-ES_tradnl"/>
              </w:rPr>
              <w:t>Se logrará cuando</w:t>
            </w:r>
            <w:r w:rsidR="005B6CB8">
              <w:rPr>
                <w:rFonts w:ascii="Times New Roman" w:hAnsi="Times New Roman" w:cs="Times New Roman"/>
                <w:lang w:val="es-ES_tradnl"/>
              </w:rPr>
              <w:t>:</w:t>
            </w:r>
            <w:r w:rsidRPr="00976BFF">
              <w:rPr>
                <w:rFonts w:ascii="Times New Roman" w:hAnsi="Times New Roman" w:cs="Times New Roman"/>
                <w:lang w:val="es-ES_tradnl"/>
              </w:rPr>
              <w:t xml:space="preserve"> i) se definan el proceso y las responsabilidades conexas, y ello quede plasmado en una resolución del </w:t>
            </w:r>
            <w:r w:rsidR="005B6CB8">
              <w:rPr>
                <w:rFonts w:ascii="Times New Roman" w:hAnsi="Times New Roman" w:cs="Times New Roman"/>
                <w:lang w:val="es-ES_tradnl"/>
              </w:rPr>
              <w:t>d</w:t>
            </w:r>
            <w:r w:rsidR="005B6CB8" w:rsidRPr="00976BFF">
              <w:rPr>
                <w:rFonts w:ascii="Times New Roman" w:hAnsi="Times New Roman" w:cs="Times New Roman"/>
                <w:lang w:val="es-ES_tradnl"/>
              </w:rPr>
              <w:t xml:space="preserve">irector </w:t>
            </w:r>
            <w:r w:rsidR="005B6CB8">
              <w:rPr>
                <w:rFonts w:ascii="Times New Roman" w:hAnsi="Times New Roman" w:cs="Times New Roman"/>
                <w:lang w:val="es-ES_tradnl"/>
              </w:rPr>
              <w:t>g</w:t>
            </w:r>
            <w:r w:rsidR="005B6CB8" w:rsidRPr="00976BFF">
              <w:rPr>
                <w:rFonts w:ascii="Times New Roman" w:hAnsi="Times New Roman" w:cs="Times New Roman"/>
                <w:lang w:val="es-ES_tradnl"/>
              </w:rPr>
              <w:t xml:space="preserve">eneral </w:t>
            </w:r>
            <w:r w:rsidRPr="00976BFF">
              <w:rPr>
                <w:rFonts w:ascii="Times New Roman" w:hAnsi="Times New Roman" w:cs="Times New Roman"/>
                <w:lang w:val="es-ES_tradnl"/>
              </w:rPr>
              <w:t>del MTOP, y ii) la bas</w:t>
            </w:r>
            <w:r w:rsidR="001C47AE">
              <w:rPr>
                <w:rFonts w:ascii="Times New Roman" w:hAnsi="Times New Roman" w:cs="Times New Roman"/>
                <w:lang w:val="es-ES_tradnl"/>
              </w:rPr>
              <w:t>e de datos sea operativa, según</w:t>
            </w:r>
            <w:r w:rsidRPr="00976BFF">
              <w:rPr>
                <w:rFonts w:ascii="Times New Roman" w:hAnsi="Times New Roman" w:cs="Times New Roman"/>
                <w:lang w:val="es-ES_tradnl"/>
              </w:rPr>
              <w:t xml:space="preserve"> lo demuestren los dos primeros informes semestrales presentados por el MTOP.</w:t>
            </w:r>
          </w:p>
        </w:tc>
      </w:tr>
      <w:tr w:rsidR="007606FA" w:rsidRPr="001E1C20">
        <w:tc>
          <w:tcPr>
            <w:tcW w:w="2336" w:type="pct"/>
          </w:tcPr>
          <w:p w:rsidR="007606FA" w:rsidRPr="00976BFF" w:rsidRDefault="007606FA" w:rsidP="007A653A">
            <w:pPr>
              <w:pStyle w:val="ListParagraph"/>
              <w:numPr>
                <w:ilvl w:val="2"/>
                <w:numId w:val="8"/>
              </w:numPr>
              <w:rPr>
                <w:rFonts w:ascii="Times New Roman" w:hAnsi="Times New Roman" w:cs="Times New Roman"/>
                <w:b/>
                <w:lang w:val="es-ES_tradnl"/>
              </w:rPr>
            </w:pPr>
            <w:r w:rsidRPr="00976BFF">
              <w:rPr>
                <w:rFonts w:ascii="Times New Roman" w:hAnsi="Times New Roman" w:cs="Times New Roman"/>
                <w:b/>
                <w:lang w:val="es-ES_tradnl"/>
              </w:rPr>
              <w:t>Fortalecimiento de la comunicación con la sociedad civil</w:t>
            </w:r>
          </w:p>
          <w:p w:rsidR="007606FA" w:rsidRPr="00976BFF" w:rsidRDefault="007606FA" w:rsidP="007A653A">
            <w:pPr>
              <w:pStyle w:val="ListParagraph"/>
              <w:rPr>
                <w:rFonts w:ascii="Times New Roman" w:hAnsi="Times New Roman" w:cs="Times New Roman"/>
                <w:lang w:val="es-ES_tradnl"/>
              </w:rPr>
            </w:pPr>
            <w:r w:rsidRPr="00976BFF">
              <w:rPr>
                <w:rFonts w:ascii="Times New Roman" w:hAnsi="Times New Roman" w:cs="Times New Roman"/>
                <w:lang w:val="es-ES_tradnl"/>
              </w:rPr>
              <w:t xml:space="preserve">i) Realizar una encuesta anual </w:t>
            </w:r>
            <w:r w:rsidR="00AC4C37">
              <w:rPr>
                <w:rFonts w:ascii="Times New Roman" w:hAnsi="Times New Roman" w:cs="Times New Roman"/>
                <w:lang w:val="es-ES_tradnl"/>
              </w:rPr>
              <w:t>de</w:t>
            </w:r>
            <w:r w:rsidRPr="00976BFF">
              <w:rPr>
                <w:rFonts w:ascii="Times New Roman" w:hAnsi="Times New Roman" w:cs="Times New Roman"/>
                <w:lang w:val="es-ES_tradnl"/>
              </w:rPr>
              <w:t xml:space="preserve"> satisfacción de</w:t>
            </w:r>
            <w:r w:rsidR="00AC4C37">
              <w:rPr>
                <w:rFonts w:ascii="Times New Roman" w:hAnsi="Times New Roman" w:cs="Times New Roman"/>
                <w:lang w:val="es-ES_tradnl"/>
              </w:rPr>
              <w:t>l</w:t>
            </w:r>
            <w:r w:rsidRPr="00976BFF">
              <w:rPr>
                <w:rFonts w:ascii="Times New Roman" w:hAnsi="Times New Roman" w:cs="Times New Roman"/>
                <w:lang w:val="es-ES_tradnl"/>
              </w:rPr>
              <w:t xml:space="preserve"> usuario vial</w:t>
            </w:r>
            <w:r w:rsidR="005B6CB8">
              <w:rPr>
                <w:rFonts w:ascii="Times New Roman" w:hAnsi="Times New Roman" w:cs="Times New Roman"/>
                <w:lang w:val="es-ES_tradnl"/>
              </w:rPr>
              <w:t>,</w:t>
            </w:r>
            <w:r w:rsidRPr="00976BFF">
              <w:rPr>
                <w:rFonts w:ascii="Times New Roman" w:hAnsi="Times New Roman" w:cs="Times New Roman"/>
                <w:lang w:val="es-ES_tradnl"/>
              </w:rPr>
              <w:t xml:space="preserve"> y ii) aplicar una estrategia de comunicación para brindar información sobre las actividades de rehabilitación vial en el marco del </w:t>
            </w:r>
            <w:r w:rsidR="008A1019">
              <w:rPr>
                <w:rFonts w:ascii="Times New Roman" w:hAnsi="Times New Roman" w:cs="Times New Roman"/>
                <w:lang w:val="es-ES_tradnl"/>
              </w:rPr>
              <w:t>programa</w:t>
            </w:r>
            <w:r w:rsidRPr="00976BFF">
              <w:rPr>
                <w:rFonts w:ascii="Times New Roman" w:hAnsi="Times New Roman" w:cs="Times New Roman"/>
                <w:lang w:val="es-ES_tradnl"/>
              </w:rPr>
              <w:t>.</w:t>
            </w:r>
          </w:p>
          <w:p w:rsidR="007606FA" w:rsidRPr="00976BFF" w:rsidRDefault="007606FA" w:rsidP="007A653A">
            <w:pPr>
              <w:pStyle w:val="ListParagraph"/>
              <w:rPr>
                <w:rFonts w:ascii="Times New Roman" w:hAnsi="Times New Roman" w:cs="Times New Roman"/>
                <w:lang w:val="es-ES_tradnl"/>
              </w:rPr>
            </w:pPr>
          </w:p>
        </w:tc>
        <w:tc>
          <w:tcPr>
            <w:tcW w:w="296"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315" w:type="pct"/>
          </w:tcPr>
          <w:p w:rsidR="007606FA" w:rsidRPr="00976BFF" w:rsidRDefault="00EF1F28" w:rsidP="007A653A">
            <w:pPr>
              <w:jc w:val="center"/>
              <w:rPr>
                <w:rFonts w:ascii="Times New Roman" w:hAnsi="Times New Roman" w:cs="Times New Roman"/>
                <w:sz w:val="24"/>
                <w:szCs w:val="24"/>
                <w:lang w:val="es-ES_tradnl"/>
              </w:rPr>
            </w:pPr>
            <w:r w:rsidRPr="00976BFF">
              <w:rPr>
                <w:rFonts w:ascii="Times New Roman" w:hAnsi="Times New Roman" w:cs="Times New Roman"/>
                <w:sz w:val="24"/>
                <w:szCs w:val="24"/>
                <w:lang w:val="es-ES_tradnl"/>
              </w:rPr>
              <w:fldChar w:fldCharType="begin">
                <w:ffData>
                  <w:name w:val="Check1"/>
                  <w:enabled/>
                  <w:calcOnExit w:val="0"/>
                  <w:checkBox>
                    <w:sizeAuto/>
                    <w:default w:val="0"/>
                  </w:checkBox>
                </w:ffData>
              </w:fldChar>
            </w:r>
            <w:r w:rsidR="007606FA" w:rsidRPr="00976BFF">
              <w:rPr>
                <w:rFonts w:ascii="Times New Roman" w:hAnsi="Times New Roman" w:cs="Times New Roman"/>
                <w:sz w:val="24"/>
                <w:szCs w:val="24"/>
                <w:lang w:val="es-ES_tradnl"/>
              </w:rPr>
              <w:instrText xml:space="preserve"> FORMCHECKBOX </w:instrText>
            </w:r>
            <w:r w:rsidRPr="00976BFF">
              <w:rPr>
                <w:rFonts w:ascii="Times New Roman" w:hAnsi="Times New Roman" w:cs="Times New Roman"/>
                <w:sz w:val="24"/>
                <w:szCs w:val="24"/>
                <w:lang w:val="es-ES_tradnl"/>
              </w:rPr>
            </w:r>
            <w:r w:rsidRPr="00976BFF">
              <w:rPr>
                <w:rFonts w:ascii="Times New Roman" w:hAnsi="Times New Roman" w:cs="Times New Roman"/>
                <w:sz w:val="24"/>
                <w:szCs w:val="24"/>
                <w:lang w:val="es-ES_tradnl"/>
              </w:rPr>
              <w:fldChar w:fldCharType="end"/>
            </w:r>
          </w:p>
        </w:tc>
        <w:tc>
          <w:tcPr>
            <w:tcW w:w="409"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12/2015</w:t>
            </w:r>
          </w:p>
          <w:p w:rsidR="007606FA" w:rsidRPr="00976BFF" w:rsidDel="00B17D32" w:rsidRDefault="007606FA" w:rsidP="007A653A">
            <w:pPr>
              <w:rPr>
                <w:rFonts w:ascii="Times New Roman" w:hAnsi="Times New Roman" w:cs="Times New Roman"/>
                <w:lang w:val="es-ES_tradnl"/>
              </w:rPr>
            </w:pPr>
          </w:p>
        </w:tc>
        <w:tc>
          <w:tcPr>
            <w:tcW w:w="506" w:type="pct"/>
          </w:tcPr>
          <w:p w:rsidR="007606FA" w:rsidRPr="00976BFF" w:rsidDel="00B17D32" w:rsidRDefault="007606FA" w:rsidP="007A653A">
            <w:pPr>
              <w:rPr>
                <w:rFonts w:ascii="Times New Roman" w:hAnsi="Times New Roman" w:cs="Times New Roman"/>
                <w:lang w:val="es-ES_tradnl"/>
              </w:rPr>
            </w:pPr>
            <w:r w:rsidRPr="00976BFF">
              <w:rPr>
                <w:rFonts w:ascii="Times New Roman" w:hAnsi="Times New Roman" w:cs="Times New Roman"/>
                <w:lang w:val="es-ES_tradnl"/>
              </w:rPr>
              <w:t>Dirección General de la Secretaría del MTOP</w:t>
            </w:r>
          </w:p>
        </w:tc>
        <w:tc>
          <w:tcPr>
            <w:tcW w:w="1137" w:type="pct"/>
          </w:tcPr>
          <w:p w:rsidR="007606FA" w:rsidRPr="00976BFF" w:rsidRDefault="007606FA" w:rsidP="007A653A">
            <w:pPr>
              <w:rPr>
                <w:rFonts w:ascii="Times New Roman" w:hAnsi="Times New Roman" w:cs="Times New Roman"/>
                <w:lang w:val="es-ES_tradnl"/>
              </w:rPr>
            </w:pPr>
            <w:r w:rsidRPr="00976BFF">
              <w:rPr>
                <w:rFonts w:ascii="Times New Roman" w:hAnsi="Times New Roman" w:cs="Times New Roman"/>
                <w:lang w:val="es-ES_tradnl"/>
              </w:rPr>
              <w:t>Se logrará cuando</w:t>
            </w:r>
            <w:r w:rsidR="005B6CB8">
              <w:rPr>
                <w:rFonts w:ascii="Times New Roman" w:hAnsi="Times New Roman" w:cs="Times New Roman"/>
                <w:lang w:val="es-ES_tradnl"/>
              </w:rPr>
              <w:t>:</w:t>
            </w:r>
            <w:r w:rsidRPr="00976BFF">
              <w:rPr>
                <w:rFonts w:ascii="Times New Roman" w:hAnsi="Times New Roman" w:cs="Times New Roman"/>
                <w:lang w:val="es-ES_tradnl"/>
              </w:rPr>
              <w:t xml:space="preserve"> i) los resultados de las dos primeras encuestas de satisfacción de</w:t>
            </w:r>
            <w:r w:rsidR="00AC4C37">
              <w:rPr>
                <w:rFonts w:ascii="Times New Roman" w:hAnsi="Times New Roman" w:cs="Times New Roman"/>
                <w:lang w:val="es-ES_tradnl"/>
              </w:rPr>
              <w:t>l</w:t>
            </w:r>
            <w:r w:rsidRPr="00976BFF">
              <w:rPr>
                <w:rFonts w:ascii="Times New Roman" w:hAnsi="Times New Roman" w:cs="Times New Roman"/>
                <w:lang w:val="es-ES_tradnl"/>
              </w:rPr>
              <w:t xml:space="preserve"> usuario se publiquen en el sitio web del MTOP</w:t>
            </w:r>
            <w:r w:rsidR="005B6CB8">
              <w:rPr>
                <w:rFonts w:ascii="Times New Roman" w:hAnsi="Times New Roman" w:cs="Times New Roman"/>
                <w:lang w:val="es-ES_tradnl"/>
              </w:rPr>
              <w:t>, y</w:t>
            </w:r>
            <w:r w:rsidRPr="00976BFF">
              <w:rPr>
                <w:rFonts w:ascii="Times New Roman" w:hAnsi="Times New Roman" w:cs="Times New Roman"/>
                <w:lang w:val="es-ES_tradnl"/>
              </w:rPr>
              <w:t xml:space="preserve"> ii) la DNV mantenga actualizada una página en el sitio web del MTOP que brinde información acerca del </w:t>
            </w:r>
            <w:r w:rsidR="008A1019">
              <w:rPr>
                <w:rFonts w:ascii="Times New Roman" w:hAnsi="Times New Roman" w:cs="Times New Roman"/>
                <w:lang w:val="es-ES_tradnl"/>
              </w:rPr>
              <w:t>programa</w:t>
            </w:r>
            <w:r w:rsidRPr="00976BFF">
              <w:rPr>
                <w:rFonts w:ascii="Times New Roman" w:hAnsi="Times New Roman" w:cs="Times New Roman"/>
                <w:lang w:val="es-ES_tradnl"/>
              </w:rPr>
              <w:t>, incluida una ventana de contacto, obras planificadas y vigentes, información ambiental, estado de las carreteras y resultados.</w:t>
            </w:r>
          </w:p>
          <w:p w:rsidR="007606FA" w:rsidRPr="00976BFF" w:rsidDel="00B17D32" w:rsidRDefault="007606FA" w:rsidP="007A653A">
            <w:pPr>
              <w:rPr>
                <w:rFonts w:ascii="Times New Roman" w:hAnsi="Times New Roman" w:cs="Times New Roman"/>
                <w:lang w:val="es-ES_tradnl"/>
              </w:rPr>
            </w:pPr>
          </w:p>
        </w:tc>
      </w:tr>
    </w:tbl>
    <w:p w:rsidR="007606FA" w:rsidRPr="00976BFF" w:rsidRDefault="007606FA" w:rsidP="007606FA">
      <w:pPr>
        <w:pStyle w:val="NoSpacing"/>
        <w:ind w:left="360"/>
        <w:rPr>
          <w:rFonts w:ascii="Times New Roman" w:hAnsi="Times New Roman" w:cs="Times New Roman"/>
          <w:b/>
          <w:i/>
          <w:lang w:val="es-ES_tradnl"/>
        </w:rPr>
      </w:pPr>
    </w:p>
    <w:p w:rsidR="007606FA" w:rsidRPr="00976BFF" w:rsidRDefault="007606FA" w:rsidP="007606FA">
      <w:pPr>
        <w:pStyle w:val="NoSpacing"/>
        <w:ind w:left="360"/>
        <w:jc w:val="center"/>
        <w:rPr>
          <w:rFonts w:ascii="Times New Roman" w:hAnsi="Times New Roman" w:cs="Times New Roman"/>
          <w:b/>
          <w:lang w:val="es-ES_tradnl"/>
        </w:rPr>
      </w:pPr>
    </w:p>
    <w:p w:rsidR="007606FA" w:rsidRPr="00976BFF" w:rsidRDefault="007606FA" w:rsidP="007606FA">
      <w:pPr>
        <w:spacing w:after="0" w:line="240" w:lineRule="auto"/>
        <w:jc w:val="center"/>
        <w:rPr>
          <w:lang w:val="es-ES_tradnl"/>
        </w:rPr>
        <w:sectPr w:rsidR="007606FA" w:rsidRPr="00976BFF">
          <w:pgSz w:w="15840" w:h="12240" w:orient="landscape"/>
          <w:pgMar w:top="1440" w:right="1440" w:bottom="1440" w:left="1440" w:header="720" w:footer="720" w:gutter="0"/>
          <w:cols w:space="720"/>
          <w:titlePg/>
          <w:docGrid w:linePitch="360"/>
        </w:sectPr>
      </w:pPr>
    </w:p>
    <w:p w:rsidR="007606FA" w:rsidRPr="00976BFF" w:rsidRDefault="00AC4C37" w:rsidP="007606FA">
      <w:pPr>
        <w:pStyle w:val="Heading1"/>
        <w:numPr>
          <w:ilvl w:val="0"/>
          <w:numId w:val="0"/>
        </w:numPr>
        <w:rPr>
          <w:lang w:val="es-ES_tradnl"/>
        </w:rPr>
      </w:pPr>
      <w:bookmarkStart w:id="112" w:name="_Toc344927225"/>
      <w:r>
        <w:rPr>
          <w:lang w:val="es-ES_tradnl"/>
        </w:rPr>
        <w:t>Anexo 9</w:t>
      </w:r>
      <w:r w:rsidR="00E65F78">
        <w:rPr>
          <w:lang w:val="es-ES_tradnl"/>
        </w:rPr>
        <w:t>.</w:t>
      </w:r>
      <w:r>
        <w:rPr>
          <w:lang w:val="es-ES_tradnl"/>
        </w:rPr>
        <w:t xml:space="preserve"> Plan de </w:t>
      </w:r>
      <w:r w:rsidR="003824A7">
        <w:rPr>
          <w:lang w:val="es-ES_tradnl"/>
        </w:rPr>
        <w:t>a</w:t>
      </w:r>
      <w:r w:rsidR="003824A7" w:rsidRPr="00976BFF">
        <w:rPr>
          <w:lang w:val="es-ES_tradnl"/>
        </w:rPr>
        <w:t xml:space="preserve">poyo </w:t>
      </w:r>
      <w:r w:rsidR="007606FA" w:rsidRPr="00976BFF">
        <w:rPr>
          <w:lang w:val="es-ES_tradnl"/>
        </w:rPr>
        <w:t xml:space="preserve">a la </w:t>
      </w:r>
      <w:bookmarkEnd w:id="112"/>
      <w:r w:rsidR="003824A7">
        <w:rPr>
          <w:lang w:val="es-ES_tradnl"/>
        </w:rPr>
        <w:t>e</w:t>
      </w:r>
      <w:r w:rsidR="003824A7" w:rsidRPr="00976BFF">
        <w:rPr>
          <w:lang w:val="es-ES_tradnl"/>
        </w:rPr>
        <w:t>jecución</w:t>
      </w:r>
    </w:p>
    <w:p w:rsidR="007606FA" w:rsidRPr="00976BFF" w:rsidRDefault="007606FA" w:rsidP="007606FA">
      <w:pPr>
        <w:spacing w:after="0" w:line="240" w:lineRule="auto"/>
        <w:jc w:val="center"/>
        <w:rPr>
          <w:rFonts w:ascii="Times New Roman" w:hAnsi="Times New Roman" w:cs="Times New Roman"/>
          <w:b/>
          <w:lang w:val="es-ES_tradnl"/>
        </w:rPr>
      </w:pPr>
    </w:p>
    <w:p w:rsidR="007606FA" w:rsidRPr="00976BFF" w:rsidRDefault="007606FA" w:rsidP="007606FA">
      <w:pPr>
        <w:pStyle w:val="NoSpacing"/>
        <w:rPr>
          <w:rFonts w:ascii="Times New Roman" w:hAnsi="Times New Roman" w:cs="Times New Roman"/>
          <w:lang w:val="es-ES_tradnl"/>
        </w:rPr>
      </w:pPr>
    </w:p>
    <w:p w:rsidR="007606FA" w:rsidRPr="00976BFF" w:rsidRDefault="007606FA" w:rsidP="007606FA">
      <w:pPr>
        <w:jc w:val="both"/>
        <w:rPr>
          <w:rFonts w:ascii="Times New Roman" w:hAnsi="Times New Roman" w:cs="Times New Roman"/>
          <w:lang w:val="es-ES_tradnl"/>
        </w:rPr>
      </w:pPr>
    </w:p>
    <w:p w:rsidR="007606FA" w:rsidRPr="00976BFF" w:rsidRDefault="007606FA" w:rsidP="007606FA">
      <w:pPr>
        <w:pStyle w:val="Annexmain"/>
        <w:numPr>
          <w:ilvl w:val="0"/>
          <w:numId w:val="20"/>
        </w:numPr>
        <w:ind w:left="0" w:firstLine="0"/>
        <w:rPr>
          <w:lang w:val="es-ES_tradnl"/>
        </w:rPr>
      </w:pPr>
      <w:r w:rsidRPr="00976BFF">
        <w:rPr>
          <w:lang w:val="es-ES_tradnl"/>
        </w:rPr>
        <w:t xml:space="preserve">El apoyo a la ejecución que proporcionará el Banco incluirá: a) exámenes de los avances en la ejecución y la consecución de los resultados del </w:t>
      </w:r>
      <w:r w:rsidR="008A1019">
        <w:rPr>
          <w:lang w:val="es-ES_tradnl"/>
        </w:rPr>
        <w:t>programa</w:t>
      </w:r>
      <w:r w:rsidRPr="00976BFF">
        <w:rPr>
          <w:lang w:val="es-ES_tradnl"/>
        </w:rPr>
        <w:t xml:space="preserve"> y los IVD; b) apoyo para cuestiones relativas a la ejecución así como actividades de fortalecimiento de la capacidad institucional; c) seguimiento del desempeño de los sistemas para verificar que sean permanentemente adecuados, a través de informes de seguimiento del </w:t>
      </w:r>
      <w:r w:rsidR="008A1019">
        <w:rPr>
          <w:lang w:val="es-ES_tradnl"/>
        </w:rPr>
        <w:t>programa</w:t>
      </w:r>
      <w:r w:rsidRPr="00976BFF">
        <w:rPr>
          <w:lang w:val="es-ES_tradnl"/>
        </w:rPr>
        <w:t xml:space="preserve">, informes de auditoría y visitas sobre el terreno, y d) seguimiento de los cambios en los riesgos del </w:t>
      </w:r>
      <w:r w:rsidR="00AC4C37">
        <w:rPr>
          <w:lang w:val="es-ES_tradnl"/>
        </w:rPr>
        <w:t>p</w:t>
      </w:r>
      <w:r w:rsidR="009B073D" w:rsidRPr="00976BFF">
        <w:rPr>
          <w:lang w:val="es-ES_tradnl"/>
        </w:rPr>
        <w:t>rograma</w:t>
      </w:r>
      <w:r w:rsidRPr="00976BFF">
        <w:rPr>
          <w:lang w:val="es-ES_tradnl"/>
        </w:rPr>
        <w:t xml:space="preserve"> por resultados y el cumplimiento de los acuerdos legales y, de ser necesario, el </w:t>
      </w:r>
      <w:r w:rsidR="007A653A" w:rsidRPr="00976BFF">
        <w:rPr>
          <w:lang w:val="es-ES_tradnl"/>
        </w:rPr>
        <w:t xml:space="preserve">Plan de Acción del </w:t>
      </w:r>
      <w:r w:rsidR="008A1019">
        <w:rPr>
          <w:lang w:val="es-ES_tradnl"/>
        </w:rPr>
        <w:t>programa</w:t>
      </w:r>
      <w:r w:rsidRPr="00976BFF">
        <w:rPr>
          <w:lang w:val="es-ES_tradnl"/>
        </w:rPr>
        <w:t>.</w:t>
      </w:r>
    </w:p>
    <w:p w:rsidR="007606FA" w:rsidRPr="00976BFF" w:rsidRDefault="007606FA" w:rsidP="007606FA">
      <w:pPr>
        <w:pStyle w:val="Annexmain"/>
        <w:numPr>
          <w:ilvl w:val="0"/>
          <w:numId w:val="15"/>
        </w:numPr>
        <w:ind w:left="0" w:firstLine="0"/>
        <w:rPr>
          <w:lang w:val="es-ES_tradnl"/>
        </w:rPr>
      </w:pPr>
      <w:r w:rsidRPr="00976BFF">
        <w:rPr>
          <w:lang w:val="es-ES_tradnl"/>
        </w:rPr>
        <w:t xml:space="preserve">Además de examinar los avances en la ejecución, el objetivo del Plan de apoyo a la ejecución es brindar al cliente un paquete integrado de apoyo técnico para la ejecución del </w:t>
      </w:r>
      <w:r w:rsidR="007A653A" w:rsidRPr="00976BFF">
        <w:rPr>
          <w:lang w:val="es-ES_tradnl"/>
        </w:rPr>
        <w:t xml:space="preserve">Plan de Acción del </w:t>
      </w:r>
      <w:r w:rsidR="008A1019">
        <w:rPr>
          <w:lang w:val="es-ES_tradnl"/>
        </w:rPr>
        <w:t>programa</w:t>
      </w:r>
      <w:r w:rsidRPr="00976BFF">
        <w:rPr>
          <w:lang w:val="es-ES_tradnl"/>
        </w:rPr>
        <w:t xml:space="preserve"> y el cumplimiento del marco de resultados. En consonancia con el </w:t>
      </w:r>
      <w:r w:rsidR="007A653A" w:rsidRPr="00976BFF">
        <w:rPr>
          <w:lang w:val="es-ES_tradnl"/>
        </w:rPr>
        <w:t xml:space="preserve">Plan de Acción del </w:t>
      </w:r>
      <w:r w:rsidR="008A1019">
        <w:rPr>
          <w:lang w:val="es-ES_tradnl"/>
        </w:rPr>
        <w:t>programa</w:t>
      </w:r>
      <w:r w:rsidRPr="00976BFF">
        <w:rPr>
          <w:lang w:val="es-ES_tradnl"/>
        </w:rPr>
        <w:t xml:space="preserve">, el Banco concentrará su apoyo, en forma simultánea, en lo siguiente: i) asesoramiento estratégico sobre planificación a mediano plazo y cuestiones institucionales (por ejemplo, la estrategia nacional sobre autopistas, la estrategia de recursos humanos del MTOP); ii) optimización de los procesos técnicos; iii) mejoramiento de los procesos ambientales y sociales, y iv) aspectos fiduciarios de la gestión del </w:t>
      </w:r>
      <w:r w:rsidR="008A1019">
        <w:rPr>
          <w:lang w:val="es-ES_tradnl"/>
        </w:rPr>
        <w:t>programa</w:t>
      </w:r>
      <w:r w:rsidRPr="00976BFF">
        <w:rPr>
          <w:lang w:val="es-ES_tradnl"/>
        </w:rPr>
        <w:t>.</w:t>
      </w:r>
    </w:p>
    <w:p w:rsidR="007606FA" w:rsidRPr="00976BFF" w:rsidRDefault="007606FA" w:rsidP="007606FA">
      <w:pPr>
        <w:pStyle w:val="Heading3"/>
        <w:rPr>
          <w:lang w:val="es-ES_tradnl"/>
        </w:rPr>
      </w:pPr>
      <w:bookmarkStart w:id="113" w:name="_Toc344927226"/>
      <w:r w:rsidRPr="00976BFF">
        <w:rPr>
          <w:lang w:val="es-ES_tradnl"/>
        </w:rPr>
        <w:t>Estrategia y enfoque de apoyo a la ejecución</w:t>
      </w:r>
      <w:bookmarkEnd w:id="113"/>
    </w:p>
    <w:p w:rsidR="007606FA" w:rsidRPr="00976BFF" w:rsidRDefault="007606FA" w:rsidP="007606FA">
      <w:pPr>
        <w:pStyle w:val="Annexmain"/>
        <w:numPr>
          <w:ilvl w:val="0"/>
          <w:numId w:val="15"/>
        </w:numPr>
        <w:ind w:left="0" w:firstLine="0"/>
        <w:rPr>
          <w:lang w:val="es-ES_tradnl"/>
        </w:rPr>
      </w:pPr>
      <w:r w:rsidRPr="00976BFF">
        <w:rPr>
          <w:lang w:val="es-ES_tradnl"/>
        </w:rPr>
        <w:t xml:space="preserve">En consonancia con el mandato relativo al apoyo del Banco para la ejecución del </w:t>
      </w:r>
      <w:r w:rsidR="00AC4C37">
        <w:rPr>
          <w:lang w:val="es-ES_tradnl"/>
        </w:rPr>
        <w:t>p</w:t>
      </w:r>
      <w:r w:rsidR="009B073D" w:rsidRPr="00976BFF">
        <w:rPr>
          <w:lang w:val="es-ES_tradnl"/>
        </w:rPr>
        <w:t>rograma</w:t>
      </w:r>
      <w:r w:rsidRPr="00976BFF">
        <w:rPr>
          <w:lang w:val="es-ES_tradnl"/>
        </w:rPr>
        <w:t xml:space="preserve"> por resultados que se mencionó </w:t>
      </w:r>
      <w:r w:rsidR="00766354">
        <w:rPr>
          <w:lang w:val="es-ES_tradnl"/>
        </w:rPr>
        <w:t>anteriormente</w:t>
      </w:r>
      <w:r w:rsidRPr="00976BFF">
        <w:rPr>
          <w:lang w:val="es-ES_tradnl"/>
        </w:rPr>
        <w:t xml:space="preserve">, la estrategia de apoyo a la ejecución para esta operación consta de dos partes: i) el seguimiento de los resultados y el cumplimiento, en especial con respecto al marco de resultados del </w:t>
      </w:r>
      <w:r w:rsidR="008A1019">
        <w:rPr>
          <w:lang w:val="es-ES_tradnl"/>
        </w:rPr>
        <w:t>programa</w:t>
      </w:r>
      <w:r w:rsidRPr="00976BFF">
        <w:rPr>
          <w:lang w:val="es-ES_tradnl"/>
        </w:rPr>
        <w:t xml:space="preserve">, y ii) el apoyo técnico para la ejecución del </w:t>
      </w:r>
      <w:r w:rsidR="008A1019">
        <w:rPr>
          <w:lang w:val="es-ES_tradnl"/>
        </w:rPr>
        <w:t>programa</w:t>
      </w:r>
      <w:r w:rsidRPr="00976BFF">
        <w:rPr>
          <w:lang w:val="es-ES_tradnl"/>
        </w:rPr>
        <w:t xml:space="preserve">, incluidas actividades conexas </w:t>
      </w:r>
      <w:r w:rsidR="00AC4C37">
        <w:rPr>
          <w:lang w:val="es-ES_tradnl"/>
        </w:rPr>
        <w:t xml:space="preserve">tales </w:t>
      </w:r>
      <w:r w:rsidRPr="00976BFF">
        <w:rPr>
          <w:lang w:val="es-ES_tradnl"/>
        </w:rPr>
        <w:t xml:space="preserve">como el </w:t>
      </w:r>
      <w:r w:rsidR="007A653A" w:rsidRPr="00976BFF">
        <w:rPr>
          <w:lang w:val="es-ES_tradnl"/>
        </w:rPr>
        <w:t xml:space="preserve">Plan de Acción del </w:t>
      </w:r>
      <w:r w:rsidR="008A1019">
        <w:rPr>
          <w:lang w:val="es-ES_tradnl"/>
        </w:rPr>
        <w:t>programa</w:t>
      </w:r>
      <w:r w:rsidRPr="00976BFF">
        <w:rPr>
          <w:lang w:val="es-ES_tradnl"/>
        </w:rPr>
        <w:t xml:space="preserve">. Este apoyo, que abarcará las áreas técnica, fiduciaria (adquisiciones y gestión financiera), ambiental y social, se concretará a través del diálogo institucional, la asistencia técnica y la capacitación. Se promoverá en la mayor medida posible la cooperación sur-sur y </w:t>
      </w:r>
      <w:r w:rsidR="00AC4C37">
        <w:rPr>
          <w:lang w:val="es-ES_tradnl"/>
        </w:rPr>
        <w:t>la difusión</w:t>
      </w:r>
      <w:r w:rsidRPr="00976BFF">
        <w:rPr>
          <w:lang w:val="es-ES_tradnl"/>
        </w:rPr>
        <w:t xml:space="preserve"> de </w:t>
      </w:r>
      <w:r w:rsidR="00AC4C37">
        <w:rPr>
          <w:lang w:val="es-ES_tradnl"/>
        </w:rPr>
        <w:t xml:space="preserve">las </w:t>
      </w:r>
      <w:r w:rsidRPr="00976BFF">
        <w:rPr>
          <w:lang w:val="es-ES_tradnl"/>
        </w:rPr>
        <w:t xml:space="preserve">prácticas óptimas en cuestiones pertinentes al </w:t>
      </w:r>
      <w:r w:rsidR="008A1019">
        <w:rPr>
          <w:lang w:val="es-ES_tradnl"/>
        </w:rPr>
        <w:t>programa</w:t>
      </w:r>
      <w:r w:rsidRPr="00976BFF">
        <w:rPr>
          <w:lang w:val="es-ES_tradnl"/>
        </w:rPr>
        <w:t>. El Banco proporcionará apoyo a la ejecución mediante su personal o, si fuese necesario, contratará consultores especializados.</w:t>
      </w:r>
    </w:p>
    <w:p w:rsidR="007606FA" w:rsidRPr="00976BFF" w:rsidRDefault="007606FA" w:rsidP="007606FA">
      <w:pPr>
        <w:pStyle w:val="Annexmain"/>
        <w:numPr>
          <w:ilvl w:val="0"/>
          <w:numId w:val="15"/>
        </w:numPr>
        <w:ind w:left="0" w:firstLine="0"/>
        <w:rPr>
          <w:lang w:val="es-ES_tradnl"/>
        </w:rPr>
      </w:pPr>
      <w:r w:rsidRPr="00976BFF">
        <w:rPr>
          <w:u w:val="single"/>
          <w:lang w:val="es-ES_tradnl"/>
        </w:rPr>
        <w:t>El apoyo a la ejecución vinculado con cuestiones técnicas</w:t>
      </w:r>
      <w:r w:rsidRPr="00976BFF">
        <w:rPr>
          <w:lang w:val="es-ES_tradnl"/>
        </w:rPr>
        <w:t xml:space="preserve"> incluirá: i) planificación estratégica, incluido el </w:t>
      </w:r>
      <w:r w:rsidR="00AC4C37">
        <w:rPr>
          <w:lang w:val="es-ES_tradnl"/>
        </w:rPr>
        <w:t>p</w:t>
      </w:r>
      <w:r w:rsidR="009B073D" w:rsidRPr="00976BFF">
        <w:rPr>
          <w:lang w:val="es-ES_tradnl"/>
        </w:rPr>
        <w:t>rograma</w:t>
      </w:r>
      <w:r w:rsidRPr="00976BFF">
        <w:rPr>
          <w:lang w:val="es-ES_tradnl"/>
        </w:rPr>
        <w:t xml:space="preserve"> de logística; ii) desarrollo institucional del sector público </w:t>
      </w:r>
      <w:r w:rsidR="005B6CB8">
        <w:rPr>
          <w:lang w:val="es-ES_tradnl"/>
        </w:rPr>
        <w:t xml:space="preserve">para </w:t>
      </w:r>
      <w:r w:rsidRPr="00976BFF">
        <w:rPr>
          <w:lang w:val="es-ES_tradnl"/>
        </w:rPr>
        <w:t xml:space="preserve">mejorar la eficiencia del sector vial; iii) técnicas de gestión vial eficiente, que incluyen planificación, diseño, contratación, supervisión y construcción; iv) supervisión técnica mediante visitas periódicas sobre el terreno y exámenes técnicos de las inversiones del sector vial seleccionadas; v) avances en el </w:t>
      </w:r>
      <w:r w:rsidR="00AC4C37">
        <w:rPr>
          <w:lang w:val="es-ES_tradnl"/>
        </w:rPr>
        <w:t>p</w:t>
      </w:r>
      <w:r w:rsidR="009B073D" w:rsidRPr="00976BFF">
        <w:rPr>
          <w:lang w:val="es-ES_tradnl"/>
        </w:rPr>
        <w:t>rograma</w:t>
      </w:r>
      <w:r w:rsidRPr="00976BFF">
        <w:rPr>
          <w:lang w:val="es-ES_tradnl"/>
        </w:rPr>
        <w:t xml:space="preserve"> de seguridad vial, y vi) </w:t>
      </w:r>
      <w:r w:rsidR="00AC4C37">
        <w:rPr>
          <w:lang w:val="es-ES_tradnl"/>
        </w:rPr>
        <w:t>medidas</w:t>
      </w:r>
      <w:r w:rsidRPr="00976BFF">
        <w:rPr>
          <w:lang w:val="es-ES_tradnl"/>
        </w:rPr>
        <w:t xml:space="preserve"> innovadoras </w:t>
      </w:r>
      <w:r w:rsidR="00AC4C37">
        <w:rPr>
          <w:lang w:val="es-ES_tradnl"/>
        </w:rPr>
        <w:t>para lograr</w:t>
      </w:r>
      <w:r w:rsidRPr="00976BFF">
        <w:rPr>
          <w:lang w:val="es-ES_tradnl"/>
        </w:rPr>
        <w:t xml:space="preserve"> que el marco de gastos viales sea más sostenible, </w:t>
      </w:r>
      <w:r w:rsidR="00AC4C37">
        <w:rPr>
          <w:lang w:val="es-ES_tradnl"/>
        </w:rPr>
        <w:t>con</w:t>
      </w:r>
      <w:r w:rsidRPr="00976BFF">
        <w:rPr>
          <w:lang w:val="es-ES_tradnl"/>
        </w:rPr>
        <w:t xml:space="preserve"> especial </w:t>
      </w:r>
      <w:r w:rsidR="00AC4C37">
        <w:rPr>
          <w:lang w:val="es-ES_tradnl"/>
        </w:rPr>
        <w:t xml:space="preserve">énfasis en </w:t>
      </w:r>
      <w:r w:rsidRPr="00976BFF">
        <w:rPr>
          <w:lang w:val="es-ES_tradnl"/>
        </w:rPr>
        <w:t>la participación del sector privado.</w:t>
      </w:r>
    </w:p>
    <w:p w:rsidR="007606FA" w:rsidRPr="00976BFF" w:rsidRDefault="007606FA" w:rsidP="007606FA">
      <w:pPr>
        <w:pStyle w:val="Annexmain"/>
        <w:numPr>
          <w:ilvl w:val="0"/>
          <w:numId w:val="15"/>
        </w:numPr>
        <w:ind w:left="0" w:firstLine="0"/>
        <w:rPr>
          <w:lang w:val="es-ES_tradnl"/>
        </w:rPr>
      </w:pPr>
      <w:r w:rsidRPr="00976BFF">
        <w:rPr>
          <w:u w:val="single"/>
          <w:lang w:val="es-ES_tradnl"/>
        </w:rPr>
        <w:t>El apoyo a la ejecución vinculado con cuestiones fiduciarias</w:t>
      </w:r>
      <w:r w:rsidRPr="00976BFF">
        <w:rPr>
          <w:lang w:val="es-ES_tradnl"/>
        </w:rPr>
        <w:t xml:space="preserve"> tendrá por objeto: i) profundizar el análisis de los sistemas de adquisiciones para determinar más adecuadamente dónde se encuentran los obstáculos</w:t>
      </w:r>
      <w:r w:rsidR="005B6CB8">
        <w:rPr>
          <w:lang w:val="es-ES_tradnl"/>
        </w:rPr>
        <w:t>;</w:t>
      </w:r>
      <w:r w:rsidR="005B6CB8" w:rsidRPr="00976BFF">
        <w:rPr>
          <w:lang w:val="es-ES_tradnl"/>
        </w:rPr>
        <w:t xml:space="preserve"> </w:t>
      </w:r>
      <w:r w:rsidRPr="00976BFF">
        <w:rPr>
          <w:lang w:val="es-ES_tradnl"/>
        </w:rPr>
        <w:t xml:space="preserve">ii) apoyar a los organismos de ejecución para que desarrollen y simplifiquen sus sistemas y procedimientos de adquisiciones; iii) proporcionar apoyo a la ejecución del plan de fortalecimiento de la capacidad en la </w:t>
      </w:r>
      <w:r w:rsidR="005B6CB8">
        <w:rPr>
          <w:lang w:val="es-ES_tradnl"/>
        </w:rPr>
        <w:t>U</w:t>
      </w:r>
      <w:r w:rsidR="005B6CB8" w:rsidRPr="00976BFF">
        <w:rPr>
          <w:lang w:val="es-ES_tradnl"/>
        </w:rPr>
        <w:t xml:space="preserve">nidad </w:t>
      </w:r>
      <w:r w:rsidRPr="00976BFF">
        <w:rPr>
          <w:lang w:val="es-ES_tradnl"/>
        </w:rPr>
        <w:t xml:space="preserve">de </w:t>
      </w:r>
      <w:r w:rsidR="005B6CB8">
        <w:rPr>
          <w:lang w:val="es-ES_tradnl"/>
        </w:rPr>
        <w:t>A</w:t>
      </w:r>
      <w:r w:rsidR="005B6CB8" w:rsidRPr="00976BFF">
        <w:rPr>
          <w:lang w:val="es-ES_tradnl"/>
        </w:rPr>
        <w:t xml:space="preserve">uditoría </w:t>
      </w:r>
      <w:r w:rsidR="005B6CB8">
        <w:rPr>
          <w:lang w:val="es-ES_tradnl"/>
        </w:rPr>
        <w:t>I</w:t>
      </w:r>
      <w:r w:rsidR="005B6CB8" w:rsidRPr="00976BFF">
        <w:rPr>
          <w:lang w:val="es-ES_tradnl"/>
        </w:rPr>
        <w:t xml:space="preserve">nterna </w:t>
      </w:r>
      <w:r w:rsidRPr="00976BFF">
        <w:rPr>
          <w:lang w:val="es-ES_tradnl"/>
        </w:rPr>
        <w:t xml:space="preserve">con respecto a la auditoría basada en los riesgos; iv) realizar un seguimiento de la </w:t>
      </w:r>
      <w:r w:rsidR="003C761F">
        <w:rPr>
          <w:lang w:val="es-ES_tradnl"/>
        </w:rPr>
        <w:t>ejecución</w:t>
      </w:r>
      <w:r w:rsidR="003C761F" w:rsidRPr="00976BFF">
        <w:rPr>
          <w:lang w:val="es-ES_tradnl"/>
        </w:rPr>
        <w:t xml:space="preserve"> </w:t>
      </w:r>
      <w:r w:rsidRPr="00976BFF">
        <w:rPr>
          <w:lang w:val="es-ES_tradnl"/>
        </w:rPr>
        <w:t>de las actividades de asistencia técnica iniciadas por el Gobierno de Uruguay y el BID con respecto a los sistemas de gestión financiera; v) verificar los avances en el ámbito fiduciario a nivel nacional, especial</w:t>
      </w:r>
      <w:r w:rsidR="00AC4C37">
        <w:rPr>
          <w:lang w:val="es-ES_tradnl"/>
        </w:rPr>
        <w:t>mente</w:t>
      </w:r>
      <w:r w:rsidRPr="00976BFF">
        <w:rPr>
          <w:lang w:val="es-ES_tradnl"/>
        </w:rPr>
        <w:t xml:space="preserve"> en relación con la entrada en vigor de la versión actualizada del TOCAF, y vi) aplicar las recomendaciones del informe actual sobre gasto público y rendición de cuentas financieras a través del diálogo entre el Banco y el país sobre cuestiones relativas a la gestión financiera.</w:t>
      </w:r>
    </w:p>
    <w:p w:rsidR="007606FA" w:rsidRPr="00976BFF" w:rsidRDefault="007606FA" w:rsidP="007606FA">
      <w:pPr>
        <w:pStyle w:val="Annexmain"/>
        <w:numPr>
          <w:ilvl w:val="0"/>
          <w:numId w:val="15"/>
        </w:numPr>
        <w:ind w:left="0" w:firstLine="0"/>
        <w:rPr>
          <w:lang w:val="es-ES_tradnl"/>
        </w:rPr>
      </w:pPr>
      <w:r w:rsidRPr="00976BFF">
        <w:rPr>
          <w:u w:val="single"/>
          <w:lang w:val="es-ES_tradnl"/>
        </w:rPr>
        <w:t>El apoyo en el área de gestión ambiental y social</w:t>
      </w:r>
      <w:r w:rsidRPr="00976BFF">
        <w:rPr>
          <w:lang w:val="es-ES_tradnl"/>
        </w:rPr>
        <w:t xml:space="preserve"> se centrará en la consolidación y el mejoramiento de los procesos ambientales y sociales actuales, así como en el fortalecimiento de la supervisión ambiental de las obras del </w:t>
      </w:r>
      <w:r w:rsidR="008A1019">
        <w:rPr>
          <w:lang w:val="es-ES_tradnl"/>
        </w:rPr>
        <w:t>programa</w:t>
      </w:r>
      <w:r w:rsidRPr="00976BFF">
        <w:rPr>
          <w:lang w:val="es-ES_tradnl"/>
        </w:rPr>
        <w:t>. E</w:t>
      </w:r>
      <w:r w:rsidR="00AC4C37">
        <w:rPr>
          <w:lang w:val="es-ES_tradnl"/>
        </w:rPr>
        <w:t>specíficamente</w:t>
      </w:r>
      <w:r w:rsidRPr="00976BFF">
        <w:rPr>
          <w:lang w:val="es-ES_tradnl"/>
        </w:rPr>
        <w:t xml:space="preserve">, entre las principales actividades incluidas en el </w:t>
      </w:r>
      <w:r w:rsidR="007A653A" w:rsidRPr="00976BFF">
        <w:rPr>
          <w:lang w:val="es-ES_tradnl"/>
        </w:rPr>
        <w:t xml:space="preserve">Plan de Acción del </w:t>
      </w:r>
      <w:r w:rsidR="008A1019">
        <w:rPr>
          <w:lang w:val="es-ES_tradnl"/>
        </w:rPr>
        <w:t>programa</w:t>
      </w:r>
      <w:r w:rsidRPr="00976BFF">
        <w:rPr>
          <w:lang w:val="es-ES_tradnl"/>
        </w:rPr>
        <w:t xml:space="preserve">, el Banco proporcionará apoyo para actualizar el manual ambiental y elaborar el </w:t>
      </w:r>
      <w:r w:rsidR="005B6CB8">
        <w:rPr>
          <w:lang w:val="es-ES_tradnl"/>
        </w:rPr>
        <w:t>m</w:t>
      </w:r>
      <w:r w:rsidR="005B6CB8" w:rsidRPr="00976BFF">
        <w:rPr>
          <w:lang w:val="es-ES_tradnl"/>
        </w:rPr>
        <w:t xml:space="preserve">anual </w:t>
      </w:r>
      <w:r w:rsidRPr="00976BFF">
        <w:rPr>
          <w:lang w:val="es-ES_tradnl"/>
        </w:rPr>
        <w:t xml:space="preserve">de </w:t>
      </w:r>
      <w:r w:rsidR="005B6CB8">
        <w:rPr>
          <w:lang w:val="es-ES_tradnl"/>
        </w:rPr>
        <w:t>p</w:t>
      </w:r>
      <w:r w:rsidR="005B6CB8" w:rsidRPr="00976BFF">
        <w:rPr>
          <w:lang w:val="es-ES_tradnl"/>
        </w:rPr>
        <w:t xml:space="preserve">rocedimientos </w:t>
      </w:r>
      <w:r w:rsidRPr="00976BFF">
        <w:rPr>
          <w:lang w:val="es-ES_tradnl"/>
        </w:rPr>
        <w:t xml:space="preserve">de </w:t>
      </w:r>
      <w:r w:rsidR="005B6CB8">
        <w:rPr>
          <w:lang w:val="es-ES_tradnl"/>
        </w:rPr>
        <w:t>e</w:t>
      </w:r>
      <w:r w:rsidR="005B6CB8" w:rsidRPr="00976BFF">
        <w:rPr>
          <w:lang w:val="es-ES_tradnl"/>
        </w:rPr>
        <w:t xml:space="preserve">xpropiación </w:t>
      </w:r>
      <w:r w:rsidRPr="00976BFF">
        <w:rPr>
          <w:lang w:val="es-ES_tradnl"/>
        </w:rPr>
        <w:t xml:space="preserve">y </w:t>
      </w:r>
      <w:r w:rsidR="005B6CB8">
        <w:rPr>
          <w:lang w:val="es-ES_tradnl"/>
        </w:rPr>
        <w:t>g</w:t>
      </w:r>
      <w:r w:rsidR="005B6CB8" w:rsidRPr="00976BFF">
        <w:rPr>
          <w:lang w:val="es-ES_tradnl"/>
        </w:rPr>
        <w:t>estión</w:t>
      </w:r>
      <w:r w:rsidR="005B6CB8" w:rsidRPr="00976BFF">
        <w:rPr>
          <w:sz w:val="20"/>
          <w:szCs w:val="20"/>
          <w:lang w:val="es-ES_tradnl"/>
        </w:rPr>
        <w:t xml:space="preserve"> </w:t>
      </w:r>
      <w:r w:rsidR="005B6CB8">
        <w:rPr>
          <w:lang w:val="es-ES_tradnl"/>
        </w:rPr>
        <w:t>s</w:t>
      </w:r>
      <w:r w:rsidR="005B6CB8" w:rsidRPr="00976BFF">
        <w:rPr>
          <w:lang w:val="es-ES_tradnl"/>
        </w:rPr>
        <w:t>ocial</w:t>
      </w:r>
      <w:r w:rsidRPr="00976BFF">
        <w:rPr>
          <w:lang w:val="es-ES_tradnl"/>
        </w:rPr>
        <w:t>. El apoyo a la ejecución también abarcará la creación de un mecanismo de gestión</w:t>
      </w:r>
      <w:r w:rsidR="00AC4C37">
        <w:rPr>
          <w:lang w:val="es-ES_tradnl"/>
        </w:rPr>
        <w:t xml:space="preserve"> y seguimiento de reclamaciones</w:t>
      </w:r>
      <w:r w:rsidRPr="00976BFF">
        <w:rPr>
          <w:lang w:val="es-ES_tradnl"/>
        </w:rPr>
        <w:t xml:space="preserve"> vinculadas a cuestiones ambientales, sociales o de otro tipo relacionadas con la ejecución de las obras. Con respecto al apoyo técnico a la ejecución, se </w:t>
      </w:r>
      <w:r w:rsidR="00AC4C37">
        <w:rPr>
          <w:lang w:val="es-ES_tradnl"/>
        </w:rPr>
        <w:t>realiza</w:t>
      </w:r>
      <w:r w:rsidRPr="00976BFF">
        <w:rPr>
          <w:lang w:val="es-ES_tradnl"/>
        </w:rPr>
        <w:t>rán visitas periódicas sobre el terreno para examinar el cumplimiento y el desempeño ambiental y social.</w:t>
      </w:r>
    </w:p>
    <w:p w:rsidR="007606FA" w:rsidRPr="00976BFF" w:rsidRDefault="007606FA" w:rsidP="007606FA">
      <w:pPr>
        <w:pStyle w:val="Heading3"/>
        <w:rPr>
          <w:lang w:val="es-ES_tradnl"/>
        </w:rPr>
      </w:pPr>
      <w:bookmarkStart w:id="114" w:name="_Toc344927227"/>
      <w:r w:rsidRPr="00976BFF">
        <w:rPr>
          <w:lang w:val="es-ES_tradnl"/>
        </w:rPr>
        <w:t>Principales ejes del apoyo a la ejecución</w:t>
      </w:r>
      <w:bookmarkEnd w:id="114"/>
      <w:r w:rsidRPr="00976BFF">
        <w:rPr>
          <w:lang w:val="es-ES_tradnl"/>
        </w:rPr>
        <w:t xml:space="preserve">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2782"/>
        <w:gridCol w:w="2458"/>
        <w:gridCol w:w="1897"/>
        <w:gridCol w:w="1440"/>
      </w:tblGrid>
      <w:tr w:rsidR="007606FA" w:rsidRPr="00976BFF">
        <w:trPr>
          <w:trHeight w:val="602"/>
        </w:trPr>
        <w:tc>
          <w:tcPr>
            <w:tcW w:w="1161" w:type="dxa"/>
          </w:tcPr>
          <w:p w:rsidR="007606FA" w:rsidRPr="00976BFF" w:rsidRDefault="007606FA" w:rsidP="007A653A">
            <w:pPr>
              <w:spacing w:after="0" w:line="240" w:lineRule="auto"/>
              <w:jc w:val="center"/>
              <w:rPr>
                <w:rFonts w:ascii="Times New Roman" w:hAnsi="Times New Roman" w:cs="Times New Roman"/>
                <w:b/>
                <w:i/>
                <w:sz w:val="20"/>
                <w:szCs w:val="20"/>
                <w:lang w:val="es-ES_tradnl"/>
              </w:rPr>
            </w:pPr>
            <w:r w:rsidRPr="00976BFF">
              <w:rPr>
                <w:rFonts w:ascii="Times New Roman" w:hAnsi="Times New Roman" w:cs="Times New Roman"/>
                <w:b/>
                <w:i/>
                <w:sz w:val="20"/>
                <w:szCs w:val="20"/>
                <w:lang w:val="es-ES_tradnl"/>
              </w:rPr>
              <w:t>Período</w:t>
            </w:r>
          </w:p>
        </w:tc>
        <w:tc>
          <w:tcPr>
            <w:tcW w:w="2782" w:type="dxa"/>
          </w:tcPr>
          <w:p w:rsidR="007606FA" w:rsidRPr="00976BFF" w:rsidRDefault="007606FA" w:rsidP="007A653A">
            <w:pPr>
              <w:spacing w:after="0" w:line="240" w:lineRule="auto"/>
              <w:jc w:val="center"/>
              <w:rPr>
                <w:rFonts w:ascii="Times New Roman" w:hAnsi="Times New Roman" w:cs="Times New Roman"/>
                <w:b/>
                <w:i/>
                <w:sz w:val="20"/>
                <w:szCs w:val="20"/>
                <w:lang w:val="es-ES_tradnl"/>
              </w:rPr>
            </w:pPr>
            <w:r w:rsidRPr="00976BFF">
              <w:rPr>
                <w:rFonts w:ascii="Times New Roman" w:hAnsi="Times New Roman" w:cs="Times New Roman"/>
                <w:b/>
                <w:i/>
                <w:sz w:val="20"/>
                <w:szCs w:val="20"/>
                <w:lang w:val="es-ES_tradnl"/>
              </w:rPr>
              <w:t>Eje</w:t>
            </w:r>
          </w:p>
        </w:tc>
        <w:tc>
          <w:tcPr>
            <w:tcW w:w="2458" w:type="dxa"/>
          </w:tcPr>
          <w:p w:rsidR="007606FA" w:rsidRPr="00976BFF" w:rsidRDefault="007606FA" w:rsidP="007A653A">
            <w:pPr>
              <w:spacing w:after="0" w:line="240" w:lineRule="auto"/>
              <w:jc w:val="center"/>
              <w:rPr>
                <w:rFonts w:ascii="Times New Roman" w:hAnsi="Times New Roman" w:cs="Times New Roman"/>
                <w:b/>
                <w:i/>
                <w:sz w:val="20"/>
                <w:szCs w:val="20"/>
                <w:lang w:val="es-ES_tradnl"/>
              </w:rPr>
            </w:pPr>
            <w:r w:rsidRPr="00976BFF">
              <w:rPr>
                <w:rFonts w:ascii="Times New Roman" w:hAnsi="Times New Roman" w:cs="Times New Roman"/>
                <w:b/>
                <w:i/>
                <w:sz w:val="20"/>
                <w:szCs w:val="20"/>
                <w:lang w:val="es-ES_tradnl"/>
              </w:rPr>
              <w:t>Especialidades necesarias</w:t>
            </w:r>
          </w:p>
        </w:tc>
        <w:tc>
          <w:tcPr>
            <w:tcW w:w="1897" w:type="dxa"/>
          </w:tcPr>
          <w:p w:rsidR="007606FA" w:rsidRPr="00976BFF" w:rsidRDefault="007606FA" w:rsidP="007A653A">
            <w:pPr>
              <w:spacing w:after="0" w:line="240" w:lineRule="auto"/>
              <w:jc w:val="center"/>
              <w:rPr>
                <w:rFonts w:ascii="Times New Roman" w:hAnsi="Times New Roman" w:cs="Times New Roman"/>
                <w:b/>
                <w:i/>
                <w:sz w:val="20"/>
                <w:szCs w:val="20"/>
                <w:lang w:val="es-ES_tradnl"/>
              </w:rPr>
            </w:pPr>
            <w:r w:rsidRPr="00976BFF">
              <w:rPr>
                <w:rFonts w:ascii="Times New Roman" w:hAnsi="Times New Roman" w:cs="Times New Roman"/>
                <w:b/>
                <w:i/>
                <w:sz w:val="20"/>
                <w:szCs w:val="20"/>
                <w:lang w:val="es-ES_tradnl"/>
              </w:rPr>
              <w:t>Recursos estimados</w:t>
            </w:r>
          </w:p>
        </w:tc>
        <w:tc>
          <w:tcPr>
            <w:tcW w:w="1440" w:type="dxa"/>
          </w:tcPr>
          <w:p w:rsidR="007606FA" w:rsidRPr="00976BFF" w:rsidRDefault="007606FA" w:rsidP="007A653A">
            <w:pPr>
              <w:spacing w:after="0" w:line="240" w:lineRule="auto"/>
              <w:jc w:val="center"/>
              <w:rPr>
                <w:rFonts w:ascii="Times New Roman" w:hAnsi="Times New Roman" w:cs="Times New Roman"/>
                <w:b/>
                <w:i/>
                <w:sz w:val="20"/>
                <w:szCs w:val="20"/>
                <w:lang w:val="es-ES_tradnl"/>
              </w:rPr>
            </w:pPr>
            <w:r w:rsidRPr="00976BFF">
              <w:rPr>
                <w:rFonts w:ascii="Times New Roman" w:hAnsi="Times New Roman" w:cs="Times New Roman"/>
                <w:b/>
                <w:i/>
                <w:sz w:val="20"/>
                <w:szCs w:val="20"/>
                <w:lang w:val="es-ES_tradnl"/>
              </w:rPr>
              <w:t>Función del asociado</w:t>
            </w:r>
          </w:p>
        </w:tc>
      </w:tr>
      <w:tr w:rsidR="007606FA" w:rsidRPr="00976BFF">
        <w:tc>
          <w:tcPr>
            <w:tcW w:w="1161" w:type="dxa"/>
          </w:tcPr>
          <w:p w:rsidR="007606FA" w:rsidRPr="000B5989" w:rsidRDefault="007606FA" w:rsidP="007A653A">
            <w:pPr>
              <w:spacing w:after="0" w:line="240" w:lineRule="auto"/>
              <w:rPr>
                <w:rFonts w:ascii="Times New Roman" w:hAnsi="Times New Roman" w:cs="Times New Roman"/>
                <w:sz w:val="20"/>
                <w:szCs w:val="20"/>
                <w:lang w:val="es-ES_tradnl"/>
              </w:rPr>
            </w:pPr>
            <w:r w:rsidRPr="000B5989">
              <w:rPr>
                <w:rFonts w:ascii="Times New Roman" w:hAnsi="Times New Roman" w:cs="Times New Roman"/>
                <w:sz w:val="20"/>
                <w:szCs w:val="20"/>
                <w:lang w:val="es-ES_tradnl"/>
              </w:rPr>
              <w:t>Primeros doce meses</w:t>
            </w:r>
          </w:p>
        </w:tc>
        <w:tc>
          <w:tcPr>
            <w:tcW w:w="2782" w:type="dxa"/>
          </w:tcPr>
          <w:p w:rsidR="007606FA" w:rsidRPr="00976BFF" w:rsidRDefault="007606FA" w:rsidP="007A653A">
            <w:pPr>
              <w:spacing w:before="120"/>
              <w:rPr>
                <w:rFonts w:ascii="Times New Roman" w:hAnsi="Times New Roman" w:cs="Times New Roman"/>
                <w:sz w:val="20"/>
                <w:szCs w:val="20"/>
                <w:u w:val="single"/>
                <w:lang w:val="es-ES_tradnl"/>
              </w:rPr>
            </w:pPr>
            <w:r w:rsidRPr="00976BFF">
              <w:rPr>
                <w:rFonts w:ascii="Times New Roman" w:hAnsi="Times New Roman" w:cs="Times New Roman"/>
                <w:sz w:val="20"/>
                <w:szCs w:val="20"/>
                <w:u w:val="single"/>
                <w:lang w:val="es-ES_tradnl"/>
              </w:rPr>
              <w:t>General</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el seguimiento del presupuesto y las asignaciones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un seguimiento de los avances físicos y la calidad de las obras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inclusive mediante visitas sobre el terreno</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un seguimiento del marco de resultados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un seguimiento de los avances en las actividades del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Evaluar el desempeño técnico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xml:space="preserve"> mediante visitas sobre el terreno y exámenes técnicos de inversiones seleccionadas </w:t>
            </w:r>
            <w:r w:rsidR="001C47AE">
              <w:rPr>
                <w:rFonts w:ascii="Times New Roman" w:hAnsi="Times New Roman" w:cs="Times New Roman"/>
                <w:sz w:val="20"/>
                <w:szCs w:val="20"/>
                <w:lang w:val="es-ES_tradnl"/>
              </w:rPr>
              <w:t xml:space="preserve">en el sector vial </w:t>
            </w:r>
            <w:r w:rsidRPr="00976BFF">
              <w:rPr>
                <w:rFonts w:ascii="Times New Roman" w:hAnsi="Times New Roman" w:cs="Times New Roman"/>
                <w:sz w:val="20"/>
                <w:szCs w:val="20"/>
                <w:lang w:val="es-ES_tradnl"/>
              </w:rPr>
              <w:t>(calidad de las obras, sostenibilidad</w:t>
            </w:r>
            <w:r w:rsidR="00F20628" w:rsidRPr="00976BFF">
              <w:rPr>
                <w:rFonts w:ascii="Times New Roman" w:hAnsi="Times New Roman" w:cs="Times New Roman"/>
                <w:sz w:val="20"/>
                <w:szCs w:val="20"/>
                <w:lang w:val="es-ES_tradnl"/>
              </w:rPr>
              <w:t>)</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Evaluar el desempeño de los sistemas fiduciarios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xml:space="preserve"> de acuerdo con los indicadores y las mediciones que se diseñaron durante la etapa de preparación del proyecto</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Evaluar el desempeño ambiental y social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Proporcionar asesoramiento </w:t>
            </w:r>
            <w:r w:rsidRPr="00976BFF">
              <w:rPr>
                <w:rFonts w:ascii="Times New Roman" w:hAnsi="Times New Roman" w:cs="Times New Roman"/>
                <w:i/>
                <w:sz w:val="20"/>
                <w:szCs w:val="20"/>
                <w:lang w:val="es-ES_tradnl"/>
              </w:rPr>
              <w:t>ad hoc</w:t>
            </w:r>
            <w:r w:rsidRPr="00976BFF">
              <w:rPr>
                <w:rFonts w:ascii="Times New Roman" w:hAnsi="Times New Roman" w:cs="Times New Roman"/>
                <w:sz w:val="20"/>
                <w:szCs w:val="20"/>
                <w:lang w:val="es-ES_tradnl"/>
              </w:rPr>
              <w:t xml:space="preserve">, apoyo técnico y logístico sobre cuestiones normativas, técnicas y de gestión vinculadas </w:t>
            </w:r>
            <w:r w:rsidR="00F04EFB">
              <w:rPr>
                <w:rFonts w:ascii="Times New Roman" w:hAnsi="Times New Roman" w:cs="Times New Roman"/>
                <w:sz w:val="20"/>
                <w:szCs w:val="20"/>
                <w:lang w:val="es-ES_tradnl"/>
              </w:rPr>
              <w:t>con</w:t>
            </w:r>
            <w:r w:rsidR="00F04EFB" w:rsidRPr="00976BFF">
              <w:rPr>
                <w:rFonts w:ascii="Times New Roman" w:hAnsi="Times New Roman" w:cs="Times New Roman"/>
                <w:sz w:val="20"/>
                <w:szCs w:val="20"/>
                <w:lang w:val="es-ES_tradnl"/>
              </w:rPr>
              <w:t xml:space="preserve"> </w:t>
            </w:r>
            <w:r w:rsidRPr="00976BFF">
              <w:rPr>
                <w:rFonts w:ascii="Times New Roman" w:hAnsi="Times New Roman" w:cs="Times New Roman"/>
                <w:sz w:val="20"/>
                <w:szCs w:val="20"/>
                <w:lang w:val="es-ES_tradnl"/>
              </w:rPr>
              <w:t xml:space="preserve">las actividades incluidas en 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Coordinar </w:t>
            </w:r>
            <w:r w:rsidR="00AC4C37">
              <w:rPr>
                <w:rFonts w:ascii="Times New Roman" w:hAnsi="Times New Roman" w:cs="Times New Roman"/>
                <w:sz w:val="20"/>
                <w:szCs w:val="20"/>
                <w:lang w:val="es-ES_tradnl"/>
              </w:rPr>
              <w:t xml:space="preserve">las actividades </w:t>
            </w:r>
            <w:r w:rsidRPr="00976BFF">
              <w:rPr>
                <w:rFonts w:ascii="Times New Roman" w:hAnsi="Times New Roman" w:cs="Times New Roman"/>
                <w:sz w:val="20"/>
                <w:szCs w:val="20"/>
                <w:lang w:val="es-ES_tradnl"/>
              </w:rPr>
              <w:t xml:space="preserve">con el BID y otras partes interesadas en el </w:t>
            </w:r>
            <w:r w:rsidR="008A1019">
              <w:rPr>
                <w:rFonts w:ascii="Times New Roman" w:hAnsi="Times New Roman" w:cs="Times New Roman"/>
                <w:sz w:val="20"/>
                <w:szCs w:val="20"/>
                <w:lang w:val="es-ES_tradnl"/>
              </w:rPr>
              <w:t>programa</w:t>
            </w:r>
          </w:p>
          <w:p w:rsidR="007606FA" w:rsidRPr="00976BFF" w:rsidRDefault="007606FA" w:rsidP="007A653A">
            <w:pPr>
              <w:spacing w:before="120"/>
              <w:rPr>
                <w:rFonts w:ascii="Times New Roman" w:hAnsi="Times New Roman" w:cs="Times New Roman"/>
                <w:sz w:val="20"/>
                <w:szCs w:val="20"/>
                <w:u w:val="single"/>
                <w:lang w:val="es-ES_tradnl"/>
              </w:rPr>
            </w:pPr>
            <w:r w:rsidRPr="00976BFF">
              <w:rPr>
                <w:rFonts w:ascii="Times New Roman" w:hAnsi="Times New Roman" w:cs="Times New Roman"/>
                <w:sz w:val="20"/>
                <w:szCs w:val="20"/>
                <w:u w:val="single"/>
                <w:lang w:val="es-ES_tradnl"/>
              </w:rPr>
              <w:t>Específicos del primer año:</w:t>
            </w:r>
          </w:p>
          <w:p w:rsidR="007606FA" w:rsidRPr="00976BFF" w:rsidRDefault="007606FA" w:rsidP="007A653A">
            <w:pPr>
              <w:pStyle w:val="ListParagraph"/>
              <w:numPr>
                <w:ilvl w:val="0"/>
                <w:numId w:val="12"/>
              </w:numPr>
              <w:spacing w:before="120" w:after="0" w:line="240" w:lineRule="auto"/>
              <w:ind w:left="216" w:hanging="216"/>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Perfeccionar los indicadores del flujo de trabajo de la DNV</w:t>
            </w:r>
          </w:p>
          <w:p w:rsidR="007606FA" w:rsidRPr="00976BFF" w:rsidRDefault="007606FA" w:rsidP="007A653A">
            <w:pPr>
              <w:pStyle w:val="ListParagraph"/>
              <w:numPr>
                <w:ilvl w:val="0"/>
                <w:numId w:val="12"/>
              </w:numPr>
              <w:spacing w:before="120" w:after="0" w:line="240" w:lineRule="auto"/>
              <w:ind w:left="216" w:hanging="216"/>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Perfeccionar el mecanismo de verificación de los IVD y la evaluación de su eficacia</w:t>
            </w:r>
          </w:p>
          <w:p w:rsidR="007606FA" w:rsidRPr="00976BFF" w:rsidRDefault="007606FA" w:rsidP="007A653A">
            <w:pPr>
              <w:pStyle w:val="ListParagraph"/>
              <w:numPr>
                <w:ilvl w:val="0"/>
                <w:numId w:val="12"/>
              </w:numPr>
              <w:autoSpaceDE w:val="0"/>
              <w:autoSpaceDN w:val="0"/>
              <w:adjustRightInd w:val="0"/>
              <w:ind w:left="162" w:hanging="167"/>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Examinar el personal de los organismos de ejecución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autoSpaceDE w:val="0"/>
              <w:autoSpaceDN w:val="0"/>
              <w:adjustRightInd w:val="0"/>
              <w:ind w:left="162" w:hanging="167"/>
              <w:rPr>
                <w:sz w:val="20"/>
                <w:szCs w:val="20"/>
                <w:lang w:val="es-ES_tradnl"/>
              </w:rPr>
            </w:pPr>
            <w:r w:rsidRPr="00976BFF">
              <w:rPr>
                <w:rFonts w:ascii="Times New Roman" w:hAnsi="Times New Roman" w:cs="Times New Roman"/>
                <w:sz w:val="20"/>
                <w:szCs w:val="20"/>
                <w:lang w:val="es-ES_tradnl"/>
              </w:rPr>
              <w:t xml:space="preserve">Ayudar al cliente a </w:t>
            </w:r>
            <w:r w:rsidR="00AC4C37">
              <w:rPr>
                <w:rFonts w:ascii="Times New Roman" w:hAnsi="Times New Roman" w:cs="Times New Roman"/>
                <w:sz w:val="20"/>
                <w:szCs w:val="20"/>
                <w:lang w:val="es-ES_tradnl"/>
              </w:rPr>
              <w:t>seleccionar</w:t>
            </w:r>
            <w:r w:rsidRPr="00976BFF">
              <w:rPr>
                <w:rFonts w:ascii="Times New Roman" w:hAnsi="Times New Roman" w:cs="Times New Roman"/>
                <w:sz w:val="20"/>
                <w:szCs w:val="20"/>
                <w:lang w:val="es-ES_tradnl"/>
              </w:rPr>
              <w:t xml:space="preserve"> al consultor que proporcionará apoyo para elaborar el </w:t>
            </w:r>
            <w:r w:rsidR="00F04EFB">
              <w:rPr>
                <w:rFonts w:ascii="Times New Roman" w:hAnsi="Times New Roman" w:cs="Times New Roman"/>
                <w:sz w:val="20"/>
                <w:szCs w:val="20"/>
                <w:lang w:val="es-ES_tradnl"/>
              </w:rPr>
              <w:t>m</w:t>
            </w:r>
            <w:r w:rsidR="00F04EFB" w:rsidRPr="00976BFF">
              <w:rPr>
                <w:rFonts w:ascii="Times New Roman" w:hAnsi="Times New Roman" w:cs="Times New Roman"/>
                <w:sz w:val="20"/>
                <w:szCs w:val="20"/>
                <w:lang w:val="es-ES_tradnl"/>
              </w:rPr>
              <w:t xml:space="preserve">anual </w:t>
            </w:r>
            <w:r w:rsidRPr="00976BFF">
              <w:rPr>
                <w:rFonts w:ascii="Times New Roman" w:hAnsi="Times New Roman" w:cs="Times New Roman"/>
                <w:sz w:val="20"/>
                <w:szCs w:val="20"/>
                <w:lang w:val="es-ES_tradnl"/>
              </w:rPr>
              <w:t xml:space="preserve">de </w:t>
            </w:r>
            <w:r w:rsidR="00F04EFB">
              <w:rPr>
                <w:rFonts w:ascii="Times New Roman" w:hAnsi="Times New Roman" w:cs="Times New Roman"/>
                <w:sz w:val="20"/>
                <w:szCs w:val="20"/>
                <w:lang w:val="es-ES_tradnl"/>
              </w:rPr>
              <w:t>p</w:t>
            </w:r>
            <w:r w:rsidR="00F04EFB" w:rsidRPr="00976BFF">
              <w:rPr>
                <w:rFonts w:ascii="Times New Roman" w:hAnsi="Times New Roman" w:cs="Times New Roman"/>
                <w:sz w:val="20"/>
                <w:szCs w:val="20"/>
                <w:lang w:val="es-ES_tradnl"/>
              </w:rPr>
              <w:t xml:space="preserve">rocedimientos </w:t>
            </w:r>
            <w:r w:rsidRPr="00976BFF">
              <w:rPr>
                <w:rFonts w:ascii="Times New Roman" w:hAnsi="Times New Roman" w:cs="Times New Roman"/>
                <w:sz w:val="20"/>
                <w:szCs w:val="20"/>
                <w:lang w:val="es-ES_tradnl"/>
              </w:rPr>
              <w:t xml:space="preserve">de </w:t>
            </w:r>
            <w:r w:rsidR="00F04EFB">
              <w:rPr>
                <w:rFonts w:ascii="Times New Roman" w:hAnsi="Times New Roman" w:cs="Times New Roman"/>
                <w:sz w:val="20"/>
                <w:szCs w:val="20"/>
                <w:lang w:val="es-ES_tradnl"/>
              </w:rPr>
              <w:t>e</w:t>
            </w:r>
            <w:r w:rsidR="00F04EFB" w:rsidRPr="00976BFF">
              <w:rPr>
                <w:rFonts w:ascii="Times New Roman" w:hAnsi="Times New Roman" w:cs="Times New Roman"/>
                <w:sz w:val="20"/>
                <w:szCs w:val="20"/>
                <w:lang w:val="es-ES_tradnl"/>
              </w:rPr>
              <w:t xml:space="preserve">xpropiación </w:t>
            </w:r>
            <w:r w:rsidRPr="00976BFF">
              <w:rPr>
                <w:rFonts w:ascii="Times New Roman" w:hAnsi="Times New Roman" w:cs="Times New Roman"/>
                <w:sz w:val="20"/>
                <w:szCs w:val="20"/>
                <w:lang w:val="es-ES_tradnl"/>
              </w:rPr>
              <w:t xml:space="preserve">y </w:t>
            </w:r>
            <w:r w:rsidR="00F04EFB">
              <w:rPr>
                <w:rFonts w:ascii="Times New Roman" w:hAnsi="Times New Roman" w:cs="Times New Roman"/>
                <w:sz w:val="20"/>
                <w:szCs w:val="20"/>
                <w:lang w:val="es-ES_tradnl"/>
              </w:rPr>
              <w:t>g</w:t>
            </w:r>
            <w:r w:rsidR="00F04EFB" w:rsidRPr="00976BFF">
              <w:rPr>
                <w:rFonts w:ascii="Times New Roman" w:hAnsi="Times New Roman" w:cs="Times New Roman"/>
                <w:sz w:val="20"/>
                <w:szCs w:val="20"/>
                <w:lang w:val="es-ES_tradnl"/>
              </w:rPr>
              <w:t xml:space="preserve">estión </w:t>
            </w:r>
            <w:r w:rsidR="00F04EFB">
              <w:rPr>
                <w:rFonts w:ascii="Times New Roman" w:hAnsi="Times New Roman" w:cs="Times New Roman"/>
                <w:sz w:val="20"/>
                <w:szCs w:val="20"/>
                <w:lang w:val="es-ES_tradnl"/>
              </w:rPr>
              <w:t>s</w:t>
            </w:r>
            <w:r w:rsidR="00F04EFB" w:rsidRPr="00976BFF">
              <w:rPr>
                <w:rFonts w:ascii="Times New Roman" w:hAnsi="Times New Roman" w:cs="Times New Roman"/>
                <w:sz w:val="20"/>
                <w:szCs w:val="20"/>
                <w:lang w:val="es-ES_tradnl"/>
              </w:rPr>
              <w:t>ocial</w:t>
            </w:r>
          </w:p>
          <w:p w:rsidR="007606FA" w:rsidRPr="00976BFF" w:rsidRDefault="007606FA" w:rsidP="007A653A">
            <w:pPr>
              <w:pStyle w:val="ListParagraph"/>
              <w:numPr>
                <w:ilvl w:val="0"/>
                <w:numId w:val="12"/>
              </w:numPr>
              <w:autoSpaceDE w:val="0"/>
              <w:autoSpaceDN w:val="0"/>
              <w:adjustRightInd w:val="0"/>
              <w:ind w:left="162" w:hanging="167"/>
              <w:rPr>
                <w:sz w:val="20"/>
                <w:szCs w:val="20"/>
                <w:lang w:val="es-ES_tradnl"/>
              </w:rPr>
            </w:pPr>
            <w:r w:rsidRPr="00976BFF">
              <w:rPr>
                <w:rFonts w:ascii="Times New Roman" w:hAnsi="Times New Roman" w:cs="Times New Roman"/>
                <w:sz w:val="20"/>
                <w:szCs w:val="20"/>
                <w:lang w:val="es-ES_tradnl"/>
              </w:rPr>
              <w:t xml:space="preserve">Proporcionar actividades de fortalecimiento de la capacidad sobre el </w:t>
            </w:r>
            <w:r w:rsidR="00AC4C37">
              <w:rPr>
                <w:rFonts w:ascii="Times New Roman" w:hAnsi="Times New Roman" w:cs="Times New Roman"/>
                <w:sz w:val="20"/>
                <w:szCs w:val="20"/>
                <w:lang w:val="es-ES_tradnl"/>
              </w:rPr>
              <w:t>p</w:t>
            </w:r>
            <w:r w:rsidR="009B073D" w:rsidRPr="00976BFF">
              <w:rPr>
                <w:rFonts w:ascii="Times New Roman" w:hAnsi="Times New Roman" w:cs="Times New Roman"/>
                <w:sz w:val="20"/>
                <w:szCs w:val="20"/>
                <w:lang w:val="es-ES_tradnl"/>
              </w:rPr>
              <w:t>rograma</w:t>
            </w:r>
            <w:r w:rsidRPr="00976BFF">
              <w:rPr>
                <w:rFonts w:ascii="Times New Roman" w:hAnsi="Times New Roman" w:cs="Times New Roman"/>
                <w:sz w:val="20"/>
                <w:szCs w:val="20"/>
                <w:lang w:val="es-ES_tradnl"/>
              </w:rPr>
              <w:t xml:space="preserve"> por resultados y la gestión ambiental</w:t>
            </w:r>
          </w:p>
          <w:p w:rsidR="007606FA" w:rsidRPr="00976BFF" w:rsidRDefault="007606FA" w:rsidP="007A653A">
            <w:pPr>
              <w:pStyle w:val="ListParagraph"/>
              <w:numPr>
                <w:ilvl w:val="0"/>
                <w:numId w:val="12"/>
              </w:numPr>
              <w:autoSpaceDE w:val="0"/>
              <w:autoSpaceDN w:val="0"/>
              <w:adjustRightInd w:val="0"/>
              <w:ind w:left="162" w:hanging="167"/>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el estudio de </w:t>
            </w:r>
            <w:r w:rsidR="00AC4C37">
              <w:rPr>
                <w:rFonts w:ascii="Times New Roman" w:hAnsi="Times New Roman" w:cs="Times New Roman"/>
                <w:sz w:val="20"/>
                <w:szCs w:val="20"/>
                <w:lang w:val="es-ES_tradnl"/>
              </w:rPr>
              <w:t xml:space="preserve">las </w:t>
            </w:r>
            <w:r w:rsidRPr="00976BFF">
              <w:rPr>
                <w:rFonts w:ascii="Times New Roman" w:hAnsi="Times New Roman" w:cs="Times New Roman"/>
                <w:sz w:val="20"/>
                <w:szCs w:val="20"/>
                <w:lang w:val="es-ES_tradnl"/>
              </w:rPr>
              <w:t>adquisiciones para determinar cuáles son los obstáculos</w:t>
            </w:r>
          </w:p>
        </w:tc>
        <w:tc>
          <w:tcPr>
            <w:tcW w:w="2458" w:type="dxa"/>
          </w:tcPr>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de proyectos y seguimiento y evaluación</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financiera</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Adquisiciones</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Especialista en medio ambiente</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Especialista social y en reasentamiento</w:t>
            </w:r>
          </w:p>
          <w:p w:rsidR="007606FA" w:rsidRPr="00976BFF" w:rsidRDefault="00F20628"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Gob</w:t>
            </w:r>
            <w:r>
              <w:rPr>
                <w:rFonts w:ascii="Times New Roman" w:hAnsi="Times New Roman" w:cs="Times New Roman"/>
                <w:sz w:val="20"/>
                <w:szCs w:val="20"/>
                <w:lang w:val="es-ES_tradnl"/>
              </w:rPr>
              <w:t>ierno</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y gestión del sector público</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Ingeniería y seguridad vial</w:t>
            </w:r>
          </w:p>
          <w:p w:rsidR="007606FA" w:rsidRPr="00976BFF" w:rsidRDefault="007606FA" w:rsidP="007A653A">
            <w:pPr>
              <w:numPr>
                <w:ilvl w:val="0"/>
                <w:numId w:val="12"/>
              </w:numPr>
              <w:spacing w:after="0" w:line="240" w:lineRule="auto"/>
              <w:ind w:left="288" w:hanging="288"/>
              <w:rPr>
                <w:sz w:val="20"/>
                <w:szCs w:val="20"/>
                <w:lang w:val="es-ES_tradnl"/>
              </w:rPr>
            </w:pPr>
            <w:r w:rsidRPr="00976BFF">
              <w:rPr>
                <w:rFonts w:ascii="Times New Roman" w:hAnsi="Times New Roman" w:cs="Times New Roman"/>
                <w:sz w:val="20"/>
                <w:szCs w:val="20"/>
                <w:lang w:val="es-ES_tradnl"/>
              </w:rPr>
              <w:t>Planificación y logística de transporte</w:t>
            </w:r>
          </w:p>
          <w:p w:rsidR="007606FA" w:rsidRPr="00976BFF" w:rsidRDefault="001C47AE" w:rsidP="007A653A">
            <w:pPr>
              <w:numPr>
                <w:ilvl w:val="0"/>
                <w:numId w:val="12"/>
              </w:numPr>
              <w:spacing w:after="0" w:line="240" w:lineRule="auto"/>
              <w:ind w:left="288" w:hanging="288"/>
              <w:rPr>
                <w:lang w:val="es-ES_tradnl"/>
              </w:rPr>
            </w:pPr>
            <w:r>
              <w:rPr>
                <w:rFonts w:ascii="Times New Roman" w:hAnsi="Times New Roman" w:cs="Times New Roman"/>
                <w:sz w:val="20"/>
                <w:szCs w:val="20"/>
                <w:lang w:val="es-ES_tradnl"/>
              </w:rPr>
              <w:t>Asociaciones público</w:t>
            </w:r>
            <w:r>
              <w:rPr>
                <w:rFonts w:ascii="Times New Roman" w:hAnsi="Times New Roman" w:cs="Times New Roman"/>
                <w:sz w:val="20"/>
                <w:szCs w:val="20"/>
                <w:lang w:val="es-ES_tradnl"/>
              </w:rPr>
              <w:noBreakHyphen/>
              <w:t xml:space="preserve">privadas </w:t>
            </w:r>
            <w:r w:rsidR="007606FA" w:rsidRPr="00976BFF">
              <w:rPr>
                <w:rFonts w:ascii="Times New Roman" w:hAnsi="Times New Roman" w:cs="Times New Roman"/>
                <w:sz w:val="20"/>
                <w:szCs w:val="20"/>
                <w:lang w:val="es-ES_tradnl"/>
              </w:rPr>
              <w:t>y administración de contratos</w:t>
            </w:r>
          </w:p>
        </w:tc>
        <w:tc>
          <w:tcPr>
            <w:tcW w:w="189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55 semanas-personal</w:t>
            </w:r>
          </w:p>
        </w:tc>
        <w:tc>
          <w:tcPr>
            <w:tcW w:w="14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w:t>
            </w:r>
          </w:p>
        </w:tc>
      </w:tr>
      <w:tr w:rsidR="007606FA" w:rsidRPr="00976BFF">
        <w:tc>
          <w:tcPr>
            <w:tcW w:w="1161" w:type="dxa"/>
          </w:tcPr>
          <w:p w:rsidR="007606FA" w:rsidRPr="00976BFF" w:rsidRDefault="007606FA" w:rsidP="007A653A">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12-48 meses</w:t>
            </w:r>
          </w:p>
        </w:tc>
        <w:tc>
          <w:tcPr>
            <w:tcW w:w="2782" w:type="dxa"/>
          </w:tcPr>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el seguimiento del presupuesto y las asignaciones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un seguimiento de los avances físicos y la calidad de las obras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inclusive mediante visitas sobre el terreno</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un seguimiento del marco de resultados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Realizar un seguimiento de los avances en las actividades del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Evaluar el desempeño técnico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xml:space="preserve"> (calidad de las obras, sostenibilidad</w:t>
            </w:r>
            <w:r w:rsidR="00F20628" w:rsidRPr="00976BFF">
              <w:rPr>
                <w:rFonts w:ascii="Times New Roman" w:hAnsi="Times New Roman" w:cs="Times New Roman"/>
                <w:sz w:val="20"/>
                <w:szCs w:val="20"/>
                <w:lang w:val="es-ES_tradnl"/>
              </w:rPr>
              <w:t>)</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Evaluar el desempeño de los sistemas fiduciarios del </w:t>
            </w:r>
            <w:r w:rsidR="008A1019">
              <w:rPr>
                <w:rFonts w:ascii="Times New Roman" w:hAnsi="Times New Roman" w:cs="Times New Roman"/>
                <w:sz w:val="20"/>
                <w:szCs w:val="20"/>
                <w:lang w:val="es-ES_tradnl"/>
              </w:rPr>
              <w:t>programa</w:t>
            </w:r>
            <w:r w:rsidRPr="00976BFF">
              <w:rPr>
                <w:rFonts w:ascii="Times New Roman" w:hAnsi="Times New Roman" w:cs="Times New Roman"/>
                <w:sz w:val="20"/>
                <w:szCs w:val="20"/>
                <w:lang w:val="es-ES_tradnl"/>
              </w:rPr>
              <w:t xml:space="preserve"> de acuerdo con los indicadores y las mediciones que se diseñaron </w:t>
            </w:r>
            <w:r w:rsidR="00AC4C37">
              <w:rPr>
                <w:rFonts w:ascii="Times New Roman" w:hAnsi="Times New Roman" w:cs="Times New Roman"/>
                <w:sz w:val="20"/>
                <w:szCs w:val="20"/>
                <w:lang w:val="es-ES_tradnl"/>
              </w:rPr>
              <w:t>en</w:t>
            </w:r>
            <w:r w:rsidRPr="00976BFF">
              <w:rPr>
                <w:rFonts w:ascii="Times New Roman" w:hAnsi="Times New Roman" w:cs="Times New Roman"/>
                <w:sz w:val="20"/>
                <w:szCs w:val="20"/>
                <w:lang w:val="es-ES_tradnl"/>
              </w:rPr>
              <w:t xml:space="preserve"> la etapa de preparación del proyecto</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Evaluar el desempeño ambiental y social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Proporcionar asesoramiento </w:t>
            </w:r>
            <w:r w:rsidRPr="00976BFF">
              <w:rPr>
                <w:rFonts w:ascii="Times New Roman" w:hAnsi="Times New Roman" w:cs="Times New Roman"/>
                <w:i/>
                <w:sz w:val="20"/>
                <w:szCs w:val="20"/>
                <w:lang w:val="es-ES_tradnl"/>
              </w:rPr>
              <w:t>ad hoc</w:t>
            </w:r>
            <w:r w:rsidRPr="00976BFF">
              <w:rPr>
                <w:rFonts w:ascii="Times New Roman" w:hAnsi="Times New Roman" w:cs="Times New Roman"/>
                <w:sz w:val="20"/>
                <w:szCs w:val="20"/>
                <w:lang w:val="es-ES_tradnl"/>
              </w:rPr>
              <w:t xml:space="preserve">, apoyo técnico y logístico sobre cuestiones normativas, técnicas y de gestión vinculadas a las actividades incluidas en 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p>
          <w:p w:rsidR="007606FA" w:rsidRPr="00976BFF" w:rsidRDefault="007606FA" w:rsidP="007A653A">
            <w:pPr>
              <w:pStyle w:val="ListParagraph"/>
              <w:numPr>
                <w:ilvl w:val="0"/>
                <w:numId w:val="12"/>
              </w:numPr>
              <w:spacing w:before="120"/>
              <w:ind w:left="189" w:hanging="180"/>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Coordinar </w:t>
            </w:r>
            <w:r w:rsidR="00AC4C37">
              <w:rPr>
                <w:rFonts w:ascii="Times New Roman" w:hAnsi="Times New Roman" w:cs="Times New Roman"/>
                <w:sz w:val="20"/>
                <w:szCs w:val="20"/>
                <w:lang w:val="es-ES_tradnl"/>
              </w:rPr>
              <w:t xml:space="preserve">las actividades </w:t>
            </w:r>
            <w:r w:rsidRPr="00976BFF">
              <w:rPr>
                <w:rFonts w:ascii="Times New Roman" w:hAnsi="Times New Roman" w:cs="Times New Roman"/>
                <w:sz w:val="20"/>
                <w:szCs w:val="20"/>
                <w:lang w:val="es-ES_tradnl"/>
              </w:rPr>
              <w:t xml:space="preserve">con el BID y otras partes interesadas en el </w:t>
            </w:r>
            <w:r w:rsidR="008A1019">
              <w:rPr>
                <w:rFonts w:ascii="Times New Roman" w:hAnsi="Times New Roman" w:cs="Times New Roman"/>
                <w:sz w:val="20"/>
                <w:szCs w:val="20"/>
                <w:lang w:val="es-ES_tradnl"/>
              </w:rPr>
              <w:t>programa</w:t>
            </w:r>
          </w:p>
        </w:tc>
        <w:tc>
          <w:tcPr>
            <w:tcW w:w="2458" w:type="dxa"/>
          </w:tcPr>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de proyectos y seguimiento y evaluación</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financiera</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Adquisiciones</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Especialista en medio ambiente</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Especialista social y en reasentamiento</w:t>
            </w:r>
          </w:p>
          <w:p w:rsidR="007606FA" w:rsidRPr="00976BFF" w:rsidRDefault="00C04072"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Gob</w:t>
            </w:r>
            <w:r>
              <w:rPr>
                <w:rFonts w:ascii="Times New Roman" w:hAnsi="Times New Roman" w:cs="Times New Roman"/>
                <w:sz w:val="20"/>
                <w:szCs w:val="20"/>
                <w:lang w:val="es-ES_tradnl"/>
              </w:rPr>
              <w:t>ierno</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y gestión del sector público</w:t>
            </w:r>
          </w:p>
          <w:p w:rsidR="007606FA" w:rsidRPr="00976BFF" w:rsidRDefault="007606FA" w:rsidP="007A653A">
            <w:pPr>
              <w:numPr>
                <w:ilvl w:val="0"/>
                <w:numId w:val="12"/>
              </w:numPr>
              <w:spacing w:after="0" w:line="240" w:lineRule="auto"/>
              <w:ind w:left="288" w:hanging="288"/>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Ingeniería y seguridad vial</w:t>
            </w:r>
          </w:p>
          <w:p w:rsidR="007606FA" w:rsidRPr="00976BFF" w:rsidRDefault="007606FA" w:rsidP="007A653A">
            <w:pPr>
              <w:numPr>
                <w:ilvl w:val="0"/>
                <w:numId w:val="12"/>
              </w:numPr>
              <w:spacing w:after="0" w:line="240" w:lineRule="auto"/>
              <w:ind w:left="288" w:hanging="288"/>
              <w:rPr>
                <w:sz w:val="20"/>
                <w:szCs w:val="20"/>
                <w:lang w:val="es-ES_tradnl"/>
              </w:rPr>
            </w:pPr>
            <w:r w:rsidRPr="00976BFF">
              <w:rPr>
                <w:rFonts w:ascii="Times New Roman" w:hAnsi="Times New Roman" w:cs="Times New Roman"/>
                <w:sz w:val="20"/>
                <w:szCs w:val="20"/>
                <w:lang w:val="es-ES_tradnl"/>
              </w:rPr>
              <w:t>Planificación y logística de transporte</w:t>
            </w:r>
          </w:p>
          <w:p w:rsidR="007606FA" w:rsidRPr="00976BFF" w:rsidRDefault="007606FA" w:rsidP="007A653A">
            <w:pPr>
              <w:pStyle w:val="ListParagraph"/>
              <w:numPr>
                <w:ilvl w:val="0"/>
                <w:numId w:val="17"/>
              </w:numPr>
              <w:ind w:left="236" w:hanging="236"/>
              <w:rPr>
                <w:sz w:val="20"/>
                <w:szCs w:val="20"/>
                <w:lang w:val="es-ES_tradnl"/>
              </w:rPr>
            </w:pPr>
            <w:r w:rsidRPr="00976BFF">
              <w:rPr>
                <w:rFonts w:ascii="Times New Roman" w:hAnsi="Times New Roman" w:cs="Times New Roman"/>
                <w:sz w:val="20"/>
                <w:szCs w:val="20"/>
                <w:lang w:val="es-ES_tradnl"/>
              </w:rPr>
              <w:t>Asociaciones público-privadas y administración de contratos</w:t>
            </w:r>
          </w:p>
        </w:tc>
        <w:tc>
          <w:tcPr>
            <w:tcW w:w="1897" w:type="dxa"/>
          </w:tcPr>
          <w:p w:rsidR="007606FA" w:rsidRPr="00976BFF" w:rsidRDefault="007606FA" w:rsidP="007A653A">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34 semanas-personal al año</w:t>
            </w:r>
          </w:p>
        </w:tc>
        <w:tc>
          <w:tcPr>
            <w:tcW w:w="1440" w:type="dxa"/>
          </w:tcPr>
          <w:p w:rsidR="007606FA" w:rsidRPr="00976BFF" w:rsidRDefault="007606FA" w:rsidP="007A653A">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w:t>
            </w:r>
          </w:p>
        </w:tc>
      </w:tr>
    </w:tbl>
    <w:p w:rsidR="007606FA" w:rsidRPr="00976BFF" w:rsidRDefault="007606FA" w:rsidP="007606FA">
      <w:pPr>
        <w:rPr>
          <w:rFonts w:ascii="Times New Roman" w:hAnsi="Times New Roman" w:cs="Times New Roman"/>
          <w:b/>
          <w:lang w:val="es-ES_tradnl"/>
        </w:rPr>
      </w:pPr>
    </w:p>
    <w:p w:rsidR="007606FA" w:rsidRPr="00976BFF" w:rsidRDefault="007606FA" w:rsidP="007606FA">
      <w:pPr>
        <w:pStyle w:val="Heading3"/>
        <w:rPr>
          <w:lang w:val="es-ES_tradnl"/>
        </w:rPr>
      </w:pPr>
      <w:bookmarkStart w:id="115" w:name="_Toc344927228"/>
      <w:r w:rsidRPr="00976BFF">
        <w:rPr>
          <w:lang w:val="es-ES_tradnl"/>
        </w:rPr>
        <w:t>Combinación de especialidades</w:t>
      </w:r>
      <w:r w:rsidR="00600FCC">
        <w:rPr>
          <w:lang w:val="es-ES_tradnl"/>
        </w:rPr>
        <w:t xml:space="preserve"> necesaria para que</w:t>
      </w:r>
      <w:r w:rsidRPr="00976BFF">
        <w:rPr>
          <w:lang w:val="es-ES_tradnl"/>
        </w:rPr>
        <w:t xml:space="preserve"> el equipo de trabajo</w:t>
      </w:r>
      <w:r w:rsidR="000A5F66">
        <w:rPr>
          <w:lang w:val="es-ES_tradnl"/>
        </w:rPr>
        <w:t xml:space="preserve"> </w:t>
      </w:r>
      <w:r w:rsidRPr="00976BFF">
        <w:rPr>
          <w:lang w:val="es-ES_tradnl"/>
        </w:rPr>
        <w:t>proporcion</w:t>
      </w:r>
      <w:r w:rsidR="00600FCC">
        <w:rPr>
          <w:lang w:val="es-ES_tradnl"/>
        </w:rPr>
        <w:t>e</w:t>
      </w:r>
      <w:r w:rsidRPr="00976BFF">
        <w:rPr>
          <w:lang w:val="es-ES_tradnl"/>
        </w:rPr>
        <w:t xml:space="preserve"> apoyo a la ejecución</w:t>
      </w:r>
      <w:bookmarkEnd w:id="115"/>
    </w:p>
    <w:p w:rsidR="007606FA" w:rsidRPr="00976BFF" w:rsidRDefault="007606FA" w:rsidP="007606FA">
      <w:pPr>
        <w:pStyle w:val="Annexmain"/>
        <w:numPr>
          <w:ilvl w:val="0"/>
          <w:numId w:val="15"/>
        </w:numPr>
        <w:ind w:left="0" w:firstLine="0"/>
        <w:rPr>
          <w:lang w:val="es-ES_tradnl"/>
        </w:rPr>
      </w:pPr>
      <w:r w:rsidRPr="00976BFF">
        <w:rPr>
          <w:lang w:val="es-ES_tradnl"/>
        </w:rPr>
        <w:t xml:space="preserve">Se calcula que durante el primer año de ejecución se necesitarán 55 semanas-personal (personal del Banco y consultores especializados) y 34 semanas-personal durante los tres años siguientes. La carga de trabajo obedece a la amplia combinación de especialidades que se requiere para que la supervisión sea adecuada y para reforzar el apoyo técnico para ejecutar el </w:t>
      </w:r>
      <w:r w:rsidR="007A653A" w:rsidRPr="00976BFF">
        <w:rPr>
          <w:lang w:val="es-ES_tradnl"/>
        </w:rPr>
        <w:t xml:space="preserve">Plan de Acción del </w:t>
      </w:r>
      <w:r w:rsidR="008A1019">
        <w:rPr>
          <w:lang w:val="es-ES_tradnl"/>
        </w:rPr>
        <w:t>programa</w:t>
      </w:r>
      <w:r w:rsidRPr="00976BFF">
        <w:rPr>
          <w:lang w:val="es-ES_tradnl"/>
        </w:rPr>
        <w:t>. En el siguiente cuadro se indican los recursos necesarios para el primer año de ejecución.</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9"/>
        <w:gridCol w:w="1145"/>
        <w:gridCol w:w="989"/>
        <w:gridCol w:w="3445"/>
      </w:tblGrid>
      <w:tr w:rsidR="007606FA" w:rsidRPr="00976BFF">
        <w:tc>
          <w:tcPr>
            <w:tcW w:w="4240" w:type="dxa"/>
          </w:tcPr>
          <w:p w:rsidR="007606FA" w:rsidRPr="00976BFF" w:rsidRDefault="007606FA" w:rsidP="007A653A">
            <w:pPr>
              <w:spacing w:after="0" w:line="240" w:lineRule="auto"/>
              <w:jc w:val="center"/>
              <w:rPr>
                <w:rFonts w:ascii="Times New Roman" w:hAnsi="Times New Roman" w:cs="Times New Roman"/>
                <w:b/>
                <w:i/>
                <w:lang w:val="es-ES_tradnl"/>
              </w:rPr>
            </w:pPr>
            <w:r w:rsidRPr="00976BFF">
              <w:rPr>
                <w:rFonts w:ascii="Times New Roman" w:hAnsi="Times New Roman" w:cs="Times New Roman"/>
                <w:b/>
                <w:i/>
                <w:lang w:val="es-ES_tradnl"/>
              </w:rPr>
              <w:t>Especialidades necesarias</w:t>
            </w:r>
          </w:p>
        </w:tc>
        <w:tc>
          <w:tcPr>
            <w:tcW w:w="998" w:type="dxa"/>
          </w:tcPr>
          <w:p w:rsidR="007606FA" w:rsidRPr="00976BFF" w:rsidRDefault="007606FA" w:rsidP="007A653A">
            <w:pPr>
              <w:spacing w:after="0" w:line="240" w:lineRule="auto"/>
              <w:ind w:left="36"/>
              <w:jc w:val="center"/>
              <w:rPr>
                <w:rFonts w:ascii="Times New Roman" w:hAnsi="Times New Roman" w:cs="Times New Roman"/>
                <w:b/>
                <w:i/>
                <w:lang w:val="es-ES_tradnl"/>
              </w:rPr>
            </w:pPr>
            <w:r w:rsidRPr="00976BFF">
              <w:rPr>
                <w:rFonts w:ascii="Times New Roman" w:hAnsi="Times New Roman" w:cs="Times New Roman"/>
                <w:b/>
                <w:i/>
                <w:lang w:val="es-ES_tradnl"/>
              </w:rPr>
              <w:t>Número de semanas-personal*</w:t>
            </w:r>
          </w:p>
        </w:tc>
        <w:tc>
          <w:tcPr>
            <w:tcW w:w="990" w:type="dxa"/>
          </w:tcPr>
          <w:p w:rsidR="007606FA" w:rsidRPr="00976BFF" w:rsidRDefault="007606FA" w:rsidP="007A653A">
            <w:pPr>
              <w:spacing w:after="0" w:line="240" w:lineRule="auto"/>
              <w:jc w:val="center"/>
              <w:rPr>
                <w:rFonts w:ascii="Times New Roman" w:hAnsi="Times New Roman" w:cs="Times New Roman"/>
                <w:b/>
                <w:i/>
                <w:lang w:val="es-ES_tradnl"/>
              </w:rPr>
            </w:pPr>
            <w:r w:rsidRPr="00976BFF">
              <w:rPr>
                <w:rFonts w:ascii="Times New Roman" w:hAnsi="Times New Roman" w:cs="Times New Roman"/>
                <w:b/>
                <w:i/>
                <w:lang w:val="es-ES_tradnl"/>
              </w:rPr>
              <w:t>Número de viajes</w:t>
            </w:r>
          </w:p>
        </w:tc>
        <w:tc>
          <w:tcPr>
            <w:tcW w:w="3510" w:type="dxa"/>
          </w:tcPr>
          <w:p w:rsidR="007606FA" w:rsidRPr="00976BFF" w:rsidRDefault="007606FA" w:rsidP="007A653A">
            <w:pPr>
              <w:spacing w:after="0" w:line="240" w:lineRule="auto"/>
              <w:ind w:left="-18"/>
              <w:jc w:val="center"/>
              <w:rPr>
                <w:rFonts w:ascii="Times New Roman" w:hAnsi="Times New Roman" w:cs="Times New Roman"/>
                <w:b/>
                <w:i/>
                <w:lang w:val="es-ES_tradnl"/>
              </w:rPr>
            </w:pPr>
            <w:r w:rsidRPr="00976BFF">
              <w:rPr>
                <w:rFonts w:ascii="Times New Roman" w:hAnsi="Times New Roman" w:cs="Times New Roman"/>
                <w:b/>
                <w:i/>
                <w:lang w:val="es-ES_tradnl"/>
              </w:rPr>
              <w:t xml:space="preserve">Comentarios </w:t>
            </w:r>
          </w:p>
        </w:tc>
      </w:tr>
      <w:tr w:rsidR="007606FA" w:rsidRPr="001E1C20">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de proyectos, seguimiento y evaluación</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12</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4</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Cuatro</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misiones en el primer año, incluidas las visitas sobre el terreno</w:t>
            </w:r>
          </w:p>
        </w:tc>
      </w:tr>
      <w:tr w:rsidR="007606FA" w:rsidRPr="001E1C20">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Ingeniería y seguridad vial</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6</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1</w:t>
            </w:r>
          </w:p>
        </w:tc>
        <w:tc>
          <w:tcPr>
            <w:tcW w:w="3510" w:type="dxa"/>
          </w:tcPr>
          <w:p w:rsidR="007606FA" w:rsidRPr="00976BFF" w:rsidRDefault="00C04072" w:rsidP="000A5F66">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 xml:space="preserve">misión </w:t>
            </w:r>
            <w:r w:rsidR="000A5F66">
              <w:rPr>
                <w:rFonts w:ascii="Times New Roman" w:hAnsi="Times New Roman" w:cs="Times New Roman"/>
                <w:sz w:val="20"/>
                <w:szCs w:val="20"/>
                <w:lang w:val="es-ES_tradnl"/>
              </w:rPr>
              <w:t>al año</w:t>
            </w:r>
            <w:r w:rsidR="007606FA" w:rsidRPr="00976BFF">
              <w:rPr>
                <w:rFonts w:ascii="Times New Roman" w:hAnsi="Times New Roman" w:cs="Times New Roman"/>
                <w:sz w:val="20"/>
                <w:szCs w:val="20"/>
                <w:lang w:val="es-ES_tradnl"/>
              </w:rPr>
              <w:t>, incluidas las visitas sobre el terreno</w:t>
            </w:r>
          </w:p>
        </w:tc>
      </w:tr>
      <w:tr w:rsidR="007606FA" w:rsidRPr="00976BFF">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Planificación y logística de transporte</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4</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1</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976BFF">
        <w:tc>
          <w:tcPr>
            <w:tcW w:w="4240" w:type="dxa"/>
          </w:tcPr>
          <w:p w:rsidR="007606FA" w:rsidRPr="00976BFF" w:rsidRDefault="00C04072" w:rsidP="00C04072">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Gob</w:t>
            </w:r>
            <w:r>
              <w:rPr>
                <w:rFonts w:ascii="Times New Roman" w:hAnsi="Times New Roman" w:cs="Times New Roman"/>
                <w:sz w:val="20"/>
                <w:szCs w:val="20"/>
                <w:lang w:val="es-ES_tradnl"/>
              </w:rPr>
              <w:t>ierno</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y gestión del sector público</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2</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2</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Dos</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misiones al año</w:t>
            </w:r>
          </w:p>
        </w:tc>
      </w:tr>
      <w:tr w:rsidR="007606FA" w:rsidRPr="00976BFF">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Asociaciones público-privadas</w:t>
            </w:r>
          </w:p>
        </w:tc>
        <w:tc>
          <w:tcPr>
            <w:tcW w:w="998" w:type="dxa"/>
          </w:tcPr>
          <w:p w:rsidR="007606FA" w:rsidRPr="00976BFF" w:rsidRDefault="007606FA" w:rsidP="007A653A">
            <w:pPr>
              <w:spacing w:after="0" w:line="240" w:lineRule="auto"/>
              <w:ind w:left="36"/>
              <w:rPr>
                <w:iCs/>
                <w:color w:val="000000"/>
                <w:sz w:val="20"/>
                <w:szCs w:val="20"/>
                <w:lang w:val="es-ES_tradnl"/>
              </w:rPr>
            </w:pPr>
            <w:r w:rsidRPr="00976BFF">
              <w:rPr>
                <w:iCs/>
                <w:color w:val="000000"/>
                <w:sz w:val="20"/>
                <w:szCs w:val="20"/>
                <w:lang w:val="es-ES_tradnl"/>
              </w:rPr>
              <w:t>3</w:t>
            </w:r>
          </w:p>
        </w:tc>
        <w:tc>
          <w:tcPr>
            <w:tcW w:w="990" w:type="dxa"/>
          </w:tcPr>
          <w:p w:rsidR="007606FA" w:rsidRPr="00976BFF" w:rsidRDefault="007606FA" w:rsidP="007A653A">
            <w:pPr>
              <w:spacing w:after="0" w:line="240" w:lineRule="auto"/>
              <w:rPr>
                <w:iCs/>
                <w:color w:val="000000"/>
                <w:sz w:val="20"/>
                <w:szCs w:val="20"/>
                <w:lang w:val="es-ES_tradnl"/>
              </w:rPr>
            </w:pPr>
            <w:r w:rsidRPr="00976BFF">
              <w:rPr>
                <w:iCs/>
                <w:color w:val="000000"/>
                <w:sz w:val="20"/>
                <w:szCs w:val="20"/>
                <w:lang w:val="es-ES_tradnl"/>
              </w:rPr>
              <w:t>1</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976BFF">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Adquisiciones (especialista en adquisiciones)</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12</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2</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Dos</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misiones al año</w:t>
            </w:r>
          </w:p>
        </w:tc>
      </w:tr>
      <w:tr w:rsidR="007606FA" w:rsidRPr="00976BFF">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financiera (especialista en gestión financiera)</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4</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2</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Dos</w:t>
            </w:r>
            <w:r w:rsidR="007606FA" w:rsidRPr="00976BFF">
              <w:rPr>
                <w:rFonts w:ascii="Times New Roman" w:hAnsi="Times New Roman" w:cs="Times New Roman"/>
                <w:sz w:val="20"/>
                <w:szCs w:val="20"/>
                <w:lang w:val="es-ES_tradnl"/>
              </w:rPr>
              <w:t xml:space="preserve"> misiones al año</w:t>
            </w:r>
          </w:p>
        </w:tc>
      </w:tr>
      <w:tr w:rsidR="007606FA" w:rsidRPr="001E1C20">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ambiental (especialista ambiental)</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6</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2</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Dos</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misiones al año, incluidas las visitas sobre el terreno</w:t>
            </w:r>
          </w:p>
        </w:tc>
      </w:tr>
      <w:tr w:rsidR="007606FA" w:rsidRPr="001E1C20">
        <w:tc>
          <w:tcPr>
            <w:tcW w:w="424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Desarrollo social (especialista social)</w:t>
            </w:r>
          </w:p>
        </w:tc>
        <w:tc>
          <w:tcPr>
            <w:tcW w:w="998" w:type="dxa"/>
          </w:tcPr>
          <w:p w:rsidR="007606FA" w:rsidRPr="00976BFF" w:rsidRDefault="007606FA" w:rsidP="007A653A">
            <w:pPr>
              <w:spacing w:after="0" w:line="240" w:lineRule="auto"/>
              <w:ind w:left="36"/>
              <w:rPr>
                <w:rFonts w:ascii="Times New Roman" w:hAnsi="Times New Roman" w:cs="Times New Roman"/>
                <w:sz w:val="20"/>
                <w:szCs w:val="20"/>
                <w:lang w:val="es-ES_tradnl"/>
              </w:rPr>
            </w:pPr>
            <w:r w:rsidRPr="00976BFF">
              <w:rPr>
                <w:iCs/>
                <w:color w:val="000000"/>
                <w:sz w:val="20"/>
                <w:szCs w:val="20"/>
                <w:lang w:val="es-ES_tradnl"/>
              </w:rPr>
              <w:t>6</w:t>
            </w:r>
          </w:p>
        </w:tc>
        <w:tc>
          <w:tcPr>
            <w:tcW w:w="990"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iCs/>
                <w:color w:val="000000"/>
                <w:sz w:val="20"/>
                <w:szCs w:val="20"/>
                <w:lang w:val="es-ES_tradnl"/>
              </w:rPr>
              <w:t>2</w:t>
            </w:r>
          </w:p>
        </w:tc>
        <w:tc>
          <w:tcPr>
            <w:tcW w:w="3510" w:type="dxa"/>
          </w:tcPr>
          <w:p w:rsidR="007606FA" w:rsidRPr="00976BFF" w:rsidRDefault="00C04072" w:rsidP="007A653A">
            <w:pPr>
              <w:spacing w:after="0" w:line="240" w:lineRule="auto"/>
              <w:ind w:left="-18"/>
              <w:rPr>
                <w:rFonts w:ascii="Times New Roman" w:hAnsi="Times New Roman" w:cs="Times New Roman"/>
                <w:sz w:val="20"/>
                <w:szCs w:val="20"/>
                <w:lang w:val="es-ES_tradnl"/>
              </w:rPr>
            </w:pPr>
            <w:r>
              <w:rPr>
                <w:rFonts w:ascii="Times New Roman" w:hAnsi="Times New Roman" w:cs="Times New Roman"/>
                <w:sz w:val="20"/>
                <w:szCs w:val="20"/>
                <w:lang w:val="es-ES_tradnl"/>
              </w:rPr>
              <w:t>Dos</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misiones al año, incluidas las visitas sobre el terreno</w:t>
            </w:r>
          </w:p>
        </w:tc>
      </w:tr>
    </w:tbl>
    <w:p w:rsidR="007606FA" w:rsidRPr="000B5989" w:rsidRDefault="007606FA" w:rsidP="007606FA">
      <w:pPr>
        <w:rPr>
          <w:rFonts w:ascii="Times New Roman" w:hAnsi="Times New Roman" w:cs="Times New Roman"/>
          <w:sz w:val="20"/>
          <w:lang w:val="es-ES_tradnl"/>
        </w:rPr>
      </w:pPr>
      <w:r w:rsidRPr="000B5989">
        <w:rPr>
          <w:rFonts w:ascii="Times New Roman" w:hAnsi="Times New Roman" w:cs="Times New Roman"/>
          <w:sz w:val="20"/>
          <w:lang w:val="es-ES_tradnl"/>
        </w:rPr>
        <w:t>* Personal del Banco y consultores</w:t>
      </w:r>
      <w:r w:rsidR="00C04072">
        <w:rPr>
          <w:rFonts w:ascii="Times New Roman" w:hAnsi="Times New Roman" w:cs="Times New Roman"/>
          <w:sz w:val="20"/>
          <w:lang w:val="es-ES_tradnl"/>
        </w:rPr>
        <w:t>.</w:t>
      </w:r>
    </w:p>
    <w:p w:rsidR="007606FA" w:rsidRPr="00976BFF" w:rsidRDefault="007606FA" w:rsidP="007606FA">
      <w:pPr>
        <w:rPr>
          <w:rFonts w:ascii="Times New Roman" w:hAnsi="Times New Roman" w:cs="Times New Roman"/>
          <w:lang w:val="es-ES_tradnl"/>
        </w:rPr>
      </w:pPr>
      <w:r w:rsidRPr="00976BFF">
        <w:rPr>
          <w:rFonts w:ascii="Times New Roman" w:hAnsi="Times New Roman" w:cs="Times New Roman"/>
          <w:lang w:val="es-ES_tradnl"/>
        </w:rPr>
        <w:t>El siguiente cuadro incluye los recursos anuales necesarios luego del primer año de ejecución.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8"/>
        <w:gridCol w:w="1145"/>
        <w:gridCol w:w="1047"/>
        <w:gridCol w:w="3508"/>
      </w:tblGrid>
      <w:tr w:rsidR="007606FA" w:rsidRPr="00976BFF">
        <w:tc>
          <w:tcPr>
            <w:tcW w:w="4128" w:type="dxa"/>
          </w:tcPr>
          <w:p w:rsidR="007606FA" w:rsidRPr="00976BFF" w:rsidRDefault="007606FA" w:rsidP="007A653A">
            <w:pPr>
              <w:spacing w:after="0" w:line="240" w:lineRule="auto"/>
              <w:jc w:val="center"/>
              <w:rPr>
                <w:rFonts w:ascii="Times New Roman" w:hAnsi="Times New Roman" w:cs="Times New Roman"/>
                <w:b/>
                <w:i/>
                <w:lang w:val="es-ES_tradnl"/>
              </w:rPr>
            </w:pPr>
            <w:r w:rsidRPr="00976BFF">
              <w:rPr>
                <w:rFonts w:ascii="Times New Roman" w:hAnsi="Times New Roman" w:cs="Times New Roman"/>
                <w:b/>
                <w:i/>
                <w:lang w:val="es-ES_tradnl"/>
              </w:rPr>
              <w:t>Especialidades necesarias</w:t>
            </w:r>
          </w:p>
        </w:tc>
        <w:tc>
          <w:tcPr>
            <w:tcW w:w="1145" w:type="dxa"/>
          </w:tcPr>
          <w:p w:rsidR="007606FA" w:rsidRPr="00976BFF" w:rsidRDefault="007606FA" w:rsidP="007A653A">
            <w:pPr>
              <w:spacing w:after="0" w:line="240" w:lineRule="auto"/>
              <w:ind w:left="36"/>
              <w:jc w:val="center"/>
              <w:rPr>
                <w:rFonts w:ascii="Times New Roman" w:hAnsi="Times New Roman" w:cs="Times New Roman"/>
                <w:b/>
                <w:i/>
                <w:lang w:val="es-ES_tradnl"/>
              </w:rPr>
            </w:pPr>
            <w:r w:rsidRPr="00976BFF">
              <w:rPr>
                <w:rFonts w:ascii="Times New Roman" w:hAnsi="Times New Roman" w:cs="Times New Roman"/>
                <w:b/>
                <w:i/>
                <w:lang w:val="es-ES_tradnl"/>
              </w:rPr>
              <w:t>Número de semanas-personal*</w:t>
            </w:r>
          </w:p>
        </w:tc>
        <w:tc>
          <w:tcPr>
            <w:tcW w:w="1047" w:type="dxa"/>
          </w:tcPr>
          <w:p w:rsidR="007606FA" w:rsidRPr="00976BFF" w:rsidRDefault="007606FA" w:rsidP="007A653A">
            <w:pPr>
              <w:spacing w:after="0" w:line="240" w:lineRule="auto"/>
              <w:jc w:val="center"/>
              <w:rPr>
                <w:rFonts w:ascii="Times New Roman" w:hAnsi="Times New Roman" w:cs="Times New Roman"/>
                <w:b/>
                <w:i/>
                <w:lang w:val="es-ES_tradnl"/>
              </w:rPr>
            </w:pPr>
            <w:r w:rsidRPr="00976BFF">
              <w:rPr>
                <w:rFonts w:ascii="Times New Roman" w:hAnsi="Times New Roman" w:cs="Times New Roman"/>
                <w:b/>
                <w:i/>
                <w:lang w:val="es-ES_tradnl"/>
              </w:rPr>
              <w:t>Número de viajes</w:t>
            </w:r>
          </w:p>
        </w:tc>
        <w:tc>
          <w:tcPr>
            <w:tcW w:w="3508" w:type="dxa"/>
          </w:tcPr>
          <w:p w:rsidR="007606FA" w:rsidRPr="00976BFF" w:rsidRDefault="007606FA" w:rsidP="007A653A">
            <w:pPr>
              <w:spacing w:after="0" w:line="240" w:lineRule="auto"/>
              <w:jc w:val="center"/>
              <w:rPr>
                <w:rFonts w:ascii="Times New Roman" w:hAnsi="Times New Roman" w:cs="Times New Roman"/>
                <w:b/>
                <w:i/>
                <w:lang w:val="es-ES_tradnl"/>
              </w:rPr>
            </w:pPr>
            <w:r w:rsidRPr="00976BFF">
              <w:rPr>
                <w:rFonts w:ascii="Times New Roman" w:hAnsi="Times New Roman" w:cs="Times New Roman"/>
                <w:b/>
                <w:i/>
                <w:lang w:val="es-ES_tradnl"/>
              </w:rPr>
              <w:t>Comentarios</w:t>
            </w:r>
          </w:p>
        </w:tc>
      </w:tr>
      <w:tr w:rsidR="007606FA" w:rsidRPr="001E1C20">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de proyectos, seguimiento y evaluación</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8</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2</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Dos</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misiones al año, incluidas las visitas sobre el terreno</w:t>
            </w:r>
          </w:p>
        </w:tc>
      </w:tr>
      <w:tr w:rsidR="007606FA" w:rsidRPr="001E1C20">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Ingeniería y seguridad vial</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4</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w:t>
            </w:r>
            <w:r w:rsidR="001C47AE">
              <w:rPr>
                <w:rFonts w:ascii="Times New Roman" w:hAnsi="Times New Roman" w:cs="Times New Roman"/>
                <w:sz w:val="20"/>
                <w:szCs w:val="20"/>
                <w:lang w:val="es-ES_tradnl"/>
              </w:rPr>
              <w:t xml:space="preserve"> al año, incluidas las visitas </w:t>
            </w:r>
            <w:r w:rsidR="007606FA" w:rsidRPr="00976BFF">
              <w:rPr>
                <w:rFonts w:ascii="Times New Roman" w:hAnsi="Times New Roman" w:cs="Times New Roman"/>
                <w:sz w:val="20"/>
                <w:szCs w:val="20"/>
                <w:lang w:val="es-ES_tradnl"/>
              </w:rPr>
              <w:t>sobre el terreno</w:t>
            </w:r>
          </w:p>
        </w:tc>
      </w:tr>
      <w:tr w:rsidR="007606FA" w:rsidRPr="00976BFF">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Planificación y logística de transporte</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4</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976BFF">
        <w:trPr>
          <w:trHeight w:val="70"/>
        </w:trPr>
        <w:tc>
          <w:tcPr>
            <w:tcW w:w="4128" w:type="dxa"/>
          </w:tcPr>
          <w:p w:rsidR="007606FA" w:rsidRPr="00976BFF" w:rsidRDefault="00C04072" w:rsidP="00C04072">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Gob</w:t>
            </w:r>
            <w:r>
              <w:rPr>
                <w:rFonts w:ascii="Times New Roman" w:hAnsi="Times New Roman" w:cs="Times New Roman"/>
                <w:sz w:val="20"/>
                <w:szCs w:val="20"/>
                <w:lang w:val="es-ES_tradnl"/>
              </w:rPr>
              <w:t>ierno</w:t>
            </w:r>
            <w:r w:rsidRPr="00976BFF">
              <w:rPr>
                <w:rFonts w:ascii="Times New Roman" w:hAnsi="Times New Roman" w:cs="Times New Roman"/>
                <w:sz w:val="20"/>
                <w:szCs w:val="20"/>
                <w:lang w:val="es-ES_tradnl"/>
              </w:rPr>
              <w:t xml:space="preserve"> </w:t>
            </w:r>
            <w:r w:rsidR="007606FA" w:rsidRPr="00976BFF">
              <w:rPr>
                <w:rFonts w:ascii="Times New Roman" w:hAnsi="Times New Roman" w:cs="Times New Roman"/>
                <w:sz w:val="20"/>
                <w:szCs w:val="20"/>
                <w:lang w:val="es-ES_tradnl"/>
              </w:rPr>
              <w:t>y gestión del sector público</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2</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976BFF">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Asociaciones público-privadas</w:t>
            </w:r>
          </w:p>
        </w:tc>
        <w:tc>
          <w:tcPr>
            <w:tcW w:w="1145" w:type="dxa"/>
          </w:tcPr>
          <w:p w:rsidR="007606FA" w:rsidRPr="00976BFF" w:rsidRDefault="007606FA" w:rsidP="007A653A">
            <w:pPr>
              <w:spacing w:after="0" w:line="240" w:lineRule="auto"/>
              <w:rPr>
                <w:rFonts w:ascii="Times New Roman" w:hAnsi="Times New Roman" w:cs="Times New Roman"/>
                <w:iCs/>
                <w:sz w:val="20"/>
                <w:szCs w:val="20"/>
                <w:lang w:val="es-ES_tradnl"/>
              </w:rPr>
            </w:pPr>
            <w:r w:rsidRPr="00976BFF">
              <w:rPr>
                <w:rFonts w:ascii="Times New Roman" w:hAnsi="Times New Roman" w:cs="Times New Roman"/>
                <w:iCs/>
                <w:sz w:val="20"/>
                <w:szCs w:val="20"/>
                <w:lang w:val="es-ES_tradnl"/>
              </w:rPr>
              <w:t>2</w:t>
            </w:r>
          </w:p>
        </w:tc>
        <w:tc>
          <w:tcPr>
            <w:tcW w:w="1047" w:type="dxa"/>
          </w:tcPr>
          <w:p w:rsidR="007606FA" w:rsidRPr="00976BFF" w:rsidRDefault="007606FA" w:rsidP="007A653A">
            <w:pPr>
              <w:spacing w:after="0" w:line="240" w:lineRule="auto"/>
              <w:rPr>
                <w:rFonts w:ascii="Times New Roman" w:hAnsi="Times New Roman" w:cs="Times New Roman"/>
                <w:iCs/>
                <w:sz w:val="20"/>
                <w:szCs w:val="20"/>
                <w:lang w:val="es-ES_tradnl"/>
              </w:rPr>
            </w:pPr>
            <w:r w:rsidRPr="00976BFF">
              <w:rPr>
                <w:rFonts w:ascii="Times New Roman" w:hAnsi="Times New Roman" w:cs="Times New Roman"/>
                <w:iCs/>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976BFF">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Adquisiciones (especialista en adquisiciones)</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3</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976BFF">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financiera (especialista en gestión financiera)</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3</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w:t>
            </w:r>
          </w:p>
        </w:tc>
      </w:tr>
      <w:tr w:rsidR="007606FA" w:rsidRPr="001E1C20">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Gestión ambiental (especialista ambiental)</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4</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 incluidas las visitas sobre el terreno</w:t>
            </w:r>
          </w:p>
        </w:tc>
      </w:tr>
      <w:tr w:rsidR="007606FA" w:rsidRPr="001E1C20">
        <w:tc>
          <w:tcPr>
            <w:tcW w:w="4128"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Desarrollo social (especialista social)</w:t>
            </w:r>
          </w:p>
        </w:tc>
        <w:tc>
          <w:tcPr>
            <w:tcW w:w="1145"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4</w:t>
            </w:r>
          </w:p>
        </w:tc>
        <w:tc>
          <w:tcPr>
            <w:tcW w:w="1047" w:type="dxa"/>
          </w:tcPr>
          <w:p w:rsidR="007606FA" w:rsidRPr="00976BFF" w:rsidRDefault="007606FA" w:rsidP="007A653A">
            <w:pPr>
              <w:spacing w:after="0" w:line="240" w:lineRule="auto"/>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1</w:t>
            </w:r>
          </w:p>
        </w:tc>
        <w:tc>
          <w:tcPr>
            <w:tcW w:w="3508" w:type="dxa"/>
          </w:tcPr>
          <w:p w:rsidR="007606FA" w:rsidRPr="00976BFF" w:rsidRDefault="00C04072" w:rsidP="007A653A">
            <w:pPr>
              <w:spacing w:after="0"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Una</w:t>
            </w:r>
            <w:r w:rsidR="007606FA" w:rsidRPr="00976BFF">
              <w:rPr>
                <w:rFonts w:ascii="Times New Roman" w:hAnsi="Times New Roman" w:cs="Times New Roman"/>
                <w:sz w:val="20"/>
                <w:szCs w:val="20"/>
                <w:lang w:val="es-ES_tradnl"/>
              </w:rPr>
              <w:t xml:space="preserve"> misión al año, incluidas las visitas sobre el terreno</w:t>
            </w:r>
          </w:p>
        </w:tc>
      </w:tr>
    </w:tbl>
    <w:p w:rsidR="00C04072" w:rsidRPr="00431D6F" w:rsidRDefault="00C04072" w:rsidP="00C04072">
      <w:pPr>
        <w:rPr>
          <w:rFonts w:ascii="Times New Roman" w:hAnsi="Times New Roman" w:cs="Times New Roman"/>
          <w:sz w:val="20"/>
          <w:lang w:val="es-ES_tradnl"/>
        </w:rPr>
      </w:pPr>
      <w:r w:rsidRPr="00431D6F">
        <w:rPr>
          <w:rFonts w:ascii="Times New Roman" w:hAnsi="Times New Roman" w:cs="Times New Roman"/>
          <w:sz w:val="20"/>
          <w:lang w:val="es-ES_tradnl"/>
        </w:rPr>
        <w:t>* Personal del Banco y consultores</w:t>
      </w:r>
      <w:r>
        <w:rPr>
          <w:rFonts w:ascii="Times New Roman" w:hAnsi="Times New Roman" w:cs="Times New Roman"/>
          <w:sz w:val="20"/>
          <w:lang w:val="es-ES_tradnl"/>
        </w:rPr>
        <w:t>.</w:t>
      </w:r>
    </w:p>
    <w:p w:rsidR="007606FA" w:rsidRPr="00976BFF" w:rsidRDefault="007606FA" w:rsidP="007606FA">
      <w:pPr>
        <w:pStyle w:val="Heading3"/>
        <w:rPr>
          <w:lang w:val="es-ES_tradnl"/>
        </w:rPr>
      </w:pPr>
      <w:bookmarkStart w:id="116" w:name="_Toc344927229"/>
      <w:r w:rsidRPr="00976BFF">
        <w:rPr>
          <w:lang w:val="es-ES_tradnl"/>
        </w:rPr>
        <w:t xml:space="preserve">Función de los asociados en la ejecución del </w:t>
      </w:r>
      <w:bookmarkEnd w:id="116"/>
      <w:r w:rsidR="008A1019">
        <w:rPr>
          <w:lang w:val="es-ES_tradnl"/>
        </w:rPr>
        <w:t>programa</w:t>
      </w:r>
      <w:r w:rsidRPr="00976BFF">
        <w:rPr>
          <w:lang w:val="es-ES_tradnl"/>
        </w:rPr>
        <w:t xml:space="preserve">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2880"/>
        <w:gridCol w:w="3510"/>
      </w:tblGrid>
      <w:tr w:rsidR="007606FA" w:rsidRPr="00976BFF">
        <w:trPr>
          <w:trHeight w:val="125"/>
        </w:trPr>
        <w:tc>
          <w:tcPr>
            <w:tcW w:w="3348" w:type="dxa"/>
          </w:tcPr>
          <w:p w:rsidR="007606FA" w:rsidRPr="00976BFF" w:rsidRDefault="007606FA" w:rsidP="007A653A">
            <w:pPr>
              <w:jc w:val="center"/>
              <w:rPr>
                <w:rFonts w:ascii="Times New Roman" w:hAnsi="Times New Roman" w:cs="Times New Roman"/>
                <w:b/>
                <w:i/>
                <w:lang w:val="es-ES_tradnl"/>
              </w:rPr>
            </w:pPr>
            <w:r w:rsidRPr="00976BFF">
              <w:rPr>
                <w:rFonts w:ascii="Times New Roman" w:hAnsi="Times New Roman" w:cs="Times New Roman"/>
                <w:b/>
                <w:i/>
                <w:lang w:val="es-ES_tradnl"/>
              </w:rPr>
              <w:t>Nombre</w:t>
            </w:r>
          </w:p>
        </w:tc>
        <w:tc>
          <w:tcPr>
            <w:tcW w:w="2880" w:type="dxa"/>
          </w:tcPr>
          <w:p w:rsidR="007606FA" w:rsidRPr="00976BFF" w:rsidRDefault="007606FA" w:rsidP="003824A7">
            <w:pPr>
              <w:jc w:val="center"/>
              <w:rPr>
                <w:rFonts w:ascii="Times New Roman" w:hAnsi="Times New Roman" w:cs="Times New Roman"/>
                <w:b/>
                <w:i/>
                <w:lang w:val="es-ES_tradnl"/>
              </w:rPr>
            </w:pPr>
            <w:r w:rsidRPr="00976BFF">
              <w:rPr>
                <w:rFonts w:ascii="Times New Roman" w:hAnsi="Times New Roman" w:cs="Times New Roman"/>
                <w:b/>
                <w:i/>
                <w:lang w:val="es-ES_tradnl"/>
              </w:rPr>
              <w:t>Institución/</w:t>
            </w:r>
            <w:r w:rsidR="003824A7">
              <w:rPr>
                <w:rFonts w:ascii="Times New Roman" w:hAnsi="Times New Roman" w:cs="Times New Roman"/>
                <w:b/>
                <w:i/>
                <w:lang w:val="es-ES_tradnl"/>
              </w:rPr>
              <w:t>p</w:t>
            </w:r>
            <w:r w:rsidR="003824A7" w:rsidRPr="00976BFF">
              <w:rPr>
                <w:rFonts w:ascii="Times New Roman" w:hAnsi="Times New Roman" w:cs="Times New Roman"/>
                <w:b/>
                <w:i/>
                <w:lang w:val="es-ES_tradnl"/>
              </w:rPr>
              <w:t>aís</w:t>
            </w:r>
          </w:p>
        </w:tc>
        <w:tc>
          <w:tcPr>
            <w:tcW w:w="3510" w:type="dxa"/>
          </w:tcPr>
          <w:p w:rsidR="007606FA" w:rsidRPr="00976BFF" w:rsidRDefault="007606FA" w:rsidP="007A653A">
            <w:pPr>
              <w:ind w:left="-15"/>
              <w:jc w:val="center"/>
              <w:rPr>
                <w:rFonts w:ascii="Times New Roman" w:hAnsi="Times New Roman" w:cs="Times New Roman"/>
                <w:b/>
                <w:i/>
                <w:lang w:val="es-ES_tradnl"/>
              </w:rPr>
            </w:pPr>
            <w:r w:rsidRPr="00976BFF">
              <w:rPr>
                <w:rFonts w:ascii="Times New Roman" w:hAnsi="Times New Roman" w:cs="Times New Roman"/>
                <w:b/>
                <w:i/>
                <w:lang w:val="es-ES_tradnl"/>
              </w:rPr>
              <w:t>Función</w:t>
            </w:r>
          </w:p>
        </w:tc>
      </w:tr>
      <w:tr w:rsidR="007606FA" w:rsidRPr="001E1C20">
        <w:trPr>
          <w:trHeight w:val="125"/>
        </w:trPr>
        <w:tc>
          <w:tcPr>
            <w:tcW w:w="3348" w:type="dxa"/>
          </w:tcPr>
          <w:p w:rsidR="007606FA" w:rsidRPr="00976BFF" w:rsidRDefault="007E5773" w:rsidP="007A653A">
            <w:pPr>
              <w:rPr>
                <w:rFonts w:ascii="Times New Roman" w:hAnsi="Times New Roman" w:cs="Times New Roman"/>
                <w:sz w:val="20"/>
                <w:szCs w:val="20"/>
                <w:lang w:val="es-ES_tradnl"/>
              </w:rPr>
            </w:pPr>
            <w:r>
              <w:rPr>
                <w:rFonts w:ascii="Times New Roman" w:hAnsi="Times New Roman" w:cs="Times New Roman"/>
                <w:sz w:val="20"/>
                <w:szCs w:val="20"/>
                <w:lang w:val="es-ES_tradnl"/>
              </w:rPr>
              <w:t>BID</w:t>
            </w:r>
          </w:p>
        </w:tc>
        <w:tc>
          <w:tcPr>
            <w:tcW w:w="2880" w:type="dxa"/>
          </w:tcPr>
          <w:p w:rsidR="007606FA" w:rsidRPr="00976BFF" w:rsidRDefault="007606FA" w:rsidP="007A653A">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Institución financiera internacional</w:t>
            </w:r>
          </w:p>
        </w:tc>
        <w:tc>
          <w:tcPr>
            <w:tcW w:w="3510" w:type="dxa"/>
          </w:tcPr>
          <w:p w:rsidR="007606FA" w:rsidRPr="00976BFF" w:rsidRDefault="007606FA" w:rsidP="007A653A">
            <w:pPr>
              <w:ind w:left="-15"/>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 Llevar a cabo actividades de fortalecimiento institucional complementarias a las que se incluyen en el </w:t>
            </w:r>
            <w:r w:rsidR="007A653A" w:rsidRPr="00976BFF">
              <w:rPr>
                <w:rFonts w:ascii="Times New Roman" w:hAnsi="Times New Roman" w:cs="Times New Roman"/>
                <w:sz w:val="20"/>
                <w:szCs w:val="20"/>
                <w:lang w:val="es-ES_tradnl"/>
              </w:rPr>
              <w:t xml:space="preserve">Plan de Acción del </w:t>
            </w:r>
            <w:r w:rsidR="008A1019">
              <w:rPr>
                <w:rFonts w:ascii="Times New Roman" w:hAnsi="Times New Roman" w:cs="Times New Roman"/>
                <w:sz w:val="20"/>
                <w:szCs w:val="20"/>
                <w:lang w:val="es-ES_tradnl"/>
              </w:rPr>
              <w:t>programa</w:t>
            </w:r>
          </w:p>
          <w:p w:rsidR="007606FA" w:rsidRPr="00976BFF" w:rsidRDefault="007606FA" w:rsidP="007A653A">
            <w:pPr>
              <w:ind w:left="-15"/>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 Financiar obras de rehabilitación vial incluidas en el </w:t>
            </w:r>
            <w:r w:rsidR="000A5F66">
              <w:rPr>
                <w:rFonts w:ascii="Times New Roman" w:hAnsi="Times New Roman" w:cs="Times New Roman"/>
                <w:sz w:val="20"/>
                <w:szCs w:val="20"/>
                <w:lang w:val="es-ES_tradnl"/>
              </w:rPr>
              <w:t>p</w:t>
            </w:r>
            <w:r w:rsidR="009B073D" w:rsidRPr="00976BFF">
              <w:rPr>
                <w:rFonts w:ascii="Times New Roman" w:hAnsi="Times New Roman" w:cs="Times New Roman"/>
                <w:sz w:val="20"/>
                <w:szCs w:val="20"/>
                <w:lang w:val="es-ES_tradnl"/>
              </w:rPr>
              <w:t>rograma</w:t>
            </w:r>
            <w:r w:rsidRPr="00976BFF">
              <w:rPr>
                <w:rFonts w:ascii="Times New Roman" w:hAnsi="Times New Roman" w:cs="Times New Roman"/>
                <w:sz w:val="20"/>
                <w:szCs w:val="20"/>
                <w:lang w:val="es-ES_tradnl"/>
              </w:rPr>
              <w:t xml:space="preserve"> vial del Gobierno de Uruguay</w:t>
            </w:r>
          </w:p>
        </w:tc>
      </w:tr>
      <w:tr w:rsidR="007606FA" w:rsidRPr="001E1C20">
        <w:trPr>
          <w:trHeight w:val="125"/>
        </w:trPr>
        <w:tc>
          <w:tcPr>
            <w:tcW w:w="3348" w:type="dxa"/>
          </w:tcPr>
          <w:p w:rsidR="007606FA" w:rsidRPr="00976BFF" w:rsidRDefault="007606FA" w:rsidP="007A653A">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FONPLATA</w:t>
            </w:r>
          </w:p>
        </w:tc>
        <w:tc>
          <w:tcPr>
            <w:tcW w:w="2880" w:type="dxa"/>
          </w:tcPr>
          <w:p w:rsidR="007606FA" w:rsidRPr="00976BFF" w:rsidRDefault="007606FA" w:rsidP="007A653A">
            <w:pPr>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Institución financiera internacional</w:t>
            </w:r>
          </w:p>
        </w:tc>
        <w:tc>
          <w:tcPr>
            <w:tcW w:w="3510" w:type="dxa"/>
          </w:tcPr>
          <w:p w:rsidR="007606FA" w:rsidRPr="00976BFF" w:rsidRDefault="007606FA" w:rsidP="007A653A">
            <w:pPr>
              <w:ind w:left="-15"/>
              <w:rPr>
                <w:rFonts w:ascii="Times New Roman" w:hAnsi="Times New Roman" w:cs="Times New Roman"/>
                <w:sz w:val="20"/>
                <w:szCs w:val="20"/>
                <w:lang w:val="es-ES_tradnl"/>
              </w:rPr>
            </w:pPr>
            <w:r w:rsidRPr="00976BFF">
              <w:rPr>
                <w:rFonts w:ascii="Times New Roman" w:hAnsi="Times New Roman" w:cs="Times New Roman"/>
                <w:sz w:val="20"/>
                <w:szCs w:val="20"/>
                <w:lang w:val="es-ES_tradnl"/>
              </w:rPr>
              <w:t xml:space="preserve">. Financiar obras de rehabilitación vial incluidas en el </w:t>
            </w:r>
            <w:r w:rsidR="000A5F66">
              <w:rPr>
                <w:rFonts w:ascii="Times New Roman" w:hAnsi="Times New Roman" w:cs="Times New Roman"/>
                <w:sz w:val="20"/>
                <w:szCs w:val="20"/>
                <w:lang w:val="es-ES_tradnl"/>
              </w:rPr>
              <w:t>p</w:t>
            </w:r>
            <w:r w:rsidR="009B073D" w:rsidRPr="00976BFF">
              <w:rPr>
                <w:rFonts w:ascii="Times New Roman" w:hAnsi="Times New Roman" w:cs="Times New Roman"/>
                <w:sz w:val="20"/>
                <w:szCs w:val="20"/>
                <w:lang w:val="es-ES_tradnl"/>
              </w:rPr>
              <w:t>rograma</w:t>
            </w:r>
            <w:r w:rsidRPr="00976BFF">
              <w:rPr>
                <w:rFonts w:ascii="Times New Roman" w:hAnsi="Times New Roman" w:cs="Times New Roman"/>
                <w:sz w:val="20"/>
                <w:szCs w:val="20"/>
                <w:lang w:val="es-ES_tradnl"/>
              </w:rPr>
              <w:t xml:space="preserve"> vial del Gobierno de Uruguay</w:t>
            </w:r>
          </w:p>
        </w:tc>
      </w:tr>
    </w:tbl>
    <w:p w:rsidR="007606FA" w:rsidRPr="00976BFF" w:rsidRDefault="007606FA" w:rsidP="007606FA">
      <w:pPr>
        <w:pStyle w:val="NoSpacing"/>
        <w:ind w:left="360"/>
        <w:rPr>
          <w:rFonts w:ascii="Times New Roman" w:hAnsi="Times New Roman" w:cs="Times New Roman"/>
          <w:lang w:val="es-ES_tradnl"/>
        </w:rPr>
      </w:pPr>
    </w:p>
    <w:p w:rsidR="00514D7A" w:rsidRPr="00976BFF" w:rsidRDefault="00514D7A">
      <w:pPr>
        <w:rPr>
          <w:rFonts w:ascii="Times New Roman" w:hAnsi="Times New Roman" w:cs="Times New Roman"/>
          <w:lang w:val="es-ES_tradnl"/>
        </w:rPr>
      </w:pPr>
      <w:r w:rsidRPr="00976BFF">
        <w:rPr>
          <w:rFonts w:ascii="Times New Roman" w:hAnsi="Times New Roman" w:cs="Times New Roman"/>
          <w:lang w:val="es-ES_tradnl"/>
        </w:rPr>
        <w:br w:type="page"/>
      </w:r>
    </w:p>
    <w:p w:rsidR="001A31D9" w:rsidRPr="00976BFF" w:rsidRDefault="001A31D9" w:rsidP="00E27A43">
      <w:pPr>
        <w:pStyle w:val="NoSpacing"/>
        <w:ind w:left="360"/>
        <w:rPr>
          <w:rFonts w:ascii="Times New Roman" w:hAnsi="Times New Roman" w:cs="Times New Roman"/>
          <w:lang w:val="es-ES_tradnl"/>
        </w:rPr>
      </w:pPr>
    </w:p>
    <w:p w:rsidR="00514D7A" w:rsidRPr="00565743" w:rsidRDefault="00514D7A" w:rsidP="00514D7A">
      <w:pPr>
        <w:pStyle w:val="NoSpacing"/>
        <w:ind w:left="360"/>
        <w:jc w:val="center"/>
        <w:rPr>
          <w:rFonts w:ascii="Times New Roman" w:hAnsi="Times New Roman" w:cs="Times New Roman"/>
          <w:b/>
          <w:bCs/>
          <w:lang w:val="es-AR"/>
        </w:rPr>
      </w:pPr>
      <w:r w:rsidRPr="00BA7129">
        <w:rPr>
          <w:rFonts w:ascii="Times New Roman" w:hAnsi="Times New Roman" w:cs="Times New Roman"/>
          <w:b/>
          <w:bCs/>
          <w:lang w:val="es-AR"/>
        </w:rPr>
        <w:t>Anex</w:t>
      </w:r>
      <w:r w:rsidR="00565743" w:rsidRPr="00BA7129">
        <w:rPr>
          <w:rFonts w:ascii="Times New Roman" w:hAnsi="Times New Roman" w:cs="Times New Roman"/>
          <w:b/>
          <w:bCs/>
          <w:lang w:val="es-AR"/>
        </w:rPr>
        <w:t>o</w:t>
      </w:r>
      <w:r w:rsidRPr="00BA7129">
        <w:rPr>
          <w:rFonts w:ascii="Times New Roman" w:hAnsi="Times New Roman" w:cs="Times New Roman"/>
          <w:b/>
          <w:bCs/>
          <w:lang w:val="es-AR"/>
        </w:rPr>
        <w:t xml:space="preserve"> 10</w:t>
      </w:r>
      <w:r w:rsidR="00565743" w:rsidRPr="00BA7129">
        <w:rPr>
          <w:rFonts w:ascii="Times New Roman" w:hAnsi="Times New Roman" w:cs="Times New Roman"/>
          <w:b/>
          <w:bCs/>
          <w:lang w:val="es-AR"/>
        </w:rPr>
        <w:t>.</w:t>
      </w:r>
      <w:r w:rsidRPr="00BA7129">
        <w:rPr>
          <w:rFonts w:ascii="Times New Roman" w:hAnsi="Times New Roman" w:cs="Times New Roman"/>
          <w:b/>
          <w:bCs/>
          <w:lang w:val="es-AR"/>
        </w:rPr>
        <w:t xml:space="preserve"> </w:t>
      </w:r>
      <w:r w:rsidRPr="00565743">
        <w:rPr>
          <w:rFonts w:ascii="Times New Roman" w:hAnsi="Times New Roman" w:cs="Times New Roman"/>
          <w:b/>
          <w:bCs/>
          <w:lang w:val="es-AR"/>
        </w:rPr>
        <w:t>Map</w:t>
      </w:r>
      <w:r w:rsidR="00565743" w:rsidRPr="00565743">
        <w:rPr>
          <w:rFonts w:ascii="Times New Roman" w:hAnsi="Times New Roman" w:cs="Times New Roman"/>
          <w:b/>
          <w:bCs/>
          <w:lang w:val="es-AR"/>
        </w:rPr>
        <w:t xml:space="preserve">a de la </w:t>
      </w:r>
      <w:r w:rsidR="003824A7">
        <w:rPr>
          <w:rFonts w:ascii="Times New Roman" w:hAnsi="Times New Roman" w:cs="Times New Roman"/>
          <w:b/>
          <w:bCs/>
          <w:lang w:val="es-AR"/>
        </w:rPr>
        <w:t>r</w:t>
      </w:r>
      <w:r w:rsidR="003824A7" w:rsidRPr="00565743">
        <w:rPr>
          <w:rFonts w:ascii="Times New Roman" w:hAnsi="Times New Roman" w:cs="Times New Roman"/>
          <w:b/>
          <w:bCs/>
          <w:lang w:val="es-AR"/>
        </w:rPr>
        <w:t xml:space="preserve">ed </w:t>
      </w:r>
      <w:r w:rsidR="003824A7">
        <w:rPr>
          <w:rFonts w:ascii="Times New Roman" w:hAnsi="Times New Roman" w:cs="Times New Roman"/>
          <w:b/>
          <w:bCs/>
          <w:lang w:val="es-AR"/>
        </w:rPr>
        <w:t>v</w:t>
      </w:r>
      <w:r w:rsidR="003824A7" w:rsidRPr="00565743">
        <w:rPr>
          <w:rFonts w:ascii="Times New Roman" w:hAnsi="Times New Roman" w:cs="Times New Roman"/>
          <w:b/>
          <w:bCs/>
          <w:lang w:val="es-AR"/>
        </w:rPr>
        <w:t xml:space="preserve">ial </w:t>
      </w:r>
      <w:r w:rsidR="003824A7">
        <w:rPr>
          <w:rFonts w:ascii="Times New Roman" w:hAnsi="Times New Roman" w:cs="Times New Roman"/>
          <w:b/>
          <w:bCs/>
          <w:lang w:val="es-AR"/>
        </w:rPr>
        <w:t>n</w:t>
      </w:r>
      <w:r w:rsidR="003824A7" w:rsidRPr="00565743">
        <w:rPr>
          <w:rFonts w:ascii="Times New Roman" w:hAnsi="Times New Roman" w:cs="Times New Roman"/>
          <w:b/>
          <w:bCs/>
          <w:lang w:val="es-AR"/>
        </w:rPr>
        <w:t xml:space="preserve">acional </w:t>
      </w:r>
      <w:r w:rsidR="00565743" w:rsidRPr="00565743">
        <w:rPr>
          <w:rFonts w:ascii="Times New Roman" w:hAnsi="Times New Roman" w:cs="Times New Roman"/>
          <w:b/>
          <w:bCs/>
          <w:lang w:val="es-AR"/>
        </w:rPr>
        <w:t xml:space="preserve">de </w:t>
      </w:r>
      <w:r w:rsidRPr="00565743">
        <w:rPr>
          <w:rFonts w:ascii="Times New Roman" w:hAnsi="Times New Roman" w:cs="Times New Roman"/>
          <w:b/>
          <w:bCs/>
          <w:lang w:val="es-AR"/>
        </w:rPr>
        <w:t>Uruguay</w:t>
      </w:r>
      <w:r w:rsidR="0081253E">
        <w:rPr>
          <w:rFonts w:ascii="Times New Roman" w:hAnsi="Times New Roman" w:cs="Times New Roman"/>
          <w:b/>
          <w:bCs/>
          <w:lang w:val="es-AR"/>
        </w:rPr>
        <w:t xml:space="preserve"> </w:t>
      </w:r>
    </w:p>
    <w:p w:rsidR="00514D7A" w:rsidRPr="00565743" w:rsidRDefault="00514D7A" w:rsidP="00E27A43">
      <w:pPr>
        <w:pStyle w:val="NoSpacing"/>
        <w:ind w:left="360"/>
        <w:rPr>
          <w:rFonts w:ascii="Times New Roman" w:hAnsi="Times New Roman" w:cs="Times New Roman"/>
          <w:lang w:val="es-AR"/>
        </w:rPr>
      </w:pPr>
    </w:p>
    <w:p w:rsidR="00514D7A" w:rsidRPr="00565743" w:rsidRDefault="00514D7A" w:rsidP="00E27A43">
      <w:pPr>
        <w:pStyle w:val="NoSpacing"/>
        <w:ind w:left="360"/>
        <w:rPr>
          <w:rFonts w:ascii="Times New Roman" w:hAnsi="Times New Roman" w:cs="Times New Roman"/>
        </w:rPr>
      </w:pPr>
      <w:r w:rsidRPr="00976BFF">
        <w:rPr>
          <w:rFonts w:ascii="Times New Roman" w:hAnsi="Times New Roman" w:cs="Times New Roman"/>
          <w:noProof/>
        </w:rPr>
        <w:drawing>
          <wp:inline distT="0" distB="0" distL="0" distR="0">
            <wp:extent cx="5369313" cy="7347005"/>
            <wp:effectExtent l="19050" t="0" r="2787" b="0"/>
            <wp:docPr id="16" name="Picture 1" descr="C:\Users\wb326260\AppData\Local\Temp\notesD64464\URU3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26260\AppData\Local\Temp\notesD64464\URU39310.jpg"/>
                    <pic:cNvPicPr>
                      <a:picLocks noChangeAspect="1" noChangeArrowheads="1"/>
                    </pic:cNvPicPr>
                  </pic:nvPicPr>
                  <pic:blipFill>
                    <a:blip r:embed="rId20" cstate="print"/>
                    <a:srcRect/>
                    <a:stretch>
                      <a:fillRect/>
                    </a:stretch>
                  </pic:blipFill>
                  <pic:spPr bwMode="auto">
                    <a:xfrm>
                      <a:off x="0" y="0"/>
                      <a:ext cx="5368402" cy="7345759"/>
                    </a:xfrm>
                    <a:prstGeom prst="rect">
                      <a:avLst/>
                    </a:prstGeom>
                    <a:noFill/>
                    <a:ln w="9525">
                      <a:noFill/>
                      <a:miter lim="800000"/>
                      <a:headEnd/>
                      <a:tailEnd/>
                    </a:ln>
                  </pic:spPr>
                </pic:pic>
              </a:graphicData>
            </a:graphic>
          </wp:inline>
        </w:drawing>
      </w:r>
    </w:p>
    <w:sectPr w:rsidR="00514D7A" w:rsidRPr="00565743" w:rsidSect="00B034C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354" w:rsidRDefault="00766354" w:rsidP="00A7596D">
      <w:pPr>
        <w:spacing w:after="0" w:line="240" w:lineRule="auto"/>
      </w:pPr>
      <w:r>
        <w:separator/>
      </w:r>
    </w:p>
  </w:endnote>
  <w:endnote w:type="continuationSeparator" w:id="0">
    <w:p w:rsidR="00766354" w:rsidRDefault="00766354" w:rsidP="00A75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onac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354" w:rsidRDefault="00766354" w:rsidP="00BA61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6354" w:rsidRDefault="0076635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354" w:rsidRDefault="00766354">
    <w:pPr>
      <w:pStyle w:val="Footer"/>
      <w:framePr w:wrap="around" w:vAnchor="text" w:hAnchor="page" w:x="6031" w:y="13"/>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0817AF">
      <w:rPr>
        <w:rStyle w:val="PageNumber"/>
        <w:noProof/>
      </w:rPr>
      <w:t>ii</w:t>
    </w:r>
    <w:r>
      <w:rPr>
        <w:rStyle w:val="PageNumber"/>
      </w:rPr>
      <w:fldChar w:fldCharType="end"/>
    </w:r>
  </w:p>
  <w:p w:rsidR="00766354" w:rsidRDefault="00766354">
    <w:pPr>
      <w:pStyle w:val="Footer"/>
      <w:ind w:right="360"/>
      <w:jc w:val="center"/>
    </w:pPr>
  </w:p>
  <w:p w:rsidR="00766354" w:rsidRDefault="007663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3720"/>
      <w:docPartObj>
        <w:docPartGallery w:val="Page Numbers (Bottom of Page)"/>
        <w:docPartUnique/>
      </w:docPartObj>
    </w:sdtPr>
    <w:sdtEndPr/>
    <w:sdtContent>
      <w:p w:rsidR="00766354" w:rsidRDefault="00766354">
        <w:pPr>
          <w:pStyle w:val="Footer"/>
          <w:jc w:val="center"/>
        </w:pPr>
        <w:r>
          <w:fldChar w:fldCharType="begin"/>
        </w:r>
        <w:r>
          <w:instrText xml:space="preserve"> PAGE   \* MERGEFORMAT </w:instrText>
        </w:r>
        <w:r>
          <w:fldChar w:fldCharType="separate"/>
        </w:r>
        <w:r w:rsidR="000817AF">
          <w:rPr>
            <w:noProof/>
          </w:rPr>
          <w:t>2</w:t>
        </w:r>
        <w:r>
          <w:rPr>
            <w:noProof/>
          </w:rPr>
          <w:fldChar w:fldCharType="end"/>
        </w:r>
      </w:p>
    </w:sdtContent>
  </w:sdt>
  <w:p w:rsidR="00766354" w:rsidRDefault="007663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3721"/>
      <w:docPartObj>
        <w:docPartGallery w:val="Page Numbers (Bottom of Page)"/>
        <w:docPartUnique/>
      </w:docPartObj>
    </w:sdtPr>
    <w:sdtEndPr/>
    <w:sdtContent>
      <w:p w:rsidR="00766354" w:rsidRDefault="00766354">
        <w:pPr>
          <w:pStyle w:val="Footer"/>
          <w:jc w:val="center"/>
        </w:pPr>
        <w:r>
          <w:fldChar w:fldCharType="begin"/>
        </w:r>
        <w:r>
          <w:instrText xml:space="preserve"> PAGE   \* MERGEFORMAT </w:instrText>
        </w:r>
        <w:r>
          <w:fldChar w:fldCharType="separate"/>
        </w:r>
        <w:r w:rsidR="00AC438C">
          <w:rPr>
            <w:noProof/>
          </w:rPr>
          <w:t>22</w:t>
        </w:r>
        <w:r>
          <w:rPr>
            <w:noProof/>
          </w:rPr>
          <w:fldChar w:fldCharType="end"/>
        </w:r>
      </w:p>
    </w:sdtContent>
  </w:sdt>
  <w:p w:rsidR="00766354" w:rsidRDefault="00766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354" w:rsidRDefault="00766354" w:rsidP="00A7596D">
      <w:pPr>
        <w:spacing w:after="0" w:line="240" w:lineRule="auto"/>
      </w:pPr>
      <w:r>
        <w:separator/>
      </w:r>
    </w:p>
  </w:footnote>
  <w:footnote w:type="continuationSeparator" w:id="0">
    <w:p w:rsidR="00766354" w:rsidRDefault="00766354" w:rsidP="00A7596D">
      <w:pPr>
        <w:spacing w:after="0" w:line="240" w:lineRule="auto"/>
      </w:pPr>
      <w:r>
        <w:continuationSeparator/>
      </w:r>
    </w:p>
  </w:footnote>
  <w:footnote w:id="1">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w:t>
      </w:r>
      <w:r>
        <w:rPr>
          <w:lang w:val="es-ES_tradnl"/>
        </w:rPr>
        <w:t>Encuesta Continua de Hogares (</w:t>
      </w:r>
      <w:r w:rsidRPr="00976BFF">
        <w:rPr>
          <w:lang w:val="es-ES_tradnl"/>
        </w:rPr>
        <w:t>ECH</w:t>
      </w:r>
      <w:r>
        <w:rPr>
          <w:lang w:val="es-ES_tradnl"/>
        </w:rPr>
        <w:t>)</w:t>
      </w:r>
      <w:r w:rsidRPr="00976BFF">
        <w:rPr>
          <w:lang w:val="es-ES_tradnl"/>
        </w:rPr>
        <w:t xml:space="preserve"> 2011, como se informa en INE (2011), </w:t>
      </w:r>
      <w:r w:rsidRPr="00716465">
        <w:rPr>
          <w:lang w:val="es-ES_tradnl"/>
        </w:rPr>
        <w:t>“</w:t>
      </w:r>
      <w:r w:rsidRPr="000B5989">
        <w:rPr>
          <w:iCs/>
          <w:lang w:val="es-ES_tradnl"/>
        </w:rPr>
        <w:t>Estimación de la pobreza por el método del ingreso</w:t>
      </w:r>
      <w:r w:rsidRPr="00716465">
        <w:rPr>
          <w:lang w:val="es-ES_tradnl"/>
        </w:rPr>
        <w:t xml:space="preserve">”, </w:t>
      </w:r>
      <w:r w:rsidRPr="000B5989">
        <w:rPr>
          <w:iCs/>
          <w:lang w:val="es-ES_tradnl"/>
        </w:rPr>
        <w:t>Instituto Nacional de Estadística</w:t>
      </w:r>
      <w:r w:rsidRPr="00976BFF">
        <w:rPr>
          <w:lang w:val="es-ES_tradnl"/>
        </w:rPr>
        <w:t>, Montevideo, marzo de 2011.</w:t>
      </w:r>
    </w:p>
  </w:footnote>
  <w:footnote w:id="2">
    <w:p w:rsidR="00766354" w:rsidRPr="00976BFF" w:rsidRDefault="00766354" w:rsidP="00D74AD4">
      <w:pPr>
        <w:pStyle w:val="FootnoteText"/>
        <w:rPr>
          <w:lang w:val="es-ES_tradnl"/>
        </w:rPr>
      </w:pPr>
      <w:r w:rsidRPr="00976BFF">
        <w:rPr>
          <w:rStyle w:val="FootnoteReference"/>
          <w:lang w:val="es-ES_tradnl"/>
        </w:rPr>
        <w:footnoteRef/>
      </w:r>
      <w:r w:rsidRPr="00976BFF">
        <w:rPr>
          <w:lang w:val="es-ES_tradnl"/>
        </w:rPr>
        <w:t xml:space="preserve"> Valor de 2011. Fuente: M</w:t>
      </w:r>
      <w:r>
        <w:rPr>
          <w:lang w:val="es-ES_tradnl"/>
        </w:rPr>
        <w:t xml:space="preserve">inisterio de </w:t>
      </w:r>
      <w:r w:rsidRPr="00976BFF">
        <w:rPr>
          <w:lang w:val="es-ES_tradnl"/>
        </w:rPr>
        <w:t>E</w:t>
      </w:r>
      <w:r>
        <w:rPr>
          <w:lang w:val="es-ES_tradnl"/>
        </w:rPr>
        <w:t xml:space="preserve">conomía y </w:t>
      </w:r>
      <w:r w:rsidRPr="00976BFF">
        <w:rPr>
          <w:lang w:val="es-ES_tradnl"/>
        </w:rPr>
        <w:t>F</w:t>
      </w:r>
      <w:r>
        <w:rPr>
          <w:lang w:val="es-ES_tradnl"/>
        </w:rPr>
        <w:t>inanzas</w:t>
      </w:r>
      <w:r w:rsidRPr="00976BFF">
        <w:rPr>
          <w:lang w:val="es-ES_tradnl"/>
        </w:rPr>
        <w:t>, en base a los microdatos de la ECH</w:t>
      </w:r>
      <w:r>
        <w:rPr>
          <w:lang w:val="es-ES_tradnl"/>
        </w:rPr>
        <w:t xml:space="preserve"> del </w:t>
      </w:r>
      <w:r w:rsidRPr="00976BFF">
        <w:rPr>
          <w:lang w:val="es-ES_tradnl"/>
        </w:rPr>
        <w:t>I</w:t>
      </w:r>
      <w:r>
        <w:rPr>
          <w:lang w:val="es-ES_tradnl"/>
        </w:rPr>
        <w:t xml:space="preserve">nstituto </w:t>
      </w:r>
      <w:r w:rsidRPr="00976BFF">
        <w:rPr>
          <w:lang w:val="es-ES_tradnl"/>
        </w:rPr>
        <w:t>N</w:t>
      </w:r>
      <w:r>
        <w:rPr>
          <w:lang w:val="es-ES_tradnl"/>
        </w:rPr>
        <w:t xml:space="preserve">acional de </w:t>
      </w:r>
      <w:r w:rsidRPr="00976BFF">
        <w:rPr>
          <w:lang w:val="es-ES_tradnl"/>
        </w:rPr>
        <w:t>E</w:t>
      </w:r>
      <w:r>
        <w:rPr>
          <w:lang w:val="es-ES_tradnl"/>
        </w:rPr>
        <w:t>stadística</w:t>
      </w:r>
      <w:r w:rsidRPr="00976BFF">
        <w:rPr>
          <w:lang w:val="es-ES_tradnl"/>
        </w:rPr>
        <w:t>.</w:t>
      </w:r>
    </w:p>
  </w:footnote>
  <w:footnote w:id="3">
    <w:p w:rsidR="00766354" w:rsidRPr="00976BFF" w:rsidRDefault="00766354" w:rsidP="00961026">
      <w:pPr>
        <w:pStyle w:val="FootnoteText"/>
        <w:rPr>
          <w:lang w:val="es-ES_tradnl"/>
        </w:rPr>
      </w:pPr>
      <w:r w:rsidRPr="00976BFF">
        <w:rPr>
          <w:rStyle w:val="FootnoteReference"/>
          <w:lang w:val="es-ES_tradnl"/>
        </w:rPr>
        <w:footnoteRef/>
      </w:r>
      <w:r w:rsidRPr="00976BFF">
        <w:rPr>
          <w:lang w:val="es-ES_tradnl"/>
        </w:rPr>
        <w:t xml:space="preserve"> Decreto </w:t>
      </w:r>
      <w:r>
        <w:rPr>
          <w:lang w:val="es-ES_tradnl"/>
        </w:rPr>
        <w:t>l</w:t>
      </w:r>
      <w:r w:rsidRPr="00976BFF">
        <w:rPr>
          <w:lang w:val="es-ES_tradnl"/>
        </w:rPr>
        <w:t>ey 10382.</w:t>
      </w:r>
    </w:p>
  </w:footnote>
  <w:footnote w:id="4">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BID</w:t>
      </w:r>
      <w:r>
        <w:rPr>
          <w:lang w:val="es-ES_tradnl"/>
        </w:rPr>
        <w:t>,</w:t>
      </w:r>
      <w:r w:rsidRPr="00976BFF">
        <w:rPr>
          <w:lang w:val="es-ES_tradnl"/>
        </w:rPr>
        <w:t xml:space="preserve"> </w:t>
      </w:r>
      <w:r w:rsidRPr="000B5989">
        <w:rPr>
          <w:lang w:val="es-ES_tradnl"/>
        </w:rPr>
        <w:t>Programa Vial CVU</w:t>
      </w:r>
      <w:r w:rsidRPr="00976BFF">
        <w:rPr>
          <w:lang w:val="es-ES_tradnl"/>
        </w:rPr>
        <w:t xml:space="preserve"> (UR-L1022); BID</w:t>
      </w:r>
      <w:r>
        <w:rPr>
          <w:lang w:val="es-ES_tradnl"/>
        </w:rPr>
        <w:t>,</w:t>
      </w:r>
      <w:r w:rsidRPr="00976BFF">
        <w:rPr>
          <w:lang w:val="es-ES_tradnl"/>
        </w:rPr>
        <w:t xml:space="preserve"> </w:t>
      </w:r>
      <w:r w:rsidRPr="000B5989">
        <w:rPr>
          <w:lang w:val="es-ES_tradnl"/>
        </w:rPr>
        <w:t>Proyecto de Infraestructura Vial</w:t>
      </w:r>
      <w:r w:rsidRPr="00976BFF">
        <w:rPr>
          <w:lang w:val="es-ES_tradnl"/>
        </w:rPr>
        <w:t xml:space="preserve"> (UR-L1582); C</w:t>
      </w:r>
      <w:r>
        <w:rPr>
          <w:lang w:val="es-ES_tradnl"/>
        </w:rPr>
        <w:t xml:space="preserve">orporación </w:t>
      </w:r>
      <w:r w:rsidRPr="00976BFF">
        <w:rPr>
          <w:lang w:val="es-ES_tradnl"/>
        </w:rPr>
        <w:t>A</w:t>
      </w:r>
      <w:r>
        <w:rPr>
          <w:lang w:val="es-ES_tradnl"/>
        </w:rPr>
        <w:t xml:space="preserve">ndina de </w:t>
      </w:r>
      <w:r w:rsidRPr="00976BFF">
        <w:rPr>
          <w:lang w:val="es-ES_tradnl"/>
        </w:rPr>
        <w:t>F</w:t>
      </w:r>
      <w:r>
        <w:rPr>
          <w:lang w:val="es-ES_tradnl"/>
        </w:rPr>
        <w:t>omento,</w:t>
      </w:r>
      <w:r w:rsidRPr="00976BFF">
        <w:rPr>
          <w:lang w:val="es-ES_tradnl"/>
        </w:rPr>
        <w:t xml:space="preserve"> </w:t>
      </w:r>
      <w:r w:rsidRPr="000B5989">
        <w:rPr>
          <w:lang w:val="es-ES_tradnl"/>
        </w:rPr>
        <w:t>Programa de Infraestructura Vial Fase III</w:t>
      </w:r>
      <w:r w:rsidRPr="00976BFF">
        <w:rPr>
          <w:lang w:val="es-ES_tradnl"/>
        </w:rPr>
        <w:t>; BIRF</w:t>
      </w:r>
      <w:r>
        <w:rPr>
          <w:lang w:val="es-ES_tradnl"/>
        </w:rPr>
        <w:t>,</w:t>
      </w:r>
      <w:r w:rsidRPr="00976BFF">
        <w:rPr>
          <w:lang w:val="es-ES_tradnl"/>
        </w:rPr>
        <w:t xml:space="preserve"> Proyecto de Mantenimiento de la Infraestructura del Transporte y el Acceso Rural</w:t>
      </w:r>
      <w:r w:rsidRPr="00976BFF">
        <w:rPr>
          <w:rFonts w:ascii="ZWAdobeF" w:hAnsi="ZWAdobeF" w:cs="ZWAdobeF"/>
          <w:sz w:val="2"/>
          <w:szCs w:val="2"/>
          <w:lang w:val="es-ES_tradnl"/>
        </w:rPr>
        <w:t>6F</w:t>
      </w:r>
      <w:r w:rsidRPr="00976BFF">
        <w:rPr>
          <w:lang w:val="es-ES_tradnl"/>
        </w:rPr>
        <w:t xml:space="preserve"> (P057480)</w:t>
      </w:r>
      <w:r>
        <w:rPr>
          <w:lang w:val="es-ES_tradnl"/>
        </w:rPr>
        <w:t>.</w:t>
      </w:r>
    </w:p>
  </w:footnote>
  <w:footnote w:id="5">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Préstamo UR-L1067</w:t>
      </w:r>
      <w:r>
        <w:rPr>
          <w:lang w:val="es-ES_tradnl"/>
        </w:rPr>
        <w:t>.</w:t>
      </w:r>
    </w:p>
  </w:footnote>
  <w:footnote w:id="6">
    <w:p w:rsidR="00766354" w:rsidRPr="00976BFF" w:rsidRDefault="00766354" w:rsidP="008A5189">
      <w:pPr>
        <w:pStyle w:val="FootnoteText"/>
        <w:rPr>
          <w:lang w:val="es-ES_tradnl"/>
        </w:rPr>
      </w:pPr>
      <w:r w:rsidRPr="00976BFF">
        <w:rPr>
          <w:rStyle w:val="FootnoteReference"/>
          <w:lang w:val="es-ES_tradnl"/>
        </w:rPr>
        <w:footnoteRef/>
      </w:r>
      <w:r w:rsidRPr="00976BFF">
        <w:rPr>
          <w:lang w:val="es-ES_tradnl"/>
        </w:rPr>
        <w:t xml:space="preserve"> Informe sobre la EAP #55863-UY, analizado por los Directores Ejecutivos el 14 de octubre de 2010.</w:t>
      </w:r>
    </w:p>
  </w:footnote>
  <w:footnote w:id="7">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w:t>
      </w:r>
      <w:r>
        <w:rPr>
          <w:lang w:val="es-ES_tradnl"/>
        </w:rPr>
        <w:t>P</w:t>
      </w:r>
      <w:r w:rsidRPr="00976BFF">
        <w:rPr>
          <w:lang w:val="es-ES_tradnl"/>
        </w:rPr>
        <w:t>royecto P057480, cerrado en julio de 2011.</w:t>
      </w:r>
    </w:p>
  </w:footnote>
  <w:footnote w:id="8">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DNTop: Dirección Nacional de Topografía.</w:t>
      </w:r>
    </w:p>
  </w:footnote>
  <w:footnote w:id="9">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DINAPLO: Dirección Nacional de Planificación y Logística.</w:t>
      </w:r>
    </w:p>
  </w:footnote>
  <w:footnote w:id="10">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US$67,7 millones del préstamo de US$80 millones otorgado por el BID contribuirán al financiamiento del Programa durante el período 2013-15. Los restantes US$12,3 millones se destinarán a obras de rehabilitación después de 2015 y a otras actividades. </w:t>
      </w:r>
    </w:p>
  </w:footnote>
  <w:footnote w:id="11">
    <w:p w:rsidR="00766354" w:rsidRPr="00976BFF" w:rsidRDefault="00766354" w:rsidP="00AE6511">
      <w:pPr>
        <w:pStyle w:val="FootnoteText"/>
        <w:rPr>
          <w:lang w:val="es-ES_tradnl"/>
        </w:rPr>
      </w:pPr>
      <w:r w:rsidRPr="00976BFF">
        <w:rPr>
          <w:rStyle w:val="FootnoteReference"/>
          <w:lang w:val="es-ES_tradnl"/>
        </w:rPr>
        <w:footnoteRef/>
      </w:r>
      <w:r w:rsidRPr="00976BFF">
        <w:rPr>
          <w:lang w:val="es-ES_tradnl"/>
        </w:rPr>
        <w:t xml:space="preserve"> US$92,8 millones del préstamo de US$120 millones otorgado por el FONPLATA contribuirán al financiamiento del Programa durante el período 2013-15. Los restantes US$27,2 millones se destinarán a obras de rehabilitación después de 2015.</w:t>
      </w:r>
    </w:p>
  </w:footnote>
  <w:footnote w:id="12">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La clasificación de la red, sobre la base del </w:t>
      </w:r>
      <w:r>
        <w:rPr>
          <w:lang w:val="es-ES_tradnl"/>
        </w:rPr>
        <w:t>índice de rugosidad internacional (</w:t>
      </w:r>
      <w:r w:rsidRPr="00976BFF">
        <w:rPr>
          <w:lang w:val="es-ES_tradnl"/>
        </w:rPr>
        <w:t>IRI</w:t>
      </w:r>
      <w:r>
        <w:rPr>
          <w:lang w:val="es-ES_tradnl"/>
        </w:rPr>
        <w:t>)</w:t>
      </w:r>
      <w:r w:rsidRPr="00976BFF">
        <w:rPr>
          <w:lang w:val="es-ES_tradnl"/>
        </w:rPr>
        <w:t>, depende del tipo de superficie: i) pavimento de cemento asfáltico</w:t>
      </w:r>
      <w:r>
        <w:rPr>
          <w:lang w:val="es-ES_tradnl"/>
        </w:rPr>
        <w:t>:</w:t>
      </w:r>
      <w:r w:rsidRPr="00976BFF">
        <w:rPr>
          <w:lang w:val="es-ES_tradnl"/>
        </w:rPr>
        <w:t xml:space="preserve"> IRI&lt;2,8 corresponde a “bueno” e IRI&lt;2,3 a “muy bueno”; ii) pavimento de cemento hidráulico</w:t>
      </w:r>
      <w:r>
        <w:rPr>
          <w:lang w:val="es-ES_tradnl"/>
        </w:rPr>
        <w:t>:</w:t>
      </w:r>
      <w:r w:rsidRPr="00976BFF">
        <w:rPr>
          <w:lang w:val="es-ES_tradnl"/>
        </w:rPr>
        <w:t xml:space="preserve"> IRI&lt;3,6 corresponde a “bueno” e IRI&lt;3,2 a “muy bueno”; iii) pavimento con tratamiento superficial</w:t>
      </w:r>
      <w:r>
        <w:rPr>
          <w:lang w:val="es-ES_tradnl"/>
        </w:rPr>
        <w:t>:</w:t>
      </w:r>
      <w:r w:rsidRPr="00976BFF">
        <w:rPr>
          <w:lang w:val="es-ES_tradnl"/>
        </w:rPr>
        <w:t xml:space="preserve"> IRI&lt;3,9 corresponde a “bueno” e IRI&lt;3,8 a “muy bueno”. </w:t>
      </w:r>
    </w:p>
  </w:footnote>
  <w:footnote w:id="13">
    <w:p w:rsidR="00766354" w:rsidRPr="00976BFF" w:rsidRDefault="00766354" w:rsidP="00941292">
      <w:pPr>
        <w:pStyle w:val="FootnoteText"/>
        <w:rPr>
          <w:lang w:val="es-ES_tradnl"/>
        </w:rPr>
      </w:pPr>
      <w:r w:rsidRPr="00976BFF">
        <w:rPr>
          <w:rStyle w:val="FootnoteReference"/>
          <w:lang w:val="es-ES_tradnl"/>
        </w:rPr>
        <w:footnoteRef/>
      </w:r>
      <w:r w:rsidRPr="00976BFF">
        <w:rPr>
          <w:lang w:val="es-ES_tradnl"/>
        </w:rPr>
        <w:t xml:space="preserve"> Disponible en el sitio web del Tribunal de Cuentas, en: </w:t>
      </w:r>
      <w:hyperlink r:id="rId1" w:history="1">
        <w:r w:rsidRPr="00976BFF">
          <w:rPr>
            <w:rStyle w:val="Hyperlink"/>
            <w:lang w:val="es-ES_tradnl"/>
          </w:rPr>
          <w:t>http://www.tcr.gub.uy/marco_tocaf/index.htm</w:t>
        </w:r>
      </w:hyperlink>
      <w:r>
        <w:rPr>
          <w:lang w:val="es-ES_tradnl"/>
        </w:rPr>
        <w:t>.</w:t>
      </w:r>
    </w:p>
  </w:footnote>
  <w:footnote w:id="14">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Incluido el financiamiento de contrapartida del Gobierno de Uruguay.</w:t>
      </w:r>
    </w:p>
  </w:footnote>
  <w:footnote w:id="15">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Los fondos restantes del financiamiento del FONPLATA se utilizarían para financiar contratos que ya se han adjudicado. </w:t>
      </w:r>
    </w:p>
  </w:footnote>
  <w:footnote w:id="16">
    <w:p w:rsidR="00766354" w:rsidRPr="00976BFF" w:rsidRDefault="00766354" w:rsidP="00316308">
      <w:pPr>
        <w:pStyle w:val="FootnoteText"/>
        <w:rPr>
          <w:lang w:val="es-ES_tradnl"/>
        </w:rPr>
      </w:pPr>
      <w:r w:rsidRPr="00976BFF">
        <w:rPr>
          <w:rStyle w:val="FootnoteReference"/>
          <w:lang w:val="es-ES_tradnl"/>
        </w:rPr>
        <w:footnoteRef/>
      </w:r>
      <w:r w:rsidRPr="00976BFF">
        <w:rPr>
          <w:lang w:val="es-ES_tradnl"/>
        </w:rPr>
        <w:t xml:space="preserve"> Unidad de Presupuesto Nacional, Contaduría General de la Nación, Tesorería General de la Nación, Auditoría Interna de la Nación.</w:t>
      </w:r>
    </w:p>
  </w:footnote>
  <w:footnote w:id="17">
    <w:p w:rsidR="00766354" w:rsidRPr="00976BFF" w:rsidRDefault="00766354" w:rsidP="004B06EA">
      <w:pPr>
        <w:pStyle w:val="FootnoteText"/>
        <w:rPr>
          <w:lang w:val="es-ES_tradnl"/>
        </w:rPr>
      </w:pPr>
      <w:r w:rsidRPr="00976BFF">
        <w:rPr>
          <w:rStyle w:val="FootnoteReference"/>
          <w:lang w:val="es-ES_tradnl"/>
        </w:rPr>
        <w:footnoteRef/>
      </w:r>
      <w:r w:rsidRPr="00976BFF">
        <w:rPr>
          <w:lang w:val="es-ES_tradnl"/>
        </w:rPr>
        <w:t xml:space="preserve"> </w:t>
      </w:r>
      <w:hyperlink r:id="rId2" w:history="1">
        <w:r w:rsidRPr="00976BFF">
          <w:rPr>
            <w:rStyle w:val="Hyperlink"/>
            <w:lang w:val="es-ES_tradnl"/>
          </w:rPr>
          <w:t>http://www.agidata.org</w:t>
        </w:r>
      </w:hyperlink>
      <w:r>
        <w:rPr>
          <w:rStyle w:val="Hyperlink"/>
          <w:lang w:val="es-ES_tradnl"/>
        </w:rPr>
        <w:t>.</w:t>
      </w:r>
      <w:r w:rsidRPr="00976BFF">
        <w:rPr>
          <w:lang w:val="es-ES_tradnl"/>
        </w:rPr>
        <w:t xml:space="preserve"> </w:t>
      </w:r>
    </w:p>
  </w:footnote>
  <w:footnote w:id="18">
    <w:p w:rsidR="00766354" w:rsidRPr="00976BFF" w:rsidRDefault="00766354" w:rsidP="001472F9">
      <w:pPr>
        <w:pStyle w:val="FootnoteText"/>
        <w:rPr>
          <w:lang w:val="es-ES_tradnl"/>
        </w:rPr>
      </w:pPr>
      <w:r w:rsidRPr="00976BFF">
        <w:rPr>
          <w:rStyle w:val="FootnoteReference"/>
          <w:lang w:val="es-ES_tradnl"/>
        </w:rPr>
        <w:footnoteRef/>
      </w:r>
      <w:r w:rsidRPr="00976BFF">
        <w:rPr>
          <w:lang w:val="es-ES_tradnl"/>
        </w:rPr>
        <w:t xml:space="preserve"> Sobre la base del contenido del Programa, la legislación vigente en materia de evaluación del impacto ambiental (artículo 2 del </w:t>
      </w:r>
      <w:r>
        <w:rPr>
          <w:lang w:val="es-ES_tradnl"/>
        </w:rPr>
        <w:t>d</w:t>
      </w:r>
      <w:r w:rsidRPr="00976BFF">
        <w:rPr>
          <w:lang w:val="es-ES_tradnl"/>
        </w:rPr>
        <w:t xml:space="preserve">ecreto </w:t>
      </w:r>
      <w:r>
        <w:rPr>
          <w:lang w:val="es-ES_tradnl"/>
        </w:rPr>
        <w:t xml:space="preserve">n.º </w:t>
      </w:r>
      <w:r w:rsidRPr="00976BFF">
        <w:rPr>
          <w:lang w:val="es-ES_tradnl"/>
        </w:rPr>
        <w:t>349/2005), la evaluación ambiental y social elaborada durante la etapa de preparación, consultas a la DINAMA y observación sobre el terreno de una muestra de proyectos.</w:t>
      </w:r>
    </w:p>
  </w:footnote>
  <w:footnote w:id="19">
    <w:p w:rsidR="00766354" w:rsidRPr="00976BFF" w:rsidRDefault="00766354">
      <w:pPr>
        <w:pStyle w:val="FootnoteText"/>
        <w:rPr>
          <w:b/>
          <w:lang w:val="es-ES_tradnl"/>
        </w:rPr>
      </w:pPr>
      <w:r w:rsidRPr="00976BFF">
        <w:rPr>
          <w:rStyle w:val="FootnoteReference"/>
          <w:lang w:val="es-ES_tradnl"/>
        </w:rPr>
        <w:footnoteRef/>
      </w:r>
      <w:r w:rsidRPr="00976BFF">
        <w:rPr>
          <w:lang w:val="es-ES_tradnl"/>
        </w:rPr>
        <w:t xml:space="preserve"> Sobre la base del contenido del </w:t>
      </w:r>
      <w:r>
        <w:rPr>
          <w:lang w:val="es-ES_tradnl"/>
        </w:rPr>
        <w:t>p</w:t>
      </w:r>
      <w:r w:rsidRPr="00976BFF">
        <w:rPr>
          <w:lang w:val="es-ES_tradnl"/>
        </w:rPr>
        <w:t xml:space="preserve">rograma, la legislación vigente en materia de evaluación del impacto ambiental (artículo 2 del </w:t>
      </w:r>
      <w:r>
        <w:rPr>
          <w:lang w:val="es-ES_tradnl"/>
        </w:rPr>
        <w:t>d</w:t>
      </w:r>
      <w:r w:rsidRPr="00976BFF">
        <w:rPr>
          <w:lang w:val="es-ES_tradnl"/>
        </w:rPr>
        <w:t xml:space="preserve">ecreto </w:t>
      </w:r>
      <w:r>
        <w:rPr>
          <w:lang w:val="es-ES_tradnl"/>
        </w:rPr>
        <w:t xml:space="preserve">n.º </w:t>
      </w:r>
      <w:r w:rsidRPr="00976BFF">
        <w:rPr>
          <w:lang w:val="es-ES_tradnl"/>
        </w:rPr>
        <w:t>349/2005), la evaluación ambiental y social realizada en la etapa de preparación, consultas a la DINAMA y observaciones sobre el terreno de una muestra de proyectos.</w:t>
      </w:r>
    </w:p>
  </w:footnote>
  <w:footnote w:id="20">
    <w:p w:rsidR="00766354" w:rsidRPr="00976BFF" w:rsidRDefault="00766354" w:rsidP="00BD130B">
      <w:pPr>
        <w:pStyle w:val="FootnoteText"/>
        <w:rPr>
          <w:lang w:val="es-ES_tradnl"/>
        </w:rPr>
      </w:pPr>
      <w:r w:rsidRPr="00976BFF">
        <w:rPr>
          <w:rStyle w:val="FootnoteReference"/>
          <w:lang w:val="es-ES_tradnl"/>
        </w:rPr>
        <w:footnoteRef/>
      </w:r>
      <w:r w:rsidRPr="00976BFF">
        <w:rPr>
          <w:lang w:val="es-ES_tradnl"/>
        </w:rPr>
        <w:t xml:space="preserve"> Años civiles.</w:t>
      </w:r>
    </w:p>
  </w:footnote>
  <w:footnote w:id="21">
    <w:p w:rsidR="00766354" w:rsidRPr="00976BFF" w:rsidRDefault="00766354" w:rsidP="00BD130B">
      <w:pPr>
        <w:pStyle w:val="FootnoteText"/>
        <w:rPr>
          <w:lang w:val="es-ES_tradnl"/>
        </w:rPr>
      </w:pPr>
      <w:r w:rsidRPr="00976BFF">
        <w:rPr>
          <w:rStyle w:val="FootnoteReference"/>
          <w:lang w:val="es-ES_tradnl"/>
        </w:rPr>
        <w:footnoteRef/>
      </w:r>
      <w:r w:rsidRPr="00976BFF">
        <w:rPr>
          <w:lang w:val="es-ES_tradnl"/>
        </w:rPr>
        <w:t xml:space="preserve"> Años civiles.</w:t>
      </w:r>
    </w:p>
  </w:footnote>
  <w:footnote w:id="22">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Parte del Programa correspondiente a las obras de rehabilitación, sin el financiamiento del Banco por valor de US$66 millones.</w:t>
      </w:r>
    </w:p>
  </w:footnote>
  <w:footnote w:id="23">
    <w:p w:rsidR="00766354" w:rsidRPr="00976BFF" w:rsidRDefault="00766354">
      <w:pPr>
        <w:pStyle w:val="FootnoteText"/>
        <w:rPr>
          <w:lang w:val="es-ES_tradnl"/>
        </w:rPr>
      </w:pPr>
      <w:r w:rsidRPr="00976BFF">
        <w:rPr>
          <w:rStyle w:val="FootnoteReference"/>
          <w:lang w:val="es-ES_tradnl"/>
        </w:rPr>
        <w:footnoteRef/>
      </w:r>
      <w:r w:rsidRPr="00976BFF">
        <w:rPr>
          <w:lang w:val="es-ES_tradnl"/>
        </w:rPr>
        <w:t xml:space="preserve"> Con una tasa de descuento del 12%.</w:t>
      </w:r>
    </w:p>
  </w:footnote>
  <w:footnote w:id="24">
    <w:p w:rsidR="00766354" w:rsidRPr="00976BFF" w:rsidRDefault="00766354" w:rsidP="00956A33">
      <w:pPr>
        <w:pStyle w:val="FootnoteText"/>
        <w:rPr>
          <w:lang w:val="es-ES_tradnl"/>
        </w:rPr>
      </w:pPr>
      <w:r w:rsidRPr="00976BFF">
        <w:rPr>
          <w:rStyle w:val="FootnoteReference"/>
          <w:lang w:val="es-ES_tradnl"/>
        </w:rPr>
        <w:footnoteRef/>
      </w:r>
      <w:r w:rsidRPr="00976BFF">
        <w:rPr>
          <w:lang w:val="es-ES_tradnl"/>
        </w:rPr>
        <w:t xml:space="preserve"> Sin embargo, como se explicó anteriormente, no puede considerarse que la Rendición de Cuentas y Balance de Ejecución Presupuestal </w:t>
      </w:r>
      <w:r>
        <w:rPr>
          <w:lang w:val="es-ES_tradnl"/>
        </w:rPr>
        <w:t>a</w:t>
      </w:r>
      <w:r w:rsidRPr="00976BFF">
        <w:rPr>
          <w:lang w:val="es-ES_tradnl"/>
        </w:rPr>
        <w:t xml:space="preserve">nual constituya un </w:t>
      </w:r>
      <w:r>
        <w:rPr>
          <w:lang w:val="es-ES_tradnl"/>
        </w:rPr>
        <w:t>“</w:t>
      </w:r>
      <w:r w:rsidRPr="00976BFF">
        <w:rPr>
          <w:lang w:val="es-ES_tradnl"/>
        </w:rPr>
        <w:t>presupuesto anual</w:t>
      </w:r>
      <w:r>
        <w:rPr>
          <w:lang w:val="es-ES_tradnl"/>
        </w:rPr>
        <w:t>”</w:t>
      </w:r>
      <w:r w:rsidRPr="00976BFF">
        <w:rPr>
          <w:lang w:val="es-ES_tradnl"/>
        </w:rPr>
        <w:t>, ya que se aprueba tarde en el año (alrededor de octubre de cada año), y en consecuencia no se incluyen asignaciones presupuestarias estimadas para el siguiente año fiscal.</w:t>
      </w:r>
    </w:p>
  </w:footnote>
  <w:footnote w:id="25">
    <w:p w:rsidR="00766354" w:rsidRPr="00976BFF" w:rsidRDefault="00766354" w:rsidP="00956A33">
      <w:pPr>
        <w:pStyle w:val="FootnoteText"/>
        <w:rPr>
          <w:lang w:val="es-ES_tradnl"/>
        </w:rPr>
      </w:pPr>
      <w:r w:rsidRPr="00976BFF">
        <w:rPr>
          <w:rStyle w:val="FootnoteReference"/>
          <w:lang w:val="es-ES_tradnl"/>
        </w:rPr>
        <w:footnoteRef/>
      </w:r>
      <w:r w:rsidRPr="00976BFF">
        <w:rPr>
          <w:lang w:val="es-ES_tradnl"/>
        </w:rPr>
        <w:t xml:space="preserve"> Véanse las cláusulas 66 y 159 del TOCAF. Se puede encontrar una descripción detallada del registro en el diagnóstico de los procedimientos de adquisiciones aplicados en Uruguay, </w:t>
      </w:r>
      <w:r>
        <w:rPr>
          <w:lang w:val="es-ES_tradnl"/>
        </w:rPr>
        <w:t>i</w:t>
      </w:r>
      <w:r w:rsidRPr="00976BFF">
        <w:rPr>
          <w:lang w:val="es-ES_tradnl"/>
        </w:rPr>
        <w:t xml:space="preserve">nforme del BIRF 38965-UR. </w:t>
      </w:r>
    </w:p>
  </w:footnote>
  <w:footnote w:id="26">
    <w:p w:rsidR="00766354" w:rsidRPr="00976BFF" w:rsidRDefault="00766354" w:rsidP="00956A33">
      <w:pPr>
        <w:pStyle w:val="FootnoteText"/>
        <w:rPr>
          <w:lang w:val="es-ES_tradnl"/>
        </w:rPr>
      </w:pPr>
      <w:r w:rsidRPr="00976BFF">
        <w:rPr>
          <w:rStyle w:val="FootnoteReference"/>
          <w:lang w:val="es-ES_tradnl"/>
        </w:rPr>
        <w:footnoteRef/>
      </w:r>
      <w:r w:rsidRPr="00976BFF">
        <w:rPr>
          <w:lang w:val="es-ES_tradnl"/>
        </w:rPr>
        <w:t xml:space="preserve"> De conformidad con </w:t>
      </w:r>
      <w:r>
        <w:rPr>
          <w:lang w:val="es-ES_tradnl"/>
        </w:rPr>
        <w:t>el artículo</w:t>
      </w:r>
      <w:r w:rsidRPr="00976BFF">
        <w:rPr>
          <w:lang w:val="es-ES_tradnl"/>
        </w:rPr>
        <w:t xml:space="preserve"> 28 del </w:t>
      </w:r>
      <w:r>
        <w:rPr>
          <w:lang w:val="es-ES_tradnl"/>
        </w:rPr>
        <w:t>d</w:t>
      </w:r>
      <w:r w:rsidRPr="00976BFF">
        <w:rPr>
          <w:lang w:val="es-ES_tradnl"/>
        </w:rPr>
        <w:t xml:space="preserve">ecreto </w:t>
      </w:r>
      <w:r>
        <w:rPr>
          <w:lang w:val="es-ES_tradnl"/>
        </w:rPr>
        <w:t>n.</w:t>
      </w:r>
      <w:r w:rsidRPr="004244BD">
        <w:rPr>
          <w:vertAlign w:val="superscript"/>
          <w:lang w:val="es-ES_tradnl"/>
        </w:rPr>
        <w:t>o</w:t>
      </w:r>
      <w:r>
        <w:rPr>
          <w:lang w:val="es-ES_tradnl"/>
        </w:rPr>
        <w:t xml:space="preserve"> </w:t>
      </w:r>
      <w:r w:rsidRPr="00976BFF">
        <w:rPr>
          <w:lang w:val="es-ES_tradnl"/>
        </w:rPr>
        <w:t>208/009, los contratistas extranjeros deben tener una  representación local.</w:t>
      </w:r>
    </w:p>
  </w:footnote>
  <w:footnote w:id="27">
    <w:p w:rsidR="00766354" w:rsidRPr="00976BFF" w:rsidRDefault="00766354" w:rsidP="00956A33">
      <w:pPr>
        <w:pStyle w:val="FootnoteText"/>
        <w:jc w:val="both"/>
        <w:rPr>
          <w:lang w:val="es-ES_tradnl"/>
        </w:rPr>
      </w:pPr>
      <w:r w:rsidRPr="00976BFF">
        <w:rPr>
          <w:rStyle w:val="FootnoteReference"/>
          <w:lang w:val="es-ES_tradnl"/>
        </w:rPr>
        <w:footnoteRef/>
      </w:r>
      <w:r w:rsidRPr="00976BFF">
        <w:rPr>
          <w:lang w:val="es-ES_tradnl"/>
        </w:rPr>
        <w:t xml:space="preserve"> http://www.cgn.gub.uy/innovaportal/v/712/1/innova.front/boletin_de_informacion_presupuestal.html.</w:t>
      </w:r>
    </w:p>
  </w:footnote>
  <w:footnote w:id="28">
    <w:p w:rsidR="00766354" w:rsidRPr="00976BFF" w:rsidRDefault="00766354" w:rsidP="00956A33">
      <w:pPr>
        <w:pStyle w:val="FootnoteText"/>
        <w:rPr>
          <w:lang w:val="es-ES_tradnl"/>
        </w:rPr>
      </w:pPr>
      <w:r w:rsidRPr="00976BFF">
        <w:rPr>
          <w:rStyle w:val="FootnoteReference"/>
          <w:lang w:val="es-ES_tradnl"/>
        </w:rPr>
        <w:footnoteRef/>
      </w:r>
      <w:r w:rsidRPr="00976BFF">
        <w:rPr>
          <w:lang w:val="es-ES_tradnl"/>
        </w:rPr>
        <w:t xml:space="preserve"> El módulo de contabilidad previsto en el SIIF aún no es operacional.</w:t>
      </w:r>
    </w:p>
  </w:footnote>
  <w:footnote w:id="29">
    <w:p w:rsidR="00766354" w:rsidRPr="00976BFF" w:rsidRDefault="00766354" w:rsidP="00956A33">
      <w:pPr>
        <w:pStyle w:val="FootnoteText"/>
        <w:rPr>
          <w:lang w:val="es-ES_tradnl"/>
        </w:rPr>
      </w:pPr>
      <w:r w:rsidRPr="00976BFF">
        <w:rPr>
          <w:rStyle w:val="FootnoteReference"/>
          <w:lang w:val="es-ES_tradnl"/>
        </w:rPr>
        <w:footnoteRef/>
      </w:r>
      <w:r w:rsidRPr="00976BFF">
        <w:rPr>
          <w:lang w:val="es-ES_tradnl"/>
        </w:rPr>
        <w:t xml:space="preserve"> TOCAF: Texto Ordenado de Contabilidad y Administración Financiera</w:t>
      </w:r>
      <w:r>
        <w:rPr>
          <w:lang w:val="es-ES_tradnl"/>
        </w:rPr>
        <w:t>.</w:t>
      </w:r>
    </w:p>
  </w:footnote>
  <w:footnote w:id="30">
    <w:p w:rsidR="00766354" w:rsidRPr="00976BFF" w:rsidRDefault="00766354" w:rsidP="00956A33">
      <w:pPr>
        <w:pStyle w:val="FootnoteText"/>
        <w:rPr>
          <w:lang w:val="es-ES_tradnl"/>
        </w:rPr>
      </w:pPr>
      <w:r w:rsidRPr="00976BFF">
        <w:rPr>
          <w:rStyle w:val="FootnoteReference"/>
          <w:lang w:val="es-ES_tradnl"/>
        </w:rPr>
        <w:footnoteRef/>
      </w:r>
      <w:r w:rsidRPr="00976BFF">
        <w:rPr>
          <w:lang w:val="es-ES_tradnl"/>
        </w:rPr>
        <w:t xml:space="preserve"> Véase la cláusula 20.1 del contrato de concesión.</w:t>
      </w:r>
    </w:p>
  </w:footnote>
  <w:footnote w:id="31">
    <w:p w:rsidR="00766354" w:rsidRPr="00976BFF" w:rsidRDefault="00766354" w:rsidP="00404DDA">
      <w:pPr>
        <w:pStyle w:val="FootnoteText"/>
        <w:rPr>
          <w:lang w:val="es-ES_tradnl"/>
        </w:rPr>
      </w:pPr>
      <w:r w:rsidRPr="00976BFF">
        <w:rPr>
          <w:rStyle w:val="FootnoteReference"/>
          <w:lang w:val="es-ES_tradnl"/>
        </w:rPr>
        <w:footnoteRef/>
      </w:r>
      <w:r w:rsidRPr="00976BFF">
        <w:rPr>
          <w:lang w:val="es-ES_tradnl"/>
        </w:rPr>
        <w:t xml:space="preserve"> </w:t>
      </w:r>
      <w:r>
        <w:rPr>
          <w:lang w:val="es-ES_tradnl"/>
        </w:rPr>
        <w:t>P</w:t>
      </w:r>
      <w:r w:rsidRPr="00976BFF">
        <w:rPr>
          <w:lang w:val="es-ES_tradnl"/>
        </w:rPr>
        <w:t>royecto P057481, préstamo 7303, Uruguay</w:t>
      </w:r>
      <w:r>
        <w:rPr>
          <w:lang w:val="es-ES_tradn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9EA6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84061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2CAA0A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9B4A6D8"/>
    <w:lvl w:ilvl="0">
      <w:start w:val="1"/>
      <w:numFmt w:val="decimal"/>
      <w:pStyle w:val="ListNumber2"/>
      <w:lvlText w:val="%1."/>
      <w:lvlJc w:val="left"/>
      <w:pPr>
        <w:tabs>
          <w:tab w:val="num" w:pos="720"/>
        </w:tabs>
        <w:ind w:left="720" w:hanging="360"/>
      </w:pPr>
    </w:lvl>
  </w:abstractNum>
  <w:abstractNum w:abstractNumId="4">
    <w:nsid w:val="FFFFFF80"/>
    <w:multiLevelType w:val="singleLevel"/>
    <w:tmpl w:val="DAA0E8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91C60C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A7A1B8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EB8DAA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0AE8AD0"/>
    <w:lvl w:ilvl="0">
      <w:start w:val="1"/>
      <w:numFmt w:val="decimal"/>
      <w:pStyle w:val="ListNumber"/>
      <w:lvlText w:val="%1."/>
      <w:lvlJc w:val="left"/>
      <w:pPr>
        <w:tabs>
          <w:tab w:val="num" w:pos="360"/>
        </w:tabs>
        <w:ind w:left="360" w:hanging="360"/>
      </w:pPr>
    </w:lvl>
  </w:abstractNum>
  <w:abstractNum w:abstractNumId="9">
    <w:nsid w:val="FFFFFF89"/>
    <w:multiLevelType w:val="singleLevel"/>
    <w:tmpl w:val="5F965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2402D6"/>
    <w:multiLevelType w:val="multilevel"/>
    <w:tmpl w:val="C3C049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2C731D"/>
    <w:multiLevelType w:val="hybridMultilevel"/>
    <w:tmpl w:val="02AA9156"/>
    <w:lvl w:ilvl="0" w:tplc="2014137E">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9E7B31"/>
    <w:multiLevelType w:val="multilevel"/>
    <w:tmpl w:val="DB1AED66"/>
    <w:lvl w:ilvl="0">
      <w:start w:val="1"/>
      <w:numFmt w:val="upperRoman"/>
      <w:lvlText w:val="%1."/>
      <w:lvlJc w:val="left"/>
      <w:pPr>
        <w:ind w:left="0" w:firstLine="0"/>
      </w:pPr>
      <w:rPr>
        <w:rFonts w:hint="default"/>
      </w:rPr>
    </w:lvl>
    <w:lvl w:ilvl="1">
      <w:start w:val="1"/>
      <w:numFmt w:val="upperRoman"/>
      <w:lvlText w:val="%2."/>
      <w:lvlJc w:val="right"/>
      <w:pPr>
        <w:ind w:left="180" w:hanging="180"/>
      </w:pPr>
      <w:rPr>
        <w:rFonts w:hint="default"/>
      </w:rPr>
    </w:lvl>
    <w:lvl w:ilvl="2">
      <w:start w:val="6"/>
      <w:numFmt w:val="decimal"/>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19C0108A"/>
    <w:multiLevelType w:val="hybridMultilevel"/>
    <w:tmpl w:val="3D6A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F6E43"/>
    <w:multiLevelType w:val="hybridMultilevel"/>
    <w:tmpl w:val="97A05E3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634CBB"/>
    <w:multiLevelType w:val="hybridMultilevel"/>
    <w:tmpl w:val="C6B0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B861C1"/>
    <w:multiLevelType w:val="multilevel"/>
    <w:tmpl w:val="6F384312"/>
    <w:lvl w:ilvl="0">
      <w:start w:val="1"/>
      <w:numFmt w:val="upperRoman"/>
      <w:lvlText w:val="%1."/>
      <w:lvlJc w:val="left"/>
      <w:pPr>
        <w:ind w:left="0" w:firstLine="0"/>
      </w:pPr>
      <w:rPr>
        <w:rFonts w:hint="default"/>
      </w:rPr>
    </w:lvl>
    <w:lvl w:ilvl="1">
      <w:start w:val="1"/>
      <w:numFmt w:val="upperRoman"/>
      <w:lvlText w:val="%2."/>
      <w:lvlJc w:val="right"/>
      <w:pPr>
        <w:ind w:left="180" w:hanging="18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2E6C2D56"/>
    <w:multiLevelType w:val="hybridMultilevel"/>
    <w:tmpl w:val="4378D5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13F03CB"/>
    <w:multiLevelType w:val="multilevel"/>
    <w:tmpl w:val="A442E1AA"/>
    <w:lvl w:ilvl="0">
      <w:start w:val="1"/>
      <w:numFmt w:val="upperRoman"/>
      <w:pStyle w:val="Heading1"/>
      <w:lvlText w:val="%1."/>
      <w:lvlJc w:val="left"/>
      <w:pPr>
        <w:ind w:left="0" w:firstLine="0"/>
      </w:pPr>
    </w:lvl>
    <w:lvl w:ilvl="1">
      <w:start w:val="1"/>
      <w:numFmt w:val="upperLetter"/>
      <w:pStyle w:val="Heading2"/>
      <w:lvlText w:val="%2."/>
      <w:lvlJc w:val="left"/>
      <w:pPr>
        <w:ind w:left="630" w:firstLine="0"/>
      </w:pPr>
      <w:rPr>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nsid w:val="3674399D"/>
    <w:multiLevelType w:val="hybridMultilevel"/>
    <w:tmpl w:val="39B2C960"/>
    <w:lvl w:ilvl="0" w:tplc="F74A60DA">
      <w:start w:val="1"/>
      <w:numFmt w:val="bullet"/>
      <w:pStyle w:val="Bullet-alpha"/>
      <w:lvlText w:val=""/>
      <w:lvlJc w:val="left"/>
      <w:pPr>
        <w:tabs>
          <w:tab w:val="num" w:pos="720"/>
        </w:tabs>
        <w:ind w:left="720" w:hanging="720"/>
      </w:pPr>
      <w:rPr>
        <w:rFonts w:ascii="Symbol" w:hAnsi="Symbol" w:hint="default"/>
      </w:rPr>
    </w:lvl>
    <w:lvl w:ilvl="1" w:tplc="04090003">
      <w:start w:val="1"/>
      <w:numFmt w:val="lowerLetter"/>
      <w:lvlText w:val="%2."/>
      <w:lvlJc w:val="left"/>
      <w:pPr>
        <w:tabs>
          <w:tab w:val="num" w:pos="360"/>
        </w:tabs>
        <w:ind w:left="360" w:hanging="360"/>
      </w:pPr>
    </w:lvl>
    <w:lvl w:ilvl="2" w:tplc="04090005">
      <w:start w:val="1"/>
      <w:numFmt w:val="lowerRoman"/>
      <w:lvlText w:val="%3."/>
      <w:lvlJc w:val="right"/>
      <w:pPr>
        <w:tabs>
          <w:tab w:val="num" w:pos="1080"/>
        </w:tabs>
        <w:ind w:left="1080" w:hanging="180"/>
      </w:pPr>
    </w:lvl>
    <w:lvl w:ilvl="3" w:tplc="04090001" w:tentative="1">
      <w:start w:val="1"/>
      <w:numFmt w:val="decimal"/>
      <w:lvlText w:val="%4."/>
      <w:lvlJc w:val="left"/>
      <w:pPr>
        <w:tabs>
          <w:tab w:val="num" w:pos="1800"/>
        </w:tabs>
        <w:ind w:left="180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3240"/>
        </w:tabs>
        <w:ind w:left="3240" w:hanging="180"/>
      </w:pPr>
    </w:lvl>
    <w:lvl w:ilvl="6" w:tplc="04090001" w:tentative="1">
      <w:start w:val="1"/>
      <w:numFmt w:val="decimal"/>
      <w:lvlText w:val="%7."/>
      <w:lvlJc w:val="left"/>
      <w:pPr>
        <w:tabs>
          <w:tab w:val="num" w:pos="3960"/>
        </w:tabs>
        <w:ind w:left="3960" w:hanging="360"/>
      </w:pPr>
    </w:lvl>
    <w:lvl w:ilvl="7" w:tplc="04090003" w:tentative="1">
      <w:start w:val="1"/>
      <w:numFmt w:val="lowerLetter"/>
      <w:lvlText w:val="%8."/>
      <w:lvlJc w:val="left"/>
      <w:pPr>
        <w:tabs>
          <w:tab w:val="num" w:pos="4680"/>
        </w:tabs>
        <w:ind w:left="4680" w:hanging="360"/>
      </w:pPr>
    </w:lvl>
    <w:lvl w:ilvl="8" w:tplc="04090005" w:tentative="1">
      <w:start w:val="1"/>
      <w:numFmt w:val="lowerRoman"/>
      <w:lvlText w:val="%9."/>
      <w:lvlJc w:val="right"/>
      <w:pPr>
        <w:tabs>
          <w:tab w:val="num" w:pos="5400"/>
        </w:tabs>
        <w:ind w:left="5400" w:hanging="180"/>
      </w:pPr>
    </w:lvl>
  </w:abstractNum>
  <w:abstractNum w:abstractNumId="20">
    <w:nsid w:val="3BD17588"/>
    <w:multiLevelType w:val="multilevel"/>
    <w:tmpl w:val="AABA40A6"/>
    <w:lvl w:ilvl="0">
      <w:start w:val="1"/>
      <w:numFmt w:val="upperRoman"/>
      <w:lvlText w:val="%1."/>
      <w:lvlJc w:val="left"/>
      <w:pPr>
        <w:ind w:left="0" w:firstLine="0"/>
      </w:pPr>
      <w:rPr>
        <w:rFonts w:hint="default"/>
      </w:rPr>
    </w:lvl>
    <w:lvl w:ilvl="1">
      <w:start w:val="1"/>
      <w:numFmt w:val="upperRoman"/>
      <w:lvlText w:val="%2."/>
      <w:lvlJc w:val="right"/>
      <w:pPr>
        <w:ind w:left="180" w:hanging="18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40374C25"/>
    <w:multiLevelType w:val="hybridMultilevel"/>
    <w:tmpl w:val="F080163C"/>
    <w:lvl w:ilvl="0" w:tplc="5DEEFD26">
      <w:start w:val="1"/>
      <w:numFmt w:val="decimal"/>
      <w:pStyle w:val="1FarhadBIMPSParagraphStyle"/>
      <w:lvlText w:val="%1."/>
      <w:lvlJc w:val="left"/>
      <w:pPr>
        <w:tabs>
          <w:tab w:val="num" w:pos="720"/>
        </w:tabs>
        <w:ind w:left="0" w:firstLine="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6B0EC4"/>
    <w:multiLevelType w:val="multilevel"/>
    <w:tmpl w:val="2A42ADB0"/>
    <w:lvl w:ilvl="0">
      <w:start w:val="1"/>
      <w:numFmt w:val="upperRoman"/>
      <w:lvlText w:val="%1."/>
      <w:lvlJc w:val="left"/>
      <w:pPr>
        <w:ind w:left="0" w:firstLine="0"/>
      </w:pPr>
      <w:rPr>
        <w:rFonts w:hint="default"/>
      </w:rPr>
    </w:lvl>
    <w:lvl w:ilvl="1">
      <w:start w:val="2"/>
      <w:numFmt w:val="upperRoman"/>
      <w:lvlText w:val="%2."/>
      <w:lvlJc w:val="right"/>
      <w:pPr>
        <w:ind w:left="180" w:hanging="18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nsid w:val="44AC30BD"/>
    <w:multiLevelType w:val="hybridMultilevel"/>
    <w:tmpl w:val="0B66AF38"/>
    <w:lvl w:ilvl="0" w:tplc="AC4ECC90">
      <w:start w:val="1"/>
      <w:numFmt w:val="decimal"/>
      <w:pStyle w:val="MainPara"/>
      <w:lvlText w:val="%1."/>
      <w:lvlJc w:val="left"/>
      <w:pPr>
        <w:ind w:left="720" w:hanging="360"/>
      </w:pPr>
      <w:rPr>
        <w:rFonts w:hint="default"/>
        <w:b w:val="0"/>
        <w:snapToGrid/>
        <w:spacing w:val="-4"/>
        <w:w w:val="105"/>
        <w:sz w:val="22"/>
        <w:szCs w:val="22"/>
        <w:lang w:val="es-AR"/>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50B907EA"/>
    <w:multiLevelType w:val="hybridMultilevel"/>
    <w:tmpl w:val="56B61544"/>
    <w:lvl w:ilvl="0" w:tplc="EA2AD956">
      <w:start w:val="1"/>
      <w:numFmt w:val="decimal"/>
      <w:pStyle w:val="Annexmain"/>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E00E9A"/>
    <w:multiLevelType w:val="hybridMultilevel"/>
    <w:tmpl w:val="BCBCF3B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Arial"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Arial"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Arial" w:hint="default"/>
      </w:rPr>
    </w:lvl>
    <w:lvl w:ilvl="8" w:tplc="04090005" w:tentative="1">
      <w:start w:val="1"/>
      <w:numFmt w:val="bullet"/>
      <w:lvlText w:val=""/>
      <w:lvlJc w:val="left"/>
      <w:pPr>
        <w:ind w:left="6465" w:hanging="360"/>
      </w:pPr>
      <w:rPr>
        <w:rFonts w:ascii="Wingdings" w:hAnsi="Wingdings" w:hint="default"/>
      </w:rPr>
    </w:lvl>
  </w:abstractNum>
  <w:abstractNum w:abstractNumId="26">
    <w:nsid w:val="5AB51A49"/>
    <w:multiLevelType w:val="hybridMultilevel"/>
    <w:tmpl w:val="14FA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340903"/>
    <w:multiLevelType w:val="hybridMultilevel"/>
    <w:tmpl w:val="AC88591C"/>
    <w:lvl w:ilvl="0" w:tplc="DFBCF10A">
      <w:start w:val="1"/>
      <w:numFmt w:val="decimal"/>
      <w:pStyle w:val="MainParanoChapter"/>
      <w:lvlText w:val="%1."/>
      <w:lvlJc w:val="left"/>
      <w:pPr>
        <w:ind w:left="360" w:hanging="360"/>
      </w:pPr>
      <w:rPr>
        <w:b w:val="0"/>
        <w:i w:val="0"/>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CF3F84"/>
    <w:multiLevelType w:val="multilevel"/>
    <w:tmpl w:val="2EC4A3AE"/>
    <w:lvl w:ilvl="0">
      <w:start w:val="1"/>
      <w:numFmt w:val="upperRoman"/>
      <w:lvlText w:val="%1."/>
      <w:lvlJc w:val="left"/>
      <w:pPr>
        <w:ind w:left="0" w:firstLine="0"/>
      </w:pPr>
      <w:rPr>
        <w:rFonts w:hint="default"/>
      </w:rPr>
    </w:lvl>
    <w:lvl w:ilvl="1">
      <w:start w:val="1"/>
      <w:numFmt w:val="upperRoman"/>
      <w:lvlText w:val="%2."/>
      <w:lvlJc w:val="right"/>
      <w:pPr>
        <w:ind w:left="180" w:hanging="18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8"/>
  </w:num>
  <w:num w:numId="2">
    <w:abstractNumId w:val="10"/>
  </w:num>
  <w:num w:numId="3">
    <w:abstractNumId w:val="17"/>
  </w:num>
  <w:num w:numId="4">
    <w:abstractNumId w:val="27"/>
  </w:num>
  <w:num w:numId="5">
    <w:abstractNumId w:val="23"/>
  </w:num>
  <w:num w:numId="6">
    <w:abstractNumId w:val="22"/>
  </w:num>
  <w:num w:numId="7">
    <w:abstractNumId w:val="20"/>
  </w:num>
  <w:num w:numId="8">
    <w:abstractNumId w:val="28"/>
  </w:num>
  <w:num w:numId="9">
    <w:abstractNumId w:val="12"/>
  </w:num>
  <w:num w:numId="10">
    <w:abstractNumId w:val="19"/>
  </w:num>
  <w:num w:numId="11">
    <w:abstractNumId w:val="26"/>
  </w:num>
  <w:num w:numId="12">
    <w:abstractNumId w:val="25"/>
  </w:num>
  <w:num w:numId="13">
    <w:abstractNumId w:val="16"/>
  </w:num>
  <w:num w:numId="14">
    <w:abstractNumId w:val="21"/>
  </w:num>
  <w:num w:numId="15">
    <w:abstractNumId w:val="24"/>
  </w:num>
  <w:num w:numId="16">
    <w:abstractNumId w:val="11"/>
  </w:num>
  <w:num w:numId="17">
    <w:abstractNumId w:val="13"/>
  </w:num>
  <w:num w:numId="18">
    <w:abstractNumId w:val="15"/>
  </w:num>
  <w:num w:numId="19">
    <w:abstractNumId w:val="24"/>
  </w:num>
  <w:num w:numId="20">
    <w:abstractNumId w:val="24"/>
    <w:lvlOverride w:ilvl="0">
      <w:startOverride w:val="1"/>
    </w:lvlOverride>
  </w:num>
  <w:num w:numId="21">
    <w:abstractNumId w:val="14"/>
  </w:num>
  <w:num w:numId="22">
    <w:abstractNumId w:val="24"/>
    <w:lvlOverride w:ilvl="0">
      <w:startOverride w:val="1"/>
    </w:lvlOverride>
  </w:num>
  <w:num w:numId="23">
    <w:abstractNumId w:val="24"/>
    <w:lvlOverride w:ilvl="0">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4"/>
    <w:lvlOverride w:ilvl="0">
      <w:startOverride w:val="1"/>
    </w:lvlOverride>
  </w:num>
  <w:num w:numId="42">
    <w:abstractNumId w:val="24"/>
    <w:lvlOverride w:ilvl="0">
      <w:startOverride w:val="1"/>
    </w:lvlOverride>
  </w:num>
  <w:num w:numId="43">
    <w:abstractNumId w:val="24"/>
    <w:lvlOverride w:ilvl="0">
      <w:startOverride w:val="1"/>
    </w:lvlOverride>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826"/>
    <w:rsid w:val="00000D1D"/>
    <w:rsid w:val="00003351"/>
    <w:rsid w:val="00003D14"/>
    <w:rsid w:val="00004703"/>
    <w:rsid w:val="00006AF4"/>
    <w:rsid w:val="00006E1D"/>
    <w:rsid w:val="00010715"/>
    <w:rsid w:val="0001088E"/>
    <w:rsid w:val="00010A48"/>
    <w:rsid w:val="000113BF"/>
    <w:rsid w:val="000119B3"/>
    <w:rsid w:val="00011DE7"/>
    <w:rsid w:val="00012084"/>
    <w:rsid w:val="00014AAF"/>
    <w:rsid w:val="000159EA"/>
    <w:rsid w:val="000161D5"/>
    <w:rsid w:val="00016E01"/>
    <w:rsid w:val="00017F97"/>
    <w:rsid w:val="0002057E"/>
    <w:rsid w:val="000208DD"/>
    <w:rsid w:val="00021593"/>
    <w:rsid w:val="00022A05"/>
    <w:rsid w:val="00023464"/>
    <w:rsid w:val="000236D9"/>
    <w:rsid w:val="00023C99"/>
    <w:rsid w:val="000243F5"/>
    <w:rsid w:val="00025493"/>
    <w:rsid w:val="00026585"/>
    <w:rsid w:val="0002674C"/>
    <w:rsid w:val="000304E2"/>
    <w:rsid w:val="00031B17"/>
    <w:rsid w:val="00031C09"/>
    <w:rsid w:val="00031E45"/>
    <w:rsid w:val="00033253"/>
    <w:rsid w:val="00034121"/>
    <w:rsid w:val="00035CAE"/>
    <w:rsid w:val="00035EAA"/>
    <w:rsid w:val="00035FC8"/>
    <w:rsid w:val="00036302"/>
    <w:rsid w:val="0003640F"/>
    <w:rsid w:val="00037B0A"/>
    <w:rsid w:val="0004049E"/>
    <w:rsid w:val="00040F4A"/>
    <w:rsid w:val="00040F9C"/>
    <w:rsid w:val="00041355"/>
    <w:rsid w:val="00042248"/>
    <w:rsid w:val="0004313B"/>
    <w:rsid w:val="0004392D"/>
    <w:rsid w:val="00043D16"/>
    <w:rsid w:val="00044223"/>
    <w:rsid w:val="00044935"/>
    <w:rsid w:val="0004627D"/>
    <w:rsid w:val="00046F2F"/>
    <w:rsid w:val="0004779C"/>
    <w:rsid w:val="00047CD2"/>
    <w:rsid w:val="00047E9D"/>
    <w:rsid w:val="000502C0"/>
    <w:rsid w:val="00051A47"/>
    <w:rsid w:val="0005252D"/>
    <w:rsid w:val="00052FF0"/>
    <w:rsid w:val="00053614"/>
    <w:rsid w:val="00053785"/>
    <w:rsid w:val="00053A90"/>
    <w:rsid w:val="00060C0A"/>
    <w:rsid w:val="00061703"/>
    <w:rsid w:val="0006200C"/>
    <w:rsid w:val="00062BBC"/>
    <w:rsid w:val="000635E9"/>
    <w:rsid w:val="00064915"/>
    <w:rsid w:val="00065046"/>
    <w:rsid w:val="000665F5"/>
    <w:rsid w:val="00066D51"/>
    <w:rsid w:val="00067061"/>
    <w:rsid w:val="000679A8"/>
    <w:rsid w:val="00067D3B"/>
    <w:rsid w:val="00070C51"/>
    <w:rsid w:val="00071C81"/>
    <w:rsid w:val="00074181"/>
    <w:rsid w:val="0007509B"/>
    <w:rsid w:val="0007594F"/>
    <w:rsid w:val="00076033"/>
    <w:rsid w:val="000774A5"/>
    <w:rsid w:val="00077AC9"/>
    <w:rsid w:val="000817AF"/>
    <w:rsid w:val="000828BC"/>
    <w:rsid w:val="00082C18"/>
    <w:rsid w:val="00084265"/>
    <w:rsid w:val="00084484"/>
    <w:rsid w:val="00084E8B"/>
    <w:rsid w:val="0008668D"/>
    <w:rsid w:val="00086AD7"/>
    <w:rsid w:val="000917D4"/>
    <w:rsid w:val="000926A0"/>
    <w:rsid w:val="00092CD3"/>
    <w:rsid w:val="000933F3"/>
    <w:rsid w:val="00095B97"/>
    <w:rsid w:val="00095E5C"/>
    <w:rsid w:val="00096F4B"/>
    <w:rsid w:val="000A0148"/>
    <w:rsid w:val="000A1993"/>
    <w:rsid w:val="000A1FF8"/>
    <w:rsid w:val="000A23E7"/>
    <w:rsid w:val="000A2E06"/>
    <w:rsid w:val="000A2F32"/>
    <w:rsid w:val="000A5F37"/>
    <w:rsid w:val="000A5F66"/>
    <w:rsid w:val="000B060E"/>
    <w:rsid w:val="000B1455"/>
    <w:rsid w:val="000B2295"/>
    <w:rsid w:val="000B3481"/>
    <w:rsid w:val="000B4D4D"/>
    <w:rsid w:val="000B4ED4"/>
    <w:rsid w:val="000B5386"/>
    <w:rsid w:val="000B581C"/>
    <w:rsid w:val="000B5989"/>
    <w:rsid w:val="000B5ECF"/>
    <w:rsid w:val="000B6AFE"/>
    <w:rsid w:val="000B7372"/>
    <w:rsid w:val="000C0ACA"/>
    <w:rsid w:val="000C1EC7"/>
    <w:rsid w:val="000C249F"/>
    <w:rsid w:val="000C4985"/>
    <w:rsid w:val="000C5403"/>
    <w:rsid w:val="000C544A"/>
    <w:rsid w:val="000C55BD"/>
    <w:rsid w:val="000D0698"/>
    <w:rsid w:val="000D0DEC"/>
    <w:rsid w:val="000D14E1"/>
    <w:rsid w:val="000D255B"/>
    <w:rsid w:val="000D29E0"/>
    <w:rsid w:val="000D2B67"/>
    <w:rsid w:val="000D312B"/>
    <w:rsid w:val="000D3FE2"/>
    <w:rsid w:val="000D4DD2"/>
    <w:rsid w:val="000D5217"/>
    <w:rsid w:val="000D5800"/>
    <w:rsid w:val="000D6B0F"/>
    <w:rsid w:val="000E0FC0"/>
    <w:rsid w:val="000E2EC0"/>
    <w:rsid w:val="000E39CA"/>
    <w:rsid w:val="000E401D"/>
    <w:rsid w:val="000E4698"/>
    <w:rsid w:val="000E4723"/>
    <w:rsid w:val="000E47A5"/>
    <w:rsid w:val="000E4897"/>
    <w:rsid w:val="000E72C9"/>
    <w:rsid w:val="000F06E3"/>
    <w:rsid w:val="000F08DC"/>
    <w:rsid w:val="000F2F07"/>
    <w:rsid w:val="000F3C6F"/>
    <w:rsid w:val="000F3D9D"/>
    <w:rsid w:val="000F4163"/>
    <w:rsid w:val="000F4826"/>
    <w:rsid w:val="000F4ED7"/>
    <w:rsid w:val="000F5149"/>
    <w:rsid w:val="000F66F6"/>
    <w:rsid w:val="000F6C8F"/>
    <w:rsid w:val="000F7ECF"/>
    <w:rsid w:val="000F7FE9"/>
    <w:rsid w:val="001009C2"/>
    <w:rsid w:val="0010130E"/>
    <w:rsid w:val="00103A61"/>
    <w:rsid w:val="00103E4D"/>
    <w:rsid w:val="00104977"/>
    <w:rsid w:val="00105D0E"/>
    <w:rsid w:val="00106BA4"/>
    <w:rsid w:val="001071CD"/>
    <w:rsid w:val="0010762C"/>
    <w:rsid w:val="001077E7"/>
    <w:rsid w:val="00107C0A"/>
    <w:rsid w:val="00107EAE"/>
    <w:rsid w:val="00110D8F"/>
    <w:rsid w:val="00111DA6"/>
    <w:rsid w:val="00113AE7"/>
    <w:rsid w:val="00114347"/>
    <w:rsid w:val="0011559A"/>
    <w:rsid w:val="00115846"/>
    <w:rsid w:val="00116880"/>
    <w:rsid w:val="001168B7"/>
    <w:rsid w:val="0011695E"/>
    <w:rsid w:val="00116A1A"/>
    <w:rsid w:val="00116CE9"/>
    <w:rsid w:val="001172ED"/>
    <w:rsid w:val="0012044E"/>
    <w:rsid w:val="00120AB6"/>
    <w:rsid w:val="0012141E"/>
    <w:rsid w:val="00121C28"/>
    <w:rsid w:val="001226E1"/>
    <w:rsid w:val="00124117"/>
    <w:rsid w:val="001244DC"/>
    <w:rsid w:val="001255A3"/>
    <w:rsid w:val="0012588E"/>
    <w:rsid w:val="001270B8"/>
    <w:rsid w:val="001277F1"/>
    <w:rsid w:val="001278B0"/>
    <w:rsid w:val="00127EF2"/>
    <w:rsid w:val="00130B7B"/>
    <w:rsid w:val="0013146D"/>
    <w:rsid w:val="00131D9E"/>
    <w:rsid w:val="001321C4"/>
    <w:rsid w:val="00132222"/>
    <w:rsid w:val="0013247C"/>
    <w:rsid w:val="00132DEB"/>
    <w:rsid w:val="00136D74"/>
    <w:rsid w:val="0013722F"/>
    <w:rsid w:val="00137894"/>
    <w:rsid w:val="00137AD6"/>
    <w:rsid w:val="00137D27"/>
    <w:rsid w:val="00140E31"/>
    <w:rsid w:val="001411F2"/>
    <w:rsid w:val="00141282"/>
    <w:rsid w:val="001415F3"/>
    <w:rsid w:val="001416E6"/>
    <w:rsid w:val="00143085"/>
    <w:rsid w:val="001435A3"/>
    <w:rsid w:val="00143714"/>
    <w:rsid w:val="0014399C"/>
    <w:rsid w:val="00144D31"/>
    <w:rsid w:val="00144F8D"/>
    <w:rsid w:val="001460A3"/>
    <w:rsid w:val="001472F9"/>
    <w:rsid w:val="00147454"/>
    <w:rsid w:val="0015095C"/>
    <w:rsid w:val="00151F76"/>
    <w:rsid w:val="00152B18"/>
    <w:rsid w:val="00152F7D"/>
    <w:rsid w:val="001535B3"/>
    <w:rsid w:val="00154DAF"/>
    <w:rsid w:val="001556C4"/>
    <w:rsid w:val="00155ABC"/>
    <w:rsid w:val="00156180"/>
    <w:rsid w:val="001563E6"/>
    <w:rsid w:val="00156CE6"/>
    <w:rsid w:val="001576A8"/>
    <w:rsid w:val="00157E01"/>
    <w:rsid w:val="001602A0"/>
    <w:rsid w:val="0016087C"/>
    <w:rsid w:val="001627EA"/>
    <w:rsid w:val="001635BC"/>
    <w:rsid w:val="00163B31"/>
    <w:rsid w:val="00163E52"/>
    <w:rsid w:val="00164304"/>
    <w:rsid w:val="00164A9B"/>
    <w:rsid w:val="0016655A"/>
    <w:rsid w:val="0016757C"/>
    <w:rsid w:val="00167AAD"/>
    <w:rsid w:val="00170176"/>
    <w:rsid w:val="001705C6"/>
    <w:rsid w:val="00172190"/>
    <w:rsid w:val="00173120"/>
    <w:rsid w:val="001739F3"/>
    <w:rsid w:val="00173B82"/>
    <w:rsid w:val="00174367"/>
    <w:rsid w:val="001750CE"/>
    <w:rsid w:val="0017593F"/>
    <w:rsid w:val="00176DA5"/>
    <w:rsid w:val="00177EC4"/>
    <w:rsid w:val="001814C8"/>
    <w:rsid w:val="00181ADC"/>
    <w:rsid w:val="001824D3"/>
    <w:rsid w:val="00182571"/>
    <w:rsid w:val="001829F2"/>
    <w:rsid w:val="00185BA7"/>
    <w:rsid w:val="00185EFF"/>
    <w:rsid w:val="001862EE"/>
    <w:rsid w:val="00186557"/>
    <w:rsid w:val="00186B15"/>
    <w:rsid w:val="001876AF"/>
    <w:rsid w:val="00187A3A"/>
    <w:rsid w:val="00187C63"/>
    <w:rsid w:val="00187D99"/>
    <w:rsid w:val="00190DCB"/>
    <w:rsid w:val="00191026"/>
    <w:rsid w:val="0019213B"/>
    <w:rsid w:val="001936CE"/>
    <w:rsid w:val="00193834"/>
    <w:rsid w:val="00193B1A"/>
    <w:rsid w:val="00195DA1"/>
    <w:rsid w:val="00196DE6"/>
    <w:rsid w:val="00196F61"/>
    <w:rsid w:val="00197CDE"/>
    <w:rsid w:val="001A09EB"/>
    <w:rsid w:val="001A1123"/>
    <w:rsid w:val="001A19C1"/>
    <w:rsid w:val="001A2362"/>
    <w:rsid w:val="001A2721"/>
    <w:rsid w:val="001A31D9"/>
    <w:rsid w:val="001A34FB"/>
    <w:rsid w:val="001A3867"/>
    <w:rsid w:val="001A475C"/>
    <w:rsid w:val="001A5B03"/>
    <w:rsid w:val="001A5F90"/>
    <w:rsid w:val="001A6032"/>
    <w:rsid w:val="001A7695"/>
    <w:rsid w:val="001A76A8"/>
    <w:rsid w:val="001B026D"/>
    <w:rsid w:val="001B0CCB"/>
    <w:rsid w:val="001B0CCF"/>
    <w:rsid w:val="001B0DB7"/>
    <w:rsid w:val="001B12F4"/>
    <w:rsid w:val="001B196F"/>
    <w:rsid w:val="001B1A88"/>
    <w:rsid w:val="001B1CD2"/>
    <w:rsid w:val="001B23C8"/>
    <w:rsid w:val="001B26CB"/>
    <w:rsid w:val="001B31EB"/>
    <w:rsid w:val="001B3863"/>
    <w:rsid w:val="001B4FA5"/>
    <w:rsid w:val="001B60D5"/>
    <w:rsid w:val="001B71CB"/>
    <w:rsid w:val="001B7C9D"/>
    <w:rsid w:val="001B7E51"/>
    <w:rsid w:val="001C04FB"/>
    <w:rsid w:val="001C3679"/>
    <w:rsid w:val="001C4530"/>
    <w:rsid w:val="001C47AE"/>
    <w:rsid w:val="001C586A"/>
    <w:rsid w:val="001C5AD0"/>
    <w:rsid w:val="001C626B"/>
    <w:rsid w:val="001C6E44"/>
    <w:rsid w:val="001D0D0C"/>
    <w:rsid w:val="001D1A07"/>
    <w:rsid w:val="001D22F8"/>
    <w:rsid w:val="001D2940"/>
    <w:rsid w:val="001D3ABB"/>
    <w:rsid w:val="001D3E44"/>
    <w:rsid w:val="001D5BF3"/>
    <w:rsid w:val="001D69F9"/>
    <w:rsid w:val="001D76DA"/>
    <w:rsid w:val="001E12A2"/>
    <w:rsid w:val="001E170D"/>
    <w:rsid w:val="001E1C20"/>
    <w:rsid w:val="001E223F"/>
    <w:rsid w:val="001E22D9"/>
    <w:rsid w:val="001E26DC"/>
    <w:rsid w:val="001E2714"/>
    <w:rsid w:val="001E2F29"/>
    <w:rsid w:val="001E4106"/>
    <w:rsid w:val="001E42E9"/>
    <w:rsid w:val="001E5B57"/>
    <w:rsid w:val="001E6D1D"/>
    <w:rsid w:val="001E6FA7"/>
    <w:rsid w:val="001E7BB9"/>
    <w:rsid w:val="001E7F18"/>
    <w:rsid w:val="001F096D"/>
    <w:rsid w:val="001F10A3"/>
    <w:rsid w:val="001F1740"/>
    <w:rsid w:val="001F29E9"/>
    <w:rsid w:val="001F2B51"/>
    <w:rsid w:val="001F2D6C"/>
    <w:rsid w:val="001F4320"/>
    <w:rsid w:val="001F5B08"/>
    <w:rsid w:val="001F5B5D"/>
    <w:rsid w:val="001F6651"/>
    <w:rsid w:val="001F6E59"/>
    <w:rsid w:val="00202C1F"/>
    <w:rsid w:val="00203B88"/>
    <w:rsid w:val="00203F53"/>
    <w:rsid w:val="00204DBF"/>
    <w:rsid w:val="00206AF0"/>
    <w:rsid w:val="0020702A"/>
    <w:rsid w:val="002074B1"/>
    <w:rsid w:val="00207704"/>
    <w:rsid w:val="0020787C"/>
    <w:rsid w:val="002079F1"/>
    <w:rsid w:val="00210192"/>
    <w:rsid w:val="0021032C"/>
    <w:rsid w:val="00210747"/>
    <w:rsid w:val="00210BB6"/>
    <w:rsid w:val="00210F3E"/>
    <w:rsid w:val="00210F43"/>
    <w:rsid w:val="00211733"/>
    <w:rsid w:val="002127D5"/>
    <w:rsid w:val="002135B0"/>
    <w:rsid w:val="0021443A"/>
    <w:rsid w:val="00214B76"/>
    <w:rsid w:val="00215CD6"/>
    <w:rsid w:val="002169DA"/>
    <w:rsid w:val="00216B32"/>
    <w:rsid w:val="0021748B"/>
    <w:rsid w:val="00217686"/>
    <w:rsid w:val="0021777D"/>
    <w:rsid w:val="0022054A"/>
    <w:rsid w:val="0022064C"/>
    <w:rsid w:val="002212E2"/>
    <w:rsid w:val="00221946"/>
    <w:rsid w:val="00222708"/>
    <w:rsid w:val="00222B8D"/>
    <w:rsid w:val="0022502A"/>
    <w:rsid w:val="00225252"/>
    <w:rsid w:val="0022657F"/>
    <w:rsid w:val="0022776B"/>
    <w:rsid w:val="00230273"/>
    <w:rsid w:val="00230D5F"/>
    <w:rsid w:val="002312ED"/>
    <w:rsid w:val="00231CDC"/>
    <w:rsid w:val="00231E13"/>
    <w:rsid w:val="00232B04"/>
    <w:rsid w:val="00232CF9"/>
    <w:rsid w:val="00233170"/>
    <w:rsid w:val="0023322B"/>
    <w:rsid w:val="0023339D"/>
    <w:rsid w:val="00233B56"/>
    <w:rsid w:val="0023496C"/>
    <w:rsid w:val="00234C71"/>
    <w:rsid w:val="0023589F"/>
    <w:rsid w:val="002365B7"/>
    <w:rsid w:val="002368A1"/>
    <w:rsid w:val="00236AE8"/>
    <w:rsid w:val="00236D7B"/>
    <w:rsid w:val="00237A47"/>
    <w:rsid w:val="00240200"/>
    <w:rsid w:val="0024041A"/>
    <w:rsid w:val="00240EFC"/>
    <w:rsid w:val="00240F04"/>
    <w:rsid w:val="00241095"/>
    <w:rsid w:val="00241B5B"/>
    <w:rsid w:val="002429AE"/>
    <w:rsid w:val="00242A31"/>
    <w:rsid w:val="00242B79"/>
    <w:rsid w:val="00242E4A"/>
    <w:rsid w:val="002431A3"/>
    <w:rsid w:val="002443D7"/>
    <w:rsid w:val="00245489"/>
    <w:rsid w:val="002458FD"/>
    <w:rsid w:val="002462CC"/>
    <w:rsid w:val="00247110"/>
    <w:rsid w:val="0024745E"/>
    <w:rsid w:val="002475C9"/>
    <w:rsid w:val="00250463"/>
    <w:rsid w:val="00250488"/>
    <w:rsid w:val="00251017"/>
    <w:rsid w:val="002531EE"/>
    <w:rsid w:val="002536FD"/>
    <w:rsid w:val="002549A9"/>
    <w:rsid w:val="0025608D"/>
    <w:rsid w:val="0025623A"/>
    <w:rsid w:val="00257308"/>
    <w:rsid w:val="0026050C"/>
    <w:rsid w:val="00260904"/>
    <w:rsid w:val="0026163C"/>
    <w:rsid w:val="00261720"/>
    <w:rsid w:val="002619B5"/>
    <w:rsid w:val="002620C8"/>
    <w:rsid w:val="002626FA"/>
    <w:rsid w:val="00263686"/>
    <w:rsid w:val="00263CB7"/>
    <w:rsid w:val="002648FD"/>
    <w:rsid w:val="0026542A"/>
    <w:rsid w:val="002658FA"/>
    <w:rsid w:val="00265DF0"/>
    <w:rsid w:val="00266345"/>
    <w:rsid w:val="0026687E"/>
    <w:rsid w:val="00266AB9"/>
    <w:rsid w:val="00267C30"/>
    <w:rsid w:val="00271577"/>
    <w:rsid w:val="0027248F"/>
    <w:rsid w:val="00273B28"/>
    <w:rsid w:val="00275692"/>
    <w:rsid w:val="00276448"/>
    <w:rsid w:val="00276F00"/>
    <w:rsid w:val="0027725B"/>
    <w:rsid w:val="00277844"/>
    <w:rsid w:val="00281C38"/>
    <w:rsid w:val="002821B6"/>
    <w:rsid w:val="00282243"/>
    <w:rsid w:val="00282287"/>
    <w:rsid w:val="00282A7F"/>
    <w:rsid w:val="00283C74"/>
    <w:rsid w:val="0028549A"/>
    <w:rsid w:val="00285EE7"/>
    <w:rsid w:val="00286687"/>
    <w:rsid w:val="00287308"/>
    <w:rsid w:val="002875BC"/>
    <w:rsid w:val="00290683"/>
    <w:rsid w:val="0029146B"/>
    <w:rsid w:val="00291630"/>
    <w:rsid w:val="00291740"/>
    <w:rsid w:val="00292EDD"/>
    <w:rsid w:val="0029334A"/>
    <w:rsid w:val="00293BA4"/>
    <w:rsid w:val="002947BF"/>
    <w:rsid w:val="00295932"/>
    <w:rsid w:val="00295CE9"/>
    <w:rsid w:val="00295D3D"/>
    <w:rsid w:val="00295EB3"/>
    <w:rsid w:val="002962DB"/>
    <w:rsid w:val="002969AA"/>
    <w:rsid w:val="00297072"/>
    <w:rsid w:val="002A0662"/>
    <w:rsid w:val="002A0B62"/>
    <w:rsid w:val="002A1B62"/>
    <w:rsid w:val="002A2687"/>
    <w:rsid w:val="002A38F5"/>
    <w:rsid w:val="002A3A7C"/>
    <w:rsid w:val="002A5451"/>
    <w:rsid w:val="002A765F"/>
    <w:rsid w:val="002A76E8"/>
    <w:rsid w:val="002B0028"/>
    <w:rsid w:val="002B014D"/>
    <w:rsid w:val="002B06D4"/>
    <w:rsid w:val="002B1855"/>
    <w:rsid w:val="002B255C"/>
    <w:rsid w:val="002B2812"/>
    <w:rsid w:val="002B54B1"/>
    <w:rsid w:val="002B5BDA"/>
    <w:rsid w:val="002B6D54"/>
    <w:rsid w:val="002B7595"/>
    <w:rsid w:val="002B77E0"/>
    <w:rsid w:val="002C01D8"/>
    <w:rsid w:val="002C0478"/>
    <w:rsid w:val="002C0FB7"/>
    <w:rsid w:val="002C1F88"/>
    <w:rsid w:val="002C21C6"/>
    <w:rsid w:val="002C2A48"/>
    <w:rsid w:val="002C352D"/>
    <w:rsid w:val="002C3963"/>
    <w:rsid w:val="002C40C1"/>
    <w:rsid w:val="002C4390"/>
    <w:rsid w:val="002C447C"/>
    <w:rsid w:val="002C4800"/>
    <w:rsid w:val="002C4B51"/>
    <w:rsid w:val="002C5312"/>
    <w:rsid w:val="002C566F"/>
    <w:rsid w:val="002C5A92"/>
    <w:rsid w:val="002C5E05"/>
    <w:rsid w:val="002C6A50"/>
    <w:rsid w:val="002C75E7"/>
    <w:rsid w:val="002C782C"/>
    <w:rsid w:val="002C7EDA"/>
    <w:rsid w:val="002D00DC"/>
    <w:rsid w:val="002D02EF"/>
    <w:rsid w:val="002D0311"/>
    <w:rsid w:val="002D0F20"/>
    <w:rsid w:val="002D1E46"/>
    <w:rsid w:val="002D22EC"/>
    <w:rsid w:val="002D3E43"/>
    <w:rsid w:val="002D3F28"/>
    <w:rsid w:val="002D47FE"/>
    <w:rsid w:val="002D4E70"/>
    <w:rsid w:val="002D4F86"/>
    <w:rsid w:val="002D6A0B"/>
    <w:rsid w:val="002D6A1D"/>
    <w:rsid w:val="002D6F04"/>
    <w:rsid w:val="002D6FA8"/>
    <w:rsid w:val="002D7EAE"/>
    <w:rsid w:val="002E0146"/>
    <w:rsid w:val="002E0D4A"/>
    <w:rsid w:val="002E176B"/>
    <w:rsid w:val="002E1776"/>
    <w:rsid w:val="002E1973"/>
    <w:rsid w:val="002E1A08"/>
    <w:rsid w:val="002E1A83"/>
    <w:rsid w:val="002E1BC9"/>
    <w:rsid w:val="002E2DDC"/>
    <w:rsid w:val="002E2E4F"/>
    <w:rsid w:val="002E32D9"/>
    <w:rsid w:val="002E342C"/>
    <w:rsid w:val="002E4008"/>
    <w:rsid w:val="002E41E6"/>
    <w:rsid w:val="002E4401"/>
    <w:rsid w:val="002E625F"/>
    <w:rsid w:val="002E737E"/>
    <w:rsid w:val="002E7644"/>
    <w:rsid w:val="002F0811"/>
    <w:rsid w:val="002F0B0A"/>
    <w:rsid w:val="002F0B95"/>
    <w:rsid w:val="002F101F"/>
    <w:rsid w:val="002F11B2"/>
    <w:rsid w:val="002F1232"/>
    <w:rsid w:val="002F20EB"/>
    <w:rsid w:val="002F3E03"/>
    <w:rsid w:val="002F4F3C"/>
    <w:rsid w:val="002F4FFB"/>
    <w:rsid w:val="002F62E9"/>
    <w:rsid w:val="002F68C7"/>
    <w:rsid w:val="002F6968"/>
    <w:rsid w:val="002F72DD"/>
    <w:rsid w:val="002F7C2C"/>
    <w:rsid w:val="002F7CF2"/>
    <w:rsid w:val="003010D2"/>
    <w:rsid w:val="00301A2B"/>
    <w:rsid w:val="00301D15"/>
    <w:rsid w:val="0030235A"/>
    <w:rsid w:val="003025B8"/>
    <w:rsid w:val="003029E5"/>
    <w:rsid w:val="00302AB1"/>
    <w:rsid w:val="00302D55"/>
    <w:rsid w:val="003054D9"/>
    <w:rsid w:val="003055B8"/>
    <w:rsid w:val="0030772A"/>
    <w:rsid w:val="00307F93"/>
    <w:rsid w:val="0031091A"/>
    <w:rsid w:val="00310AC3"/>
    <w:rsid w:val="00311B6B"/>
    <w:rsid w:val="00311E44"/>
    <w:rsid w:val="00312B25"/>
    <w:rsid w:val="00312D77"/>
    <w:rsid w:val="003130D5"/>
    <w:rsid w:val="00313655"/>
    <w:rsid w:val="00313799"/>
    <w:rsid w:val="00314467"/>
    <w:rsid w:val="0031627C"/>
    <w:rsid w:val="00316308"/>
    <w:rsid w:val="003172A0"/>
    <w:rsid w:val="003175D5"/>
    <w:rsid w:val="00320597"/>
    <w:rsid w:val="00320C56"/>
    <w:rsid w:val="003219C4"/>
    <w:rsid w:val="00321D20"/>
    <w:rsid w:val="00323AF7"/>
    <w:rsid w:val="00324A57"/>
    <w:rsid w:val="003252E7"/>
    <w:rsid w:val="00325526"/>
    <w:rsid w:val="00326932"/>
    <w:rsid w:val="00326B46"/>
    <w:rsid w:val="00326D17"/>
    <w:rsid w:val="00326E2C"/>
    <w:rsid w:val="00330BDD"/>
    <w:rsid w:val="00332BBE"/>
    <w:rsid w:val="00332BC1"/>
    <w:rsid w:val="00333247"/>
    <w:rsid w:val="00333283"/>
    <w:rsid w:val="003339EC"/>
    <w:rsid w:val="00334534"/>
    <w:rsid w:val="00335068"/>
    <w:rsid w:val="00335D80"/>
    <w:rsid w:val="00336D2A"/>
    <w:rsid w:val="0033727E"/>
    <w:rsid w:val="00337AF1"/>
    <w:rsid w:val="00340212"/>
    <w:rsid w:val="003404A9"/>
    <w:rsid w:val="003407BF"/>
    <w:rsid w:val="003425B0"/>
    <w:rsid w:val="003425F3"/>
    <w:rsid w:val="00343526"/>
    <w:rsid w:val="00343B72"/>
    <w:rsid w:val="0034479F"/>
    <w:rsid w:val="003454CE"/>
    <w:rsid w:val="003466F4"/>
    <w:rsid w:val="00346B7F"/>
    <w:rsid w:val="00346DEE"/>
    <w:rsid w:val="00346FC7"/>
    <w:rsid w:val="0034731C"/>
    <w:rsid w:val="003477E7"/>
    <w:rsid w:val="00347DE9"/>
    <w:rsid w:val="0035000A"/>
    <w:rsid w:val="003506CF"/>
    <w:rsid w:val="003509E7"/>
    <w:rsid w:val="0035167C"/>
    <w:rsid w:val="003520BA"/>
    <w:rsid w:val="00353F76"/>
    <w:rsid w:val="003561D0"/>
    <w:rsid w:val="003567E2"/>
    <w:rsid w:val="003603C4"/>
    <w:rsid w:val="00360D87"/>
    <w:rsid w:val="00361279"/>
    <w:rsid w:val="00361E94"/>
    <w:rsid w:val="00362BF7"/>
    <w:rsid w:val="00363BF8"/>
    <w:rsid w:val="00363BFD"/>
    <w:rsid w:val="00363C2E"/>
    <w:rsid w:val="00364974"/>
    <w:rsid w:val="00364E32"/>
    <w:rsid w:val="003650D9"/>
    <w:rsid w:val="003659DB"/>
    <w:rsid w:val="00367012"/>
    <w:rsid w:val="00367B48"/>
    <w:rsid w:val="00367B6E"/>
    <w:rsid w:val="00371770"/>
    <w:rsid w:val="0037442E"/>
    <w:rsid w:val="003750B7"/>
    <w:rsid w:val="00375C9A"/>
    <w:rsid w:val="003765E3"/>
    <w:rsid w:val="0037776C"/>
    <w:rsid w:val="00377786"/>
    <w:rsid w:val="00377DAB"/>
    <w:rsid w:val="00377DE4"/>
    <w:rsid w:val="00381653"/>
    <w:rsid w:val="003824A7"/>
    <w:rsid w:val="0038255A"/>
    <w:rsid w:val="00383201"/>
    <w:rsid w:val="00383519"/>
    <w:rsid w:val="003835A6"/>
    <w:rsid w:val="00385C2F"/>
    <w:rsid w:val="003866FF"/>
    <w:rsid w:val="0039051F"/>
    <w:rsid w:val="00390820"/>
    <w:rsid w:val="00390A3C"/>
    <w:rsid w:val="00393D36"/>
    <w:rsid w:val="00393E1F"/>
    <w:rsid w:val="0039425C"/>
    <w:rsid w:val="00394919"/>
    <w:rsid w:val="00394ED6"/>
    <w:rsid w:val="0039548F"/>
    <w:rsid w:val="00395594"/>
    <w:rsid w:val="00395EC7"/>
    <w:rsid w:val="00396408"/>
    <w:rsid w:val="0039661E"/>
    <w:rsid w:val="0039686D"/>
    <w:rsid w:val="003A0165"/>
    <w:rsid w:val="003A17FB"/>
    <w:rsid w:val="003A3FB5"/>
    <w:rsid w:val="003A56DA"/>
    <w:rsid w:val="003A5E09"/>
    <w:rsid w:val="003A6494"/>
    <w:rsid w:val="003A6FA9"/>
    <w:rsid w:val="003A70A7"/>
    <w:rsid w:val="003A7485"/>
    <w:rsid w:val="003A7C4C"/>
    <w:rsid w:val="003B016B"/>
    <w:rsid w:val="003B25B5"/>
    <w:rsid w:val="003B306E"/>
    <w:rsid w:val="003B32F3"/>
    <w:rsid w:val="003B4D0F"/>
    <w:rsid w:val="003B5481"/>
    <w:rsid w:val="003C0C7B"/>
    <w:rsid w:val="003C0DB7"/>
    <w:rsid w:val="003C0F30"/>
    <w:rsid w:val="003C0F98"/>
    <w:rsid w:val="003C1598"/>
    <w:rsid w:val="003C207A"/>
    <w:rsid w:val="003C2D1A"/>
    <w:rsid w:val="003C2F57"/>
    <w:rsid w:val="003C3F5D"/>
    <w:rsid w:val="003C3FC8"/>
    <w:rsid w:val="003C4AB4"/>
    <w:rsid w:val="003C52E2"/>
    <w:rsid w:val="003C5599"/>
    <w:rsid w:val="003C5D82"/>
    <w:rsid w:val="003C61E6"/>
    <w:rsid w:val="003C6295"/>
    <w:rsid w:val="003C6F41"/>
    <w:rsid w:val="003C761F"/>
    <w:rsid w:val="003D0029"/>
    <w:rsid w:val="003D0E15"/>
    <w:rsid w:val="003D2072"/>
    <w:rsid w:val="003D20B0"/>
    <w:rsid w:val="003D2D3C"/>
    <w:rsid w:val="003D3116"/>
    <w:rsid w:val="003D3931"/>
    <w:rsid w:val="003D39E3"/>
    <w:rsid w:val="003D5669"/>
    <w:rsid w:val="003D5FEB"/>
    <w:rsid w:val="003D64C5"/>
    <w:rsid w:val="003D6DF4"/>
    <w:rsid w:val="003D799E"/>
    <w:rsid w:val="003E0131"/>
    <w:rsid w:val="003E0FD3"/>
    <w:rsid w:val="003E1015"/>
    <w:rsid w:val="003E163B"/>
    <w:rsid w:val="003E2423"/>
    <w:rsid w:val="003E39A7"/>
    <w:rsid w:val="003E446D"/>
    <w:rsid w:val="003E6149"/>
    <w:rsid w:val="003E740F"/>
    <w:rsid w:val="003F0539"/>
    <w:rsid w:val="003F0AEF"/>
    <w:rsid w:val="003F10A6"/>
    <w:rsid w:val="003F1C71"/>
    <w:rsid w:val="003F5E6F"/>
    <w:rsid w:val="003F6499"/>
    <w:rsid w:val="003F6A40"/>
    <w:rsid w:val="00400B29"/>
    <w:rsid w:val="00400CB4"/>
    <w:rsid w:val="00401D88"/>
    <w:rsid w:val="00404DDA"/>
    <w:rsid w:val="00406984"/>
    <w:rsid w:val="00406BFC"/>
    <w:rsid w:val="0040745C"/>
    <w:rsid w:val="004110BC"/>
    <w:rsid w:val="00412184"/>
    <w:rsid w:val="00412660"/>
    <w:rsid w:val="00412E01"/>
    <w:rsid w:val="0041340F"/>
    <w:rsid w:val="0041371C"/>
    <w:rsid w:val="00413DD6"/>
    <w:rsid w:val="0041702E"/>
    <w:rsid w:val="00417254"/>
    <w:rsid w:val="0042153C"/>
    <w:rsid w:val="00422A75"/>
    <w:rsid w:val="00423447"/>
    <w:rsid w:val="00423929"/>
    <w:rsid w:val="0042438C"/>
    <w:rsid w:val="004244BD"/>
    <w:rsid w:val="00425E87"/>
    <w:rsid w:val="004261EF"/>
    <w:rsid w:val="004271CE"/>
    <w:rsid w:val="00427ADC"/>
    <w:rsid w:val="00427C9B"/>
    <w:rsid w:val="00431DD4"/>
    <w:rsid w:val="00431FE9"/>
    <w:rsid w:val="0043339E"/>
    <w:rsid w:val="00433646"/>
    <w:rsid w:val="00434721"/>
    <w:rsid w:val="00434B88"/>
    <w:rsid w:val="00434BAE"/>
    <w:rsid w:val="00435EA4"/>
    <w:rsid w:val="004364BA"/>
    <w:rsid w:val="00437172"/>
    <w:rsid w:val="00437E82"/>
    <w:rsid w:val="0044179D"/>
    <w:rsid w:val="0044277F"/>
    <w:rsid w:val="00442CB1"/>
    <w:rsid w:val="00443643"/>
    <w:rsid w:val="00445650"/>
    <w:rsid w:val="004457F6"/>
    <w:rsid w:val="0044595D"/>
    <w:rsid w:val="00445BF5"/>
    <w:rsid w:val="00446594"/>
    <w:rsid w:val="004469BA"/>
    <w:rsid w:val="00447131"/>
    <w:rsid w:val="00451386"/>
    <w:rsid w:val="004541C3"/>
    <w:rsid w:val="00455A8B"/>
    <w:rsid w:val="004563E0"/>
    <w:rsid w:val="004578B5"/>
    <w:rsid w:val="0046150B"/>
    <w:rsid w:val="0046171D"/>
    <w:rsid w:val="00461B13"/>
    <w:rsid w:val="004629B2"/>
    <w:rsid w:val="004632FD"/>
    <w:rsid w:val="0046343E"/>
    <w:rsid w:val="00463DCD"/>
    <w:rsid w:val="00465F1C"/>
    <w:rsid w:val="00466064"/>
    <w:rsid w:val="00466B40"/>
    <w:rsid w:val="00466EAE"/>
    <w:rsid w:val="00467CCA"/>
    <w:rsid w:val="00467D32"/>
    <w:rsid w:val="00472882"/>
    <w:rsid w:val="00473169"/>
    <w:rsid w:val="004739D3"/>
    <w:rsid w:val="00473CAE"/>
    <w:rsid w:val="0047406D"/>
    <w:rsid w:val="00474486"/>
    <w:rsid w:val="00474680"/>
    <w:rsid w:val="004749C0"/>
    <w:rsid w:val="00477382"/>
    <w:rsid w:val="004773C6"/>
    <w:rsid w:val="0047752E"/>
    <w:rsid w:val="00477CA1"/>
    <w:rsid w:val="004811BF"/>
    <w:rsid w:val="0048168F"/>
    <w:rsid w:val="00483297"/>
    <w:rsid w:val="00484E46"/>
    <w:rsid w:val="00485583"/>
    <w:rsid w:val="00485881"/>
    <w:rsid w:val="00486455"/>
    <w:rsid w:val="00486725"/>
    <w:rsid w:val="00486DB5"/>
    <w:rsid w:val="0048714F"/>
    <w:rsid w:val="00490340"/>
    <w:rsid w:val="00491735"/>
    <w:rsid w:val="00492D71"/>
    <w:rsid w:val="0049495B"/>
    <w:rsid w:val="004959F5"/>
    <w:rsid w:val="0049646E"/>
    <w:rsid w:val="0049666A"/>
    <w:rsid w:val="004977FA"/>
    <w:rsid w:val="00497FBE"/>
    <w:rsid w:val="004A0ED5"/>
    <w:rsid w:val="004A0FB0"/>
    <w:rsid w:val="004A26E3"/>
    <w:rsid w:val="004A29B8"/>
    <w:rsid w:val="004A3055"/>
    <w:rsid w:val="004A323D"/>
    <w:rsid w:val="004A4357"/>
    <w:rsid w:val="004A49C4"/>
    <w:rsid w:val="004A4BB9"/>
    <w:rsid w:val="004A6037"/>
    <w:rsid w:val="004A605B"/>
    <w:rsid w:val="004A6ADD"/>
    <w:rsid w:val="004A6BA1"/>
    <w:rsid w:val="004B03B5"/>
    <w:rsid w:val="004B05FB"/>
    <w:rsid w:val="004B06EA"/>
    <w:rsid w:val="004B0856"/>
    <w:rsid w:val="004B09CF"/>
    <w:rsid w:val="004B0DAD"/>
    <w:rsid w:val="004B2173"/>
    <w:rsid w:val="004B3337"/>
    <w:rsid w:val="004B38CF"/>
    <w:rsid w:val="004B38E3"/>
    <w:rsid w:val="004B39CC"/>
    <w:rsid w:val="004B44AC"/>
    <w:rsid w:val="004B4CBE"/>
    <w:rsid w:val="004B4D3C"/>
    <w:rsid w:val="004B7B52"/>
    <w:rsid w:val="004C064F"/>
    <w:rsid w:val="004C180F"/>
    <w:rsid w:val="004C20B0"/>
    <w:rsid w:val="004C2286"/>
    <w:rsid w:val="004C2394"/>
    <w:rsid w:val="004C36C5"/>
    <w:rsid w:val="004C631C"/>
    <w:rsid w:val="004C66F8"/>
    <w:rsid w:val="004C6A8D"/>
    <w:rsid w:val="004C6CD5"/>
    <w:rsid w:val="004C7080"/>
    <w:rsid w:val="004C7AEF"/>
    <w:rsid w:val="004D0007"/>
    <w:rsid w:val="004D0C5B"/>
    <w:rsid w:val="004D29B5"/>
    <w:rsid w:val="004D4B0F"/>
    <w:rsid w:val="004D549C"/>
    <w:rsid w:val="004D5E0D"/>
    <w:rsid w:val="004D6C0B"/>
    <w:rsid w:val="004D7310"/>
    <w:rsid w:val="004D7734"/>
    <w:rsid w:val="004E0101"/>
    <w:rsid w:val="004E26D4"/>
    <w:rsid w:val="004E379B"/>
    <w:rsid w:val="004E4101"/>
    <w:rsid w:val="004E4895"/>
    <w:rsid w:val="004E4B2D"/>
    <w:rsid w:val="004E4E8E"/>
    <w:rsid w:val="004E552D"/>
    <w:rsid w:val="004E557A"/>
    <w:rsid w:val="004E58F7"/>
    <w:rsid w:val="004E5DBE"/>
    <w:rsid w:val="004E6EED"/>
    <w:rsid w:val="004E7134"/>
    <w:rsid w:val="004E78CF"/>
    <w:rsid w:val="004F1094"/>
    <w:rsid w:val="004F22C1"/>
    <w:rsid w:val="004F2B4C"/>
    <w:rsid w:val="004F38C0"/>
    <w:rsid w:val="004F3D86"/>
    <w:rsid w:val="004F4715"/>
    <w:rsid w:val="004F4908"/>
    <w:rsid w:val="004F4DF9"/>
    <w:rsid w:val="004F5871"/>
    <w:rsid w:val="004F6BC5"/>
    <w:rsid w:val="004F765C"/>
    <w:rsid w:val="00501B45"/>
    <w:rsid w:val="0050205E"/>
    <w:rsid w:val="005036D2"/>
    <w:rsid w:val="00504FA4"/>
    <w:rsid w:val="00506D54"/>
    <w:rsid w:val="0050779D"/>
    <w:rsid w:val="005077FC"/>
    <w:rsid w:val="00510310"/>
    <w:rsid w:val="00510A5D"/>
    <w:rsid w:val="00510CEF"/>
    <w:rsid w:val="005116B9"/>
    <w:rsid w:val="00511986"/>
    <w:rsid w:val="00511BA7"/>
    <w:rsid w:val="005120E5"/>
    <w:rsid w:val="005120E9"/>
    <w:rsid w:val="0051251C"/>
    <w:rsid w:val="00512857"/>
    <w:rsid w:val="00512B3D"/>
    <w:rsid w:val="00512E10"/>
    <w:rsid w:val="00513AFD"/>
    <w:rsid w:val="00513D9A"/>
    <w:rsid w:val="00513F6E"/>
    <w:rsid w:val="0051438C"/>
    <w:rsid w:val="0051473E"/>
    <w:rsid w:val="00514D7A"/>
    <w:rsid w:val="00517028"/>
    <w:rsid w:val="0052046E"/>
    <w:rsid w:val="00521A55"/>
    <w:rsid w:val="00522D13"/>
    <w:rsid w:val="0052412E"/>
    <w:rsid w:val="00524A30"/>
    <w:rsid w:val="0052517F"/>
    <w:rsid w:val="0052559E"/>
    <w:rsid w:val="00525B7F"/>
    <w:rsid w:val="00526446"/>
    <w:rsid w:val="005264C6"/>
    <w:rsid w:val="0052691D"/>
    <w:rsid w:val="00527F56"/>
    <w:rsid w:val="00532829"/>
    <w:rsid w:val="00532EF9"/>
    <w:rsid w:val="00533EA4"/>
    <w:rsid w:val="00534BFD"/>
    <w:rsid w:val="00535DAC"/>
    <w:rsid w:val="00536686"/>
    <w:rsid w:val="00540C44"/>
    <w:rsid w:val="00542E11"/>
    <w:rsid w:val="00543D6E"/>
    <w:rsid w:val="005460F7"/>
    <w:rsid w:val="00550488"/>
    <w:rsid w:val="00551D96"/>
    <w:rsid w:val="00554024"/>
    <w:rsid w:val="00554CD9"/>
    <w:rsid w:val="00554CF5"/>
    <w:rsid w:val="00555245"/>
    <w:rsid w:val="005552E6"/>
    <w:rsid w:val="00555AD0"/>
    <w:rsid w:val="0055610E"/>
    <w:rsid w:val="005568B9"/>
    <w:rsid w:val="00556CB3"/>
    <w:rsid w:val="00556CDB"/>
    <w:rsid w:val="005574C3"/>
    <w:rsid w:val="00560B49"/>
    <w:rsid w:val="005611BA"/>
    <w:rsid w:val="00561A9B"/>
    <w:rsid w:val="00562C97"/>
    <w:rsid w:val="00564BA7"/>
    <w:rsid w:val="0056507A"/>
    <w:rsid w:val="005650C7"/>
    <w:rsid w:val="005655C9"/>
    <w:rsid w:val="00565743"/>
    <w:rsid w:val="0056588A"/>
    <w:rsid w:val="0056616F"/>
    <w:rsid w:val="005662EC"/>
    <w:rsid w:val="00572633"/>
    <w:rsid w:val="0057387E"/>
    <w:rsid w:val="00575869"/>
    <w:rsid w:val="0057644B"/>
    <w:rsid w:val="00576D78"/>
    <w:rsid w:val="0057786C"/>
    <w:rsid w:val="00577F85"/>
    <w:rsid w:val="0058044C"/>
    <w:rsid w:val="00581765"/>
    <w:rsid w:val="00583A70"/>
    <w:rsid w:val="0058434B"/>
    <w:rsid w:val="0058487B"/>
    <w:rsid w:val="005848EA"/>
    <w:rsid w:val="005852C5"/>
    <w:rsid w:val="005857AD"/>
    <w:rsid w:val="00585D2B"/>
    <w:rsid w:val="00585E33"/>
    <w:rsid w:val="00586147"/>
    <w:rsid w:val="00586470"/>
    <w:rsid w:val="00586689"/>
    <w:rsid w:val="00586C69"/>
    <w:rsid w:val="00587303"/>
    <w:rsid w:val="005874C5"/>
    <w:rsid w:val="00587AB1"/>
    <w:rsid w:val="00587C1A"/>
    <w:rsid w:val="0059019C"/>
    <w:rsid w:val="00590965"/>
    <w:rsid w:val="00590EBB"/>
    <w:rsid w:val="005930D3"/>
    <w:rsid w:val="005943C0"/>
    <w:rsid w:val="0059478C"/>
    <w:rsid w:val="0059595E"/>
    <w:rsid w:val="00595FE5"/>
    <w:rsid w:val="0059670E"/>
    <w:rsid w:val="00596719"/>
    <w:rsid w:val="0059786F"/>
    <w:rsid w:val="005A06CF"/>
    <w:rsid w:val="005A0711"/>
    <w:rsid w:val="005A0EE3"/>
    <w:rsid w:val="005A2F1F"/>
    <w:rsid w:val="005A3081"/>
    <w:rsid w:val="005A3C1A"/>
    <w:rsid w:val="005A65B3"/>
    <w:rsid w:val="005A7066"/>
    <w:rsid w:val="005A79D6"/>
    <w:rsid w:val="005A7E1B"/>
    <w:rsid w:val="005B00FF"/>
    <w:rsid w:val="005B1E3B"/>
    <w:rsid w:val="005B3657"/>
    <w:rsid w:val="005B436C"/>
    <w:rsid w:val="005B4549"/>
    <w:rsid w:val="005B46A8"/>
    <w:rsid w:val="005B48F8"/>
    <w:rsid w:val="005B4C3A"/>
    <w:rsid w:val="005B4E8D"/>
    <w:rsid w:val="005B51CB"/>
    <w:rsid w:val="005B6278"/>
    <w:rsid w:val="005B64FB"/>
    <w:rsid w:val="005B6CB8"/>
    <w:rsid w:val="005B741F"/>
    <w:rsid w:val="005B77D9"/>
    <w:rsid w:val="005C0B61"/>
    <w:rsid w:val="005C0D32"/>
    <w:rsid w:val="005C0D82"/>
    <w:rsid w:val="005C1577"/>
    <w:rsid w:val="005C294E"/>
    <w:rsid w:val="005C39E1"/>
    <w:rsid w:val="005C3B84"/>
    <w:rsid w:val="005C3F48"/>
    <w:rsid w:val="005C45BB"/>
    <w:rsid w:val="005C5E73"/>
    <w:rsid w:val="005C680F"/>
    <w:rsid w:val="005C68A4"/>
    <w:rsid w:val="005C75DA"/>
    <w:rsid w:val="005C7D01"/>
    <w:rsid w:val="005D0EFC"/>
    <w:rsid w:val="005D18E8"/>
    <w:rsid w:val="005D28E7"/>
    <w:rsid w:val="005D46AD"/>
    <w:rsid w:val="005D7293"/>
    <w:rsid w:val="005D749F"/>
    <w:rsid w:val="005D7A48"/>
    <w:rsid w:val="005D7D18"/>
    <w:rsid w:val="005E0487"/>
    <w:rsid w:val="005E0E3D"/>
    <w:rsid w:val="005E26A7"/>
    <w:rsid w:val="005E3152"/>
    <w:rsid w:val="005E370E"/>
    <w:rsid w:val="005E39E4"/>
    <w:rsid w:val="005E5BFB"/>
    <w:rsid w:val="005E6C30"/>
    <w:rsid w:val="005E70F6"/>
    <w:rsid w:val="005E7953"/>
    <w:rsid w:val="005F00D2"/>
    <w:rsid w:val="005F1515"/>
    <w:rsid w:val="005F2AB4"/>
    <w:rsid w:val="005F2F46"/>
    <w:rsid w:val="005F35F5"/>
    <w:rsid w:val="005F419C"/>
    <w:rsid w:val="005F4FDF"/>
    <w:rsid w:val="005F5051"/>
    <w:rsid w:val="005F724F"/>
    <w:rsid w:val="005F7DCE"/>
    <w:rsid w:val="00600FCC"/>
    <w:rsid w:val="00601204"/>
    <w:rsid w:val="0060185E"/>
    <w:rsid w:val="00601B75"/>
    <w:rsid w:val="00602DAE"/>
    <w:rsid w:val="006037D4"/>
    <w:rsid w:val="00605C9D"/>
    <w:rsid w:val="00606654"/>
    <w:rsid w:val="006067B4"/>
    <w:rsid w:val="006068D8"/>
    <w:rsid w:val="00606C6B"/>
    <w:rsid w:val="00606D02"/>
    <w:rsid w:val="00607D12"/>
    <w:rsid w:val="00610E96"/>
    <w:rsid w:val="00611A25"/>
    <w:rsid w:val="00612DC6"/>
    <w:rsid w:val="00612FFC"/>
    <w:rsid w:val="00614782"/>
    <w:rsid w:val="00616486"/>
    <w:rsid w:val="0061729E"/>
    <w:rsid w:val="00617F3C"/>
    <w:rsid w:val="006200E6"/>
    <w:rsid w:val="00620FEF"/>
    <w:rsid w:val="00621054"/>
    <w:rsid w:val="00621ADC"/>
    <w:rsid w:val="00622469"/>
    <w:rsid w:val="00622E90"/>
    <w:rsid w:val="00622FF5"/>
    <w:rsid w:val="0062337A"/>
    <w:rsid w:val="00624527"/>
    <w:rsid w:val="00624DE1"/>
    <w:rsid w:val="00625A60"/>
    <w:rsid w:val="00625C6A"/>
    <w:rsid w:val="00625E71"/>
    <w:rsid w:val="00625FB3"/>
    <w:rsid w:val="00625FD2"/>
    <w:rsid w:val="0062602D"/>
    <w:rsid w:val="00627835"/>
    <w:rsid w:val="00627C7C"/>
    <w:rsid w:val="00630950"/>
    <w:rsid w:val="00630F13"/>
    <w:rsid w:val="006315B7"/>
    <w:rsid w:val="006325CD"/>
    <w:rsid w:val="006330B5"/>
    <w:rsid w:val="00633DE2"/>
    <w:rsid w:val="00634262"/>
    <w:rsid w:val="00634786"/>
    <w:rsid w:val="00635501"/>
    <w:rsid w:val="00636B15"/>
    <w:rsid w:val="00636EC9"/>
    <w:rsid w:val="0063709C"/>
    <w:rsid w:val="00637508"/>
    <w:rsid w:val="00637E9E"/>
    <w:rsid w:val="00640C66"/>
    <w:rsid w:val="00640E1F"/>
    <w:rsid w:val="006414D7"/>
    <w:rsid w:val="0064190C"/>
    <w:rsid w:val="00642BB9"/>
    <w:rsid w:val="00642E00"/>
    <w:rsid w:val="006436E8"/>
    <w:rsid w:val="00643CDE"/>
    <w:rsid w:val="00644BD6"/>
    <w:rsid w:val="00645A61"/>
    <w:rsid w:val="00646846"/>
    <w:rsid w:val="00647310"/>
    <w:rsid w:val="006473B9"/>
    <w:rsid w:val="006506BC"/>
    <w:rsid w:val="006506DB"/>
    <w:rsid w:val="00650A31"/>
    <w:rsid w:val="00650D2C"/>
    <w:rsid w:val="006513E0"/>
    <w:rsid w:val="00651844"/>
    <w:rsid w:val="00652CFE"/>
    <w:rsid w:val="00653133"/>
    <w:rsid w:val="0065437B"/>
    <w:rsid w:val="00654925"/>
    <w:rsid w:val="00654BA6"/>
    <w:rsid w:val="00654D61"/>
    <w:rsid w:val="006555B9"/>
    <w:rsid w:val="00655BA3"/>
    <w:rsid w:val="0065611A"/>
    <w:rsid w:val="006564E1"/>
    <w:rsid w:val="00656C95"/>
    <w:rsid w:val="00657ABC"/>
    <w:rsid w:val="00660B8B"/>
    <w:rsid w:val="00660E76"/>
    <w:rsid w:val="006614FF"/>
    <w:rsid w:val="006617EA"/>
    <w:rsid w:val="00663AB3"/>
    <w:rsid w:val="00664768"/>
    <w:rsid w:val="00664A91"/>
    <w:rsid w:val="00664F49"/>
    <w:rsid w:val="00665277"/>
    <w:rsid w:val="0066528B"/>
    <w:rsid w:val="0066583B"/>
    <w:rsid w:val="0066713F"/>
    <w:rsid w:val="00667179"/>
    <w:rsid w:val="00667252"/>
    <w:rsid w:val="00670EFB"/>
    <w:rsid w:val="006711F6"/>
    <w:rsid w:val="00671333"/>
    <w:rsid w:val="00671B57"/>
    <w:rsid w:val="00672B54"/>
    <w:rsid w:val="0067424B"/>
    <w:rsid w:val="00675D7F"/>
    <w:rsid w:val="00676044"/>
    <w:rsid w:val="00676517"/>
    <w:rsid w:val="00676626"/>
    <w:rsid w:val="00676DA8"/>
    <w:rsid w:val="006819AC"/>
    <w:rsid w:val="00683E31"/>
    <w:rsid w:val="006848C6"/>
    <w:rsid w:val="00684A94"/>
    <w:rsid w:val="00685137"/>
    <w:rsid w:val="006858A8"/>
    <w:rsid w:val="0068646D"/>
    <w:rsid w:val="00687D70"/>
    <w:rsid w:val="00690444"/>
    <w:rsid w:val="00690535"/>
    <w:rsid w:val="00690864"/>
    <w:rsid w:val="0069123C"/>
    <w:rsid w:val="00691D22"/>
    <w:rsid w:val="00692E3E"/>
    <w:rsid w:val="006935B9"/>
    <w:rsid w:val="00693EBB"/>
    <w:rsid w:val="00694312"/>
    <w:rsid w:val="006957F2"/>
    <w:rsid w:val="00696073"/>
    <w:rsid w:val="00696C61"/>
    <w:rsid w:val="00697F91"/>
    <w:rsid w:val="006A1791"/>
    <w:rsid w:val="006A1865"/>
    <w:rsid w:val="006A1C63"/>
    <w:rsid w:val="006A27DC"/>
    <w:rsid w:val="006A3A7D"/>
    <w:rsid w:val="006A3E71"/>
    <w:rsid w:val="006A4DE4"/>
    <w:rsid w:val="006A7923"/>
    <w:rsid w:val="006B1578"/>
    <w:rsid w:val="006B17B6"/>
    <w:rsid w:val="006B2D56"/>
    <w:rsid w:val="006B414B"/>
    <w:rsid w:val="006B4609"/>
    <w:rsid w:val="006B47B3"/>
    <w:rsid w:val="006B7015"/>
    <w:rsid w:val="006C09A7"/>
    <w:rsid w:val="006C1813"/>
    <w:rsid w:val="006C19BB"/>
    <w:rsid w:val="006C1DBB"/>
    <w:rsid w:val="006C2374"/>
    <w:rsid w:val="006C5932"/>
    <w:rsid w:val="006C696A"/>
    <w:rsid w:val="006C6AC3"/>
    <w:rsid w:val="006C6BC1"/>
    <w:rsid w:val="006C7BDB"/>
    <w:rsid w:val="006C7EF3"/>
    <w:rsid w:val="006D087A"/>
    <w:rsid w:val="006D08C1"/>
    <w:rsid w:val="006D29B7"/>
    <w:rsid w:val="006D3FF7"/>
    <w:rsid w:val="006D44FB"/>
    <w:rsid w:val="006D5EF1"/>
    <w:rsid w:val="006D6798"/>
    <w:rsid w:val="006D7656"/>
    <w:rsid w:val="006D76C4"/>
    <w:rsid w:val="006D7EA6"/>
    <w:rsid w:val="006E033B"/>
    <w:rsid w:val="006E0A21"/>
    <w:rsid w:val="006E34CD"/>
    <w:rsid w:val="006E39CF"/>
    <w:rsid w:val="006E3AA8"/>
    <w:rsid w:val="006E4AA4"/>
    <w:rsid w:val="006E609A"/>
    <w:rsid w:val="006E7080"/>
    <w:rsid w:val="006E784D"/>
    <w:rsid w:val="006F0A6A"/>
    <w:rsid w:val="006F16AD"/>
    <w:rsid w:val="006F1BF4"/>
    <w:rsid w:val="006F3652"/>
    <w:rsid w:val="006F3888"/>
    <w:rsid w:val="006F5290"/>
    <w:rsid w:val="006F5376"/>
    <w:rsid w:val="006F5962"/>
    <w:rsid w:val="006F63AF"/>
    <w:rsid w:val="006F7372"/>
    <w:rsid w:val="006F76F9"/>
    <w:rsid w:val="006F7A02"/>
    <w:rsid w:val="00700509"/>
    <w:rsid w:val="007023F6"/>
    <w:rsid w:val="00703C7B"/>
    <w:rsid w:val="00704A76"/>
    <w:rsid w:val="007052F8"/>
    <w:rsid w:val="00705984"/>
    <w:rsid w:val="0070648A"/>
    <w:rsid w:val="00707DF5"/>
    <w:rsid w:val="0071103F"/>
    <w:rsid w:val="00712703"/>
    <w:rsid w:val="007158C8"/>
    <w:rsid w:val="00716004"/>
    <w:rsid w:val="0071609E"/>
    <w:rsid w:val="00716465"/>
    <w:rsid w:val="00716D9B"/>
    <w:rsid w:val="007171DF"/>
    <w:rsid w:val="007179B4"/>
    <w:rsid w:val="00717C4A"/>
    <w:rsid w:val="00720B8E"/>
    <w:rsid w:val="00721579"/>
    <w:rsid w:val="00722669"/>
    <w:rsid w:val="007236DF"/>
    <w:rsid w:val="00725A52"/>
    <w:rsid w:val="00725C22"/>
    <w:rsid w:val="00726BEC"/>
    <w:rsid w:val="00727015"/>
    <w:rsid w:val="0072760C"/>
    <w:rsid w:val="007277E6"/>
    <w:rsid w:val="00732DC4"/>
    <w:rsid w:val="00732F0C"/>
    <w:rsid w:val="00733359"/>
    <w:rsid w:val="0073448A"/>
    <w:rsid w:val="0073779C"/>
    <w:rsid w:val="0074073F"/>
    <w:rsid w:val="00740C4C"/>
    <w:rsid w:val="00741B56"/>
    <w:rsid w:val="00741D2D"/>
    <w:rsid w:val="00742C6F"/>
    <w:rsid w:val="00743495"/>
    <w:rsid w:val="00743815"/>
    <w:rsid w:val="007440D5"/>
    <w:rsid w:val="0074560B"/>
    <w:rsid w:val="0074658E"/>
    <w:rsid w:val="007467B8"/>
    <w:rsid w:val="00746A45"/>
    <w:rsid w:val="00747999"/>
    <w:rsid w:val="00747A5F"/>
    <w:rsid w:val="00750084"/>
    <w:rsid w:val="007511C1"/>
    <w:rsid w:val="007549C0"/>
    <w:rsid w:val="00754A67"/>
    <w:rsid w:val="00754B52"/>
    <w:rsid w:val="0075554A"/>
    <w:rsid w:val="007606FA"/>
    <w:rsid w:val="00762533"/>
    <w:rsid w:val="00765834"/>
    <w:rsid w:val="00765D70"/>
    <w:rsid w:val="00766159"/>
    <w:rsid w:val="00766354"/>
    <w:rsid w:val="0076682D"/>
    <w:rsid w:val="00766E55"/>
    <w:rsid w:val="00770582"/>
    <w:rsid w:val="0077127A"/>
    <w:rsid w:val="007727E8"/>
    <w:rsid w:val="00772A80"/>
    <w:rsid w:val="00773824"/>
    <w:rsid w:val="00773E22"/>
    <w:rsid w:val="0077403A"/>
    <w:rsid w:val="007754CC"/>
    <w:rsid w:val="00775B8E"/>
    <w:rsid w:val="00776176"/>
    <w:rsid w:val="0077665C"/>
    <w:rsid w:val="00777500"/>
    <w:rsid w:val="00777EC7"/>
    <w:rsid w:val="00780E71"/>
    <w:rsid w:val="0078123B"/>
    <w:rsid w:val="00781E31"/>
    <w:rsid w:val="00781EE4"/>
    <w:rsid w:val="00782585"/>
    <w:rsid w:val="00784D81"/>
    <w:rsid w:val="00785446"/>
    <w:rsid w:val="0078569E"/>
    <w:rsid w:val="0078609C"/>
    <w:rsid w:val="007861FC"/>
    <w:rsid w:val="007867EE"/>
    <w:rsid w:val="00786BD5"/>
    <w:rsid w:val="007875DF"/>
    <w:rsid w:val="007877C7"/>
    <w:rsid w:val="00791F28"/>
    <w:rsid w:val="007920E6"/>
    <w:rsid w:val="00792755"/>
    <w:rsid w:val="0079361D"/>
    <w:rsid w:val="00794D85"/>
    <w:rsid w:val="00795684"/>
    <w:rsid w:val="00795918"/>
    <w:rsid w:val="0079687A"/>
    <w:rsid w:val="007A088E"/>
    <w:rsid w:val="007A225E"/>
    <w:rsid w:val="007A2ED6"/>
    <w:rsid w:val="007A42FE"/>
    <w:rsid w:val="007A4460"/>
    <w:rsid w:val="007A4DF7"/>
    <w:rsid w:val="007A5A0A"/>
    <w:rsid w:val="007A5D62"/>
    <w:rsid w:val="007A5EEC"/>
    <w:rsid w:val="007A653A"/>
    <w:rsid w:val="007A6CBC"/>
    <w:rsid w:val="007A7B99"/>
    <w:rsid w:val="007B13ED"/>
    <w:rsid w:val="007B2312"/>
    <w:rsid w:val="007B3C49"/>
    <w:rsid w:val="007B486B"/>
    <w:rsid w:val="007B587F"/>
    <w:rsid w:val="007B5F0E"/>
    <w:rsid w:val="007B6EE4"/>
    <w:rsid w:val="007B7F96"/>
    <w:rsid w:val="007C0B40"/>
    <w:rsid w:val="007C1A9D"/>
    <w:rsid w:val="007C20D4"/>
    <w:rsid w:val="007C2230"/>
    <w:rsid w:val="007C27B3"/>
    <w:rsid w:val="007C32AD"/>
    <w:rsid w:val="007C3454"/>
    <w:rsid w:val="007C356D"/>
    <w:rsid w:val="007C477F"/>
    <w:rsid w:val="007C52D5"/>
    <w:rsid w:val="007C5C6A"/>
    <w:rsid w:val="007C62E7"/>
    <w:rsid w:val="007C64B4"/>
    <w:rsid w:val="007C6BE7"/>
    <w:rsid w:val="007C6C91"/>
    <w:rsid w:val="007C6FDB"/>
    <w:rsid w:val="007C74A0"/>
    <w:rsid w:val="007D08FD"/>
    <w:rsid w:val="007D144C"/>
    <w:rsid w:val="007D29C5"/>
    <w:rsid w:val="007D2CB1"/>
    <w:rsid w:val="007D2DF5"/>
    <w:rsid w:val="007D3686"/>
    <w:rsid w:val="007D385B"/>
    <w:rsid w:val="007D4406"/>
    <w:rsid w:val="007D4F23"/>
    <w:rsid w:val="007D53E5"/>
    <w:rsid w:val="007D5F0C"/>
    <w:rsid w:val="007D6172"/>
    <w:rsid w:val="007D6485"/>
    <w:rsid w:val="007D78D9"/>
    <w:rsid w:val="007E00CF"/>
    <w:rsid w:val="007E0513"/>
    <w:rsid w:val="007E0C81"/>
    <w:rsid w:val="007E1670"/>
    <w:rsid w:val="007E3359"/>
    <w:rsid w:val="007E457C"/>
    <w:rsid w:val="007E512E"/>
    <w:rsid w:val="007E51C7"/>
    <w:rsid w:val="007E5773"/>
    <w:rsid w:val="007E599A"/>
    <w:rsid w:val="007E6022"/>
    <w:rsid w:val="007E787D"/>
    <w:rsid w:val="007F00A2"/>
    <w:rsid w:val="007F03FB"/>
    <w:rsid w:val="007F0604"/>
    <w:rsid w:val="007F0D79"/>
    <w:rsid w:val="007F0DB7"/>
    <w:rsid w:val="007F210C"/>
    <w:rsid w:val="007F3841"/>
    <w:rsid w:val="007F508E"/>
    <w:rsid w:val="007F66EB"/>
    <w:rsid w:val="007F7B6D"/>
    <w:rsid w:val="00800437"/>
    <w:rsid w:val="008007A9"/>
    <w:rsid w:val="008013BE"/>
    <w:rsid w:val="00802BB8"/>
    <w:rsid w:val="00804107"/>
    <w:rsid w:val="0080432C"/>
    <w:rsid w:val="00806CCF"/>
    <w:rsid w:val="00807A98"/>
    <w:rsid w:val="008104E7"/>
    <w:rsid w:val="00810BDE"/>
    <w:rsid w:val="0081158E"/>
    <w:rsid w:val="008119D3"/>
    <w:rsid w:val="0081253E"/>
    <w:rsid w:val="00812DE5"/>
    <w:rsid w:val="00813832"/>
    <w:rsid w:val="00813923"/>
    <w:rsid w:val="00813F7F"/>
    <w:rsid w:val="00814BF9"/>
    <w:rsid w:val="008153D6"/>
    <w:rsid w:val="00815DCC"/>
    <w:rsid w:val="008162AC"/>
    <w:rsid w:val="00821439"/>
    <w:rsid w:val="008217B2"/>
    <w:rsid w:val="0082182B"/>
    <w:rsid w:val="00822E46"/>
    <w:rsid w:val="0082455B"/>
    <w:rsid w:val="008254A5"/>
    <w:rsid w:val="008256BA"/>
    <w:rsid w:val="008270BE"/>
    <w:rsid w:val="008271FA"/>
    <w:rsid w:val="00827D63"/>
    <w:rsid w:val="00831F93"/>
    <w:rsid w:val="00832551"/>
    <w:rsid w:val="008328EF"/>
    <w:rsid w:val="008337B0"/>
    <w:rsid w:val="00833A31"/>
    <w:rsid w:val="00834929"/>
    <w:rsid w:val="00834DE6"/>
    <w:rsid w:val="00835AB6"/>
    <w:rsid w:val="0083720F"/>
    <w:rsid w:val="0083726B"/>
    <w:rsid w:val="00837912"/>
    <w:rsid w:val="00837EC0"/>
    <w:rsid w:val="0084080C"/>
    <w:rsid w:val="00842A9E"/>
    <w:rsid w:val="0084331C"/>
    <w:rsid w:val="008435DA"/>
    <w:rsid w:val="0084369B"/>
    <w:rsid w:val="008437BD"/>
    <w:rsid w:val="00843EE4"/>
    <w:rsid w:val="00844804"/>
    <w:rsid w:val="00844E33"/>
    <w:rsid w:val="00847DF2"/>
    <w:rsid w:val="00850F4B"/>
    <w:rsid w:val="008519F7"/>
    <w:rsid w:val="00852670"/>
    <w:rsid w:val="00852C7C"/>
    <w:rsid w:val="00852D76"/>
    <w:rsid w:val="0085366E"/>
    <w:rsid w:val="00853D46"/>
    <w:rsid w:val="00854DA3"/>
    <w:rsid w:val="008562F9"/>
    <w:rsid w:val="008563C9"/>
    <w:rsid w:val="008565F2"/>
    <w:rsid w:val="00856A47"/>
    <w:rsid w:val="00856F27"/>
    <w:rsid w:val="0085746B"/>
    <w:rsid w:val="0085757B"/>
    <w:rsid w:val="00862FB8"/>
    <w:rsid w:val="00863953"/>
    <w:rsid w:val="00865AD2"/>
    <w:rsid w:val="00865BD8"/>
    <w:rsid w:val="00870FCE"/>
    <w:rsid w:val="00872446"/>
    <w:rsid w:val="008724F7"/>
    <w:rsid w:val="00873929"/>
    <w:rsid w:val="008739E6"/>
    <w:rsid w:val="008741D9"/>
    <w:rsid w:val="008743EA"/>
    <w:rsid w:val="00875D58"/>
    <w:rsid w:val="008764B6"/>
    <w:rsid w:val="008778BB"/>
    <w:rsid w:val="00877C42"/>
    <w:rsid w:val="00877E2D"/>
    <w:rsid w:val="00877E50"/>
    <w:rsid w:val="00877F04"/>
    <w:rsid w:val="00880ADE"/>
    <w:rsid w:val="0088203C"/>
    <w:rsid w:val="00883125"/>
    <w:rsid w:val="008837F4"/>
    <w:rsid w:val="00884B96"/>
    <w:rsid w:val="00884D41"/>
    <w:rsid w:val="00884FAD"/>
    <w:rsid w:val="008856B2"/>
    <w:rsid w:val="00885AFA"/>
    <w:rsid w:val="00886027"/>
    <w:rsid w:val="008861FB"/>
    <w:rsid w:val="008862E0"/>
    <w:rsid w:val="008864E6"/>
    <w:rsid w:val="00886BA0"/>
    <w:rsid w:val="00886E1E"/>
    <w:rsid w:val="008876DA"/>
    <w:rsid w:val="008877A5"/>
    <w:rsid w:val="00891178"/>
    <w:rsid w:val="00891F9B"/>
    <w:rsid w:val="00892BDA"/>
    <w:rsid w:val="00893367"/>
    <w:rsid w:val="00893415"/>
    <w:rsid w:val="00893B83"/>
    <w:rsid w:val="00893D96"/>
    <w:rsid w:val="00894AF9"/>
    <w:rsid w:val="00894D67"/>
    <w:rsid w:val="008966D8"/>
    <w:rsid w:val="00896C6E"/>
    <w:rsid w:val="00897FF7"/>
    <w:rsid w:val="008A0577"/>
    <w:rsid w:val="008A09A0"/>
    <w:rsid w:val="008A0F67"/>
    <w:rsid w:val="008A1019"/>
    <w:rsid w:val="008A146C"/>
    <w:rsid w:val="008A1D0F"/>
    <w:rsid w:val="008A1D80"/>
    <w:rsid w:val="008A2707"/>
    <w:rsid w:val="008A2FDA"/>
    <w:rsid w:val="008A3781"/>
    <w:rsid w:val="008A3894"/>
    <w:rsid w:val="008A4A71"/>
    <w:rsid w:val="008A5189"/>
    <w:rsid w:val="008A51C9"/>
    <w:rsid w:val="008A5523"/>
    <w:rsid w:val="008A5D8B"/>
    <w:rsid w:val="008A6BAB"/>
    <w:rsid w:val="008A6C91"/>
    <w:rsid w:val="008A733C"/>
    <w:rsid w:val="008A7AE0"/>
    <w:rsid w:val="008A7B04"/>
    <w:rsid w:val="008A7CE9"/>
    <w:rsid w:val="008B1995"/>
    <w:rsid w:val="008B2446"/>
    <w:rsid w:val="008B26E7"/>
    <w:rsid w:val="008B2F22"/>
    <w:rsid w:val="008B3B0B"/>
    <w:rsid w:val="008B4EBF"/>
    <w:rsid w:val="008B5A8D"/>
    <w:rsid w:val="008B5B38"/>
    <w:rsid w:val="008B6050"/>
    <w:rsid w:val="008B6339"/>
    <w:rsid w:val="008B65AF"/>
    <w:rsid w:val="008B733A"/>
    <w:rsid w:val="008B7597"/>
    <w:rsid w:val="008C0164"/>
    <w:rsid w:val="008C060A"/>
    <w:rsid w:val="008C0FF0"/>
    <w:rsid w:val="008C1C1D"/>
    <w:rsid w:val="008C2692"/>
    <w:rsid w:val="008C27AC"/>
    <w:rsid w:val="008C29C8"/>
    <w:rsid w:val="008C33B7"/>
    <w:rsid w:val="008C3B19"/>
    <w:rsid w:val="008C576B"/>
    <w:rsid w:val="008C6803"/>
    <w:rsid w:val="008C78F3"/>
    <w:rsid w:val="008C7964"/>
    <w:rsid w:val="008C7A80"/>
    <w:rsid w:val="008C7B03"/>
    <w:rsid w:val="008D3B85"/>
    <w:rsid w:val="008D4A8E"/>
    <w:rsid w:val="008D5185"/>
    <w:rsid w:val="008D5436"/>
    <w:rsid w:val="008D54B9"/>
    <w:rsid w:val="008D5A32"/>
    <w:rsid w:val="008D607A"/>
    <w:rsid w:val="008D6081"/>
    <w:rsid w:val="008D7564"/>
    <w:rsid w:val="008E01C3"/>
    <w:rsid w:val="008E1555"/>
    <w:rsid w:val="008E197C"/>
    <w:rsid w:val="008E2952"/>
    <w:rsid w:val="008E2AE3"/>
    <w:rsid w:val="008E2C54"/>
    <w:rsid w:val="008E3359"/>
    <w:rsid w:val="008E3E0D"/>
    <w:rsid w:val="008E4329"/>
    <w:rsid w:val="008E4601"/>
    <w:rsid w:val="008E4C86"/>
    <w:rsid w:val="008E51FE"/>
    <w:rsid w:val="008E6457"/>
    <w:rsid w:val="008F0A15"/>
    <w:rsid w:val="008F156F"/>
    <w:rsid w:val="008F191F"/>
    <w:rsid w:val="008F1C54"/>
    <w:rsid w:val="008F2088"/>
    <w:rsid w:val="008F32CD"/>
    <w:rsid w:val="008F4820"/>
    <w:rsid w:val="008F5083"/>
    <w:rsid w:val="008F56AD"/>
    <w:rsid w:val="008F6189"/>
    <w:rsid w:val="00900F7C"/>
    <w:rsid w:val="00901B61"/>
    <w:rsid w:val="00901DE8"/>
    <w:rsid w:val="0090276F"/>
    <w:rsid w:val="00902813"/>
    <w:rsid w:val="00902C8E"/>
    <w:rsid w:val="00903411"/>
    <w:rsid w:val="00903D95"/>
    <w:rsid w:val="009044B1"/>
    <w:rsid w:val="0090574D"/>
    <w:rsid w:val="00905C9A"/>
    <w:rsid w:val="00905F35"/>
    <w:rsid w:val="00905FA2"/>
    <w:rsid w:val="00906202"/>
    <w:rsid w:val="0090642B"/>
    <w:rsid w:val="00906788"/>
    <w:rsid w:val="009073F9"/>
    <w:rsid w:val="00907545"/>
    <w:rsid w:val="009102E7"/>
    <w:rsid w:val="0091032F"/>
    <w:rsid w:val="00911749"/>
    <w:rsid w:val="00912C91"/>
    <w:rsid w:val="0091311A"/>
    <w:rsid w:val="00913616"/>
    <w:rsid w:val="00913B5D"/>
    <w:rsid w:val="0091520D"/>
    <w:rsid w:val="00916945"/>
    <w:rsid w:val="0091743A"/>
    <w:rsid w:val="00917488"/>
    <w:rsid w:val="00917BC7"/>
    <w:rsid w:val="00920C81"/>
    <w:rsid w:val="00923A32"/>
    <w:rsid w:val="00924181"/>
    <w:rsid w:val="00924D81"/>
    <w:rsid w:val="009253A4"/>
    <w:rsid w:val="00925B28"/>
    <w:rsid w:val="00925CC1"/>
    <w:rsid w:val="0092624E"/>
    <w:rsid w:val="0092641D"/>
    <w:rsid w:val="009265FB"/>
    <w:rsid w:val="00927E3B"/>
    <w:rsid w:val="00930A60"/>
    <w:rsid w:val="00930B54"/>
    <w:rsid w:val="00931657"/>
    <w:rsid w:val="009321C2"/>
    <w:rsid w:val="009325C1"/>
    <w:rsid w:val="00933EF5"/>
    <w:rsid w:val="00935594"/>
    <w:rsid w:val="00935B3C"/>
    <w:rsid w:val="00935D9E"/>
    <w:rsid w:val="009360B6"/>
    <w:rsid w:val="009362B0"/>
    <w:rsid w:val="00936DA0"/>
    <w:rsid w:val="00937489"/>
    <w:rsid w:val="0093795A"/>
    <w:rsid w:val="00937998"/>
    <w:rsid w:val="00940E08"/>
    <w:rsid w:val="00941292"/>
    <w:rsid w:val="009424E9"/>
    <w:rsid w:val="00942573"/>
    <w:rsid w:val="00943BC0"/>
    <w:rsid w:val="00943D3C"/>
    <w:rsid w:val="00945441"/>
    <w:rsid w:val="00945AE3"/>
    <w:rsid w:val="00946687"/>
    <w:rsid w:val="0094702D"/>
    <w:rsid w:val="0094726A"/>
    <w:rsid w:val="009500DA"/>
    <w:rsid w:val="009510BA"/>
    <w:rsid w:val="00951256"/>
    <w:rsid w:val="009518E9"/>
    <w:rsid w:val="009522CA"/>
    <w:rsid w:val="009524ED"/>
    <w:rsid w:val="009528DF"/>
    <w:rsid w:val="00953020"/>
    <w:rsid w:val="009556BC"/>
    <w:rsid w:val="009561CB"/>
    <w:rsid w:val="009567BF"/>
    <w:rsid w:val="00956A33"/>
    <w:rsid w:val="00960843"/>
    <w:rsid w:val="00960E37"/>
    <w:rsid w:val="00961026"/>
    <w:rsid w:val="0096157E"/>
    <w:rsid w:val="0096196B"/>
    <w:rsid w:val="00961F2E"/>
    <w:rsid w:val="009623EE"/>
    <w:rsid w:val="00962527"/>
    <w:rsid w:val="009625F2"/>
    <w:rsid w:val="00962819"/>
    <w:rsid w:val="00962EC3"/>
    <w:rsid w:val="009657E9"/>
    <w:rsid w:val="009663EF"/>
    <w:rsid w:val="00967E05"/>
    <w:rsid w:val="00971C44"/>
    <w:rsid w:val="0097282A"/>
    <w:rsid w:val="009742AC"/>
    <w:rsid w:val="0097631A"/>
    <w:rsid w:val="00976BFF"/>
    <w:rsid w:val="00977B56"/>
    <w:rsid w:val="00977CB2"/>
    <w:rsid w:val="009801A1"/>
    <w:rsid w:val="009805FE"/>
    <w:rsid w:val="00981171"/>
    <w:rsid w:val="009835AD"/>
    <w:rsid w:val="00985E43"/>
    <w:rsid w:val="0098669F"/>
    <w:rsid w:val="00986C20"/>
    <w:rsid w:val="00987DB8"/>
    <w:rsid w:val="00987E15"/>
    <w:rsid w:val="00990961"/>
    <w:rsid w:val="00990B32"/>
    <w:rsid w:val="00991373"/>
    <w:rsid w:val="0099144C"/>
    <w:rsid w:val="009914EF"/>
    <w:rsid w:val="00992AB7"/>
    <w:rsid w:val="00993204"/>
    <w:rsid w:val="00993C87"/>
    <w:rsid w:val="00995884"/>
    <w:rsid w:val="00996083"/>
    <w:rsid w:val="00996BBE"/>
    <w:rsid w:val="00996BC3"/>
    <w:rsid w:val="00996F4A"/>
    <w:rsid w:val="009971EB"/>
    <w:rsid w:val="009977E9"/>
    <w:rsid w:val="009A293B"/>
    <w:rsid w:val="009A3F8B"/>
    <w:rsid w:val="009A3FF3"/>
    <w:rsid w:val="009A47B3"/>
    <w:rsid w:val="009A534B"/>
    <w:rsid w:val="009A5ED0"/>
    <w:rsid w:val="009A6E71"/>
    <w:rsid w:val="009A747C"/>
    <w:rsid w:val="009B073D"/>
    <w:rsid w:val="009B0B03"/>
    <w:rsid w:val="009B2CF7"/>
    <w:rsid w:val="009B2D22"/>
    <w:rsid w:val="009B3AA7"/>
    <w:rsid w:val="009B4519"/>
    <w:rsid w:val="009B4DFB"/>
    <w:rsid w:val="009B5E18"/>
    <w:rsid w:val="009B72EA"/>
    <w:rsid w:val="009C0703"/>
    <w:rsid w:val="009C0F66"/>
    <w:rsid w:val="009C19E8"/>
    <w:rsid w:val="009C47D6"/>
    <w:rsid w:val="009C498B"/>
    <w:rsid w:val="009C4C7A"/>
    <w:rsid w:val="009C5251"/>
    <w:rsid w:val="009C564E"/>
    <w:rsid w:val="009C60FB"/>
    <w:rsid w:val="009C6118"/>
    <w:rsid w:val="009C68F7"/>
    <w:rsid w:val="009C74E3"/>
    <w:rsid w:val="009D0923"/>
    <w:rsid w:val="009D0D38"/>
    <w:rsid w:val="009D114F"/>
    <w:rsid w:val="009D1C20"/>
    <w:rsid w:val="009D21F2"/>
    <w:rsid w:val="009D30B4"/>
    <w:rsid w:val="009D3BA5"/>
    <w:rsid w:val="009D49FB"/>
    <w:rsid w:val="009D4DE2"/>
    <w:rsid w:val="009D5D40"/>
    <w:rsid w:val="009D5D6C"/>
    <w:rsid w:val="009D6674"/>
    <w:rsid w:val="009D7B04"/>
    <w:rsid w:val="009D7C49"/>
    <w:rsid w:val="009D7DB7"/>
    <w:rsid w:val="009E06F4"/>
    <w:rsid w:val="009E1D39"/>
    <w:rsid w:val="009E2A30"/>
    <w:rsid w:val="009E2D63"/>
    <w:rsid w:val="009E2F91"/>
    <w:rsid w:val="009E3225"/>
    <w:rsid w:val="009E3F4E"/>
    <w:rsid w:val="009E4CC3"/>
    <w:rsid w:val="009E521E"/>
    <w:rsid w:val="009E6313"/>
    <w:rsid w:val="009E7A41"/>
    <w:rsid w:val="009E7C38"/>
    <w:rsid w:val="009F1764"/>
    <w:rsid w:val="009F24D0"/>
    <w:rsid w:val="009F3CA9"/>
    <w:rsid w:val="009F4461"/>
    <w:rsid w:val="009F48D0"/>
    <w:rsid w:val="009F4E7E"/>
    <w:rsid w:val="009F511D"/>
    <w:rsid w:val="009F5F8A"/>
    <w:rsid w:val="009F61AB"/>
    <w:rsid w:val="00A00971"/>
    <w:rsid w:val="00A00D40"/>
    <w:rsid w:val="00A021F0"/>
    <w:rsid w:val="00A0243A"/>
    <w:rsid w:val="00A02585"/>
    <w:rsid w:val="00A0309A"/>
    <w:rsid w:val="00A03891"/>
    <w:rsid w:val="00A03A82"/>
    <w:rsid w:val="00A05170"/>
    <w:rsid w:val="00A067DA"/>
    <w:rsid w:val="00A06D94"/>
    <w:rsid w:val="00A10028"/>
    <w:rsid w:val="00A11339"/>
    <w:rsid w:val="00A11428"/>
    <w:rsid w:val="00A139FE"/>
    <w:rsid w:val="00A1517A"/>
    <w:rsid w:val="00A157E4"/>
    <w:rsid w:val="00A15E06"/>
    <w:rsid w:val="00A15E47"/>
    <w:rsid w:val="00A17A95"/>
    <w:rsid w:val="00A17AC9"/>
    <w:rsid w:val="00A20AFD"/>
    <w:rsid w:val="00A22658"/>
    <w:rsid w:val="00A23DDA"/>
    <w:rsid w:val="00A24FC6"/>
    <w:rsid w:val="00A2530E"/>
    <w:rsid w:val="00A26533"/>
    <w:rsid w:val="00A274A8"/>
    <w:rsid w:val="00A302A1"/>
    <w:rsid w:val="00A303EC"/>
    <w:rsid w:val="00A31906"/>
    <w:rsid w:val="00A32A25"/>
    <w:rsid w:val="00A34132"/>
    <w:rsid w:val="00A34D98"/>
    <w:rsid w:val="00A406FD"/>
    <w:rsid w:val="00A40FB5"/>
    <w:rsid w:val="00A41276"/>
    <w:rsid w:val="00A423CB"/>
    <w:rsid w:val="00A42B67"/>
    <w:rsid w:val="00A440AA"/>
    <w:rsid w:val="00A443BD"/>
    <w:rsid w:val="00A45E53"/>
    <w:rsid w:val="00A46585"/>
    <w:rsid w:val="00A47497"/>
    <w:rsid w:val="00A476CC"/>
    <w:rsid w:val="00A477A5"/>
    <w:rsid w:val="00A47E79"/>
    <w:rsid w:val="00A51672"/>
    <w:rsid w:val="00A51B20"/>
    <w:rsid w:val="00A5226A"/>
    <w:rsid w:val="00A53E11"/>
    <w:rsid w:val="00A546A7"/>
    <w:rsid w:val="00A547CF"/>
    <w:rsid w:val="00A54E75"/>
    <w:rsid w:val="00A5552A"/>
    <w:rsid w:val="00A55BFB"/>
    <w:rsid w:val="00A568E4"/>
    <w:rsid w:val="00A607F9"/>
    <w:rsid w:val="00A60BBB"/>
    <w:rsid w:val="00A62180"/>
    <w:rsid w:val="00A625F1"/>
    <w:rsid w:val="00A628A4"/>
    <w:rsid w:val="00A629A2"/>
    <w:rsid w:val="00A62AFB"/>
    <w:rsid w:val="00A6325B"/>
    <w:rsid w:val="00A647F9"/>
    <w:rsid w:val="00A64D5E"/>
    <w:rsid w:val="00A65656"/>
    <w:rsid w:val="00A65773"/>
    <w:rsid w:val="00A65B26"/>
    <w:rsid w:val="00A66500"/>
    <w:rsid w:val="00A66D94"/>
    <w:rsid w:val="00A672F7"/>
    <w:rsid w:val="00A70957"/>
    <w:rsid w:val="00A70C04"/>
    <w:rsid w:val="00A71DBD"/>
    <w:rsid w:val="00A72DE4"/>
    <w:rsid w:val="00A7453E"/>
    <w:rsid w:val="00A755BB"/>
    <w:rsid w:val="00A7596D"/>
    <w:rsid w:val="00A75C63"/>
    <w:rsid w:val="00A75CBF"/>
    <w:rsid w:val="00A7612F"/>
    <w:rsid w:val="00A764A2"/>
    <w:rsid w:val="00A76C78"/>
    <w:rsid w:val="00A771E5"/>
    <w:rsid w:val="00A77AB5"/>
    <w:rsid w:val="00A77DD4"/>
    <w:rsid w:val="00A816C8"/>
    <w:rsid w:val="00A82545"/>
    <w:rsid w:val="00A82733"/>
    <w:rsid w:val="00A82B46"/>
    <w:rsid w:val="00A83123"/>
    <w:rsid w:val="00A832D8"/>
    <w:rsid w:val="00A85267"/>
    <w:rsid w:val="00A86808"/>
    <w:rsid w:val="00A86E7D"/>
    <w:rsid w:val="00A87BB6"/>
    <w:rsid w:val="00A87DCD"/>
    <w:rsid w:val="00A90318"/>
    <w:rsid w:val="00A90C69"/>
    <w:rsid w:val="00A90E2F"/>
    <w:rsid w:val="00A92B39"/>
    <w:rsid w:val="00A94CEC"/>
    <w:rsid w:val="00A9542E"/>
    <w:rsid w:val="00A95C33"/>
    <w:rsid w:val="00A97BEA"/>
    <w:rsid w:val="00A97DB9"/>
    <w:rsid w:val="00AA191F"/>
    <w:rsid w:val="00AA37C0"/>
    <w:rsid w:val="00AA3D1C"/>
    <w:rsid w:val="00AA3E82"/>
    <w:rsid w:val="00AA4616"/>
    <w:rsid w:val="00AA53E8"/>
    <w:rsid w:val="00AA569A"/>
    <w:rsid w:val="00AA5726"/>
    <w:rsid w:val="00AA5DA8"/>
    <w:rsid w:val="00AA75E7"/>
    <w:rsid w:val="00AA7895"/>
    <w:rsid w:val="00AB04A1"/>
    <w:rsid w:val="00AB088B"/>
    <w:rsid w:val="00AB0C35"/>
    <w:rsid w:val="00AB27DC"/>
    <w:rsid w:val="00AB30FC"/>
    <w:rsid w:val="00AB3CA9"/>
    <w:rsid w:val="00AB41EE"/>
    <w:rsid w:val="00AB4867"/>
    <w:rsid w:val="00AB4CD4"/>
    <w:rsid w:val="00AB59CE"/>
    <w:rsid w:val="00AB68EB"/>
    <w:rsid w:val="00AB7964"/>
    <w:rsid w:val="00AB7BC8"/>
    <w:rsid w:val="00AB7E2B"/>
    <w:rsid w:val="00AC14ED"/>
    <w:rsid w:val="00AC1899"/>
    <w:rsid w:val="00AC1BF4"/>
    <w:rsid w:val="00AC2909"/>
    <w:rsid w:val="00AC40C1"/>
    <w:rsid w:val="00AC41E4"/>
    <w:rsid w:val="00AC438C"/>
    <w:rsid w:val="00AC47E0"/>
    <w:rsid w:val="00AC4C37"/>
    <w:rsid w:val="00AC4D1B"/>
    <w:rsid w:val="00AC5830"/>
    <w:rsid w:val="00AC785B"/>
    <w:rsid w:val="00AC7D48"/>
    <w:rsid w:val="00AD2198"/>
    <w:rsid w:val="00AD2C1E"/>
    <w:rsid w:val="00AD2D37"/>
    <w:rsid w:val="00AD3BEA"/>
    <w:rsid w:val="00AD3C40"/>
    <w:rsid w:val="00AD4500"/>
    <w:rsid w:val="00AD60BA"/>
    <w:rsid w:val="00AD6349"/>
    <w:rsid w:val="00AD7141"/>
    <w:rsid w:val="00AE087B"/>
    <w:rsid w:val="00AE2DCA"/>
    <w:rsid w:val="00AE3581"/>
    <w:rsid w:val="00AE3739"/>
    <w:rsid w:val="00AE4044"/>
    <w:rsid w:val="00AE407E"/>
    <w:rsid w:val="00AE45E6"/>
    <w:rsid w:val="00AE4B28"/>
    <w:rsid w:val="00AE51C7"/>
    <w:rsid w:val="00AE6490"/>
    <w:rsid w:val="00AE6511"/>
    <w:rsid w:val="00AE7668"/>
    <w:rsid w:val="00AE76EC"/>
    <w:rsid w:val="00AF052D"/>
    <w:rsid w:val="00AF0CB1"/>
    <w:rsid w:val="00AF1281"/>
    <w:rsid w:val="00AF142A"/>
    <w:rsid w:val="00AF146C"/>
    <w:rsid w:val="00AF2174"/>
    <w:rsid w:val="00AF2A6C"/>
    <w:rsid w:val="00AF3A0E"/>
    <w:rsid w:val="00AF7ADD"/>
    <w:rsid w:val="00B00238"/>
    <w:rsid w:val="00B01017"/>
    <w:rsid w:val="00B022F2"/>
    <w:rsid w:val="00B027F6"/>
    <w:rsid w:val="00B032B8"/>
    <w:rsid w:val="00B034C5"/>
    <w:rsid w:val="00B039C2"/>
    <w:rsid w:val="00B03AAF"/>
    <w:rsid w:val="00B0429F"/>
    <w:rsid w:val="00B04856"/>
    <w:rsid w:val="00B04B78"/>
    <w:rsid w:val="00B05A71"/>
    <w:rsid w:val="00B06C92"/>
    <w:rsid w:val="00B10470"/>
    <w:rsid w:val="00B11BEA"/>
    <w:rsid w:val="00B11FE4"/>
    <w:rsid w:val="00B12956"/>
    <w:rsid w:val="00B14CB4"/>
    <w:rsid w:val="00B15E73"/>
    <w:rsid w:val="00B16323"/>
    <w:rsid w:val="00B16AB3"/>
    <w:rsid w:val="00B174DE"/>
    <w:rsid w:val="00B17D83"/>
    <w:rsid w:val="00B22BC6"/>
    <w:rsid w:val="00B23787"/>
    <w:rsid w:val="00B23D2D"/>
    <w:rsid w:val="00B259A0"/>
    <w:rsid w:val="00B269BC"/>
    <w:rsid w:val="00B30D7D"/>
    <w:rsid w:val="00B31B91"/>
    <w:rsid w:val="00B31C48"/>
    <w:rsid w:val="00B33A67"/>
    <w:rsid w:val="00B33C30"/>
    <w:rsid w:val="00B34564"/>
    <w:rsid w:val="00B34B2D"/>
    <w:rsid w:val="00B36764"/>
    <w:rsid w:val="00B36EB1"/>
    <w:rsid w:val="00B4027A"/>
    <w:rsid w:val="00B40685"/>
    <w:rsid w:val="00B40C47"/>
    <w:rsid w:val="00B40CF5"/>
    <w:rsid w:val="00B41815"/>
    <w:rsid w:val="00B42086"/>
    <w:rsid w:val="00B42895"/>
    <w:rsid w:val="00B4290C"/>
    <w:rsid w:val="00B43EE9"/>
    <w:rsid w:val="00B44170"/>
    <w:rsid w:val="00B46123"/>
    <w:rsid w:val="00B46BB7"/>
    <w:rsid w:val="00B46CE0"/>
    <w:rsid w:val="00B47C7F"/>
    <w:rsid w:val="00B47D09"/>
    <w:rsid w:val="00B5006B"/>
    <w:rsid w:val="00B502FA"/>
    <w:rsid w:val="00B50563"/>
    <w:rsid w:val="00B52F9A"/>
    <w:rsid w:val="00B53D44"/>
    <w:rsid w:val="00B54321"/>
    <w:rsid w:val="00B54579"/>
    <w:rsid w:val="00B5543E"/>
    <w:rsid w:val="00B5615B"/>
    <w:rsid w:val="00B56D9F"/>
    <w:rsid w:val="00B6075A"/>
    <w:rsid w:val="00B60BC0"/>
    <w:rsid w:val="00B614C7"/>
    <w:rsid w:val="00B6211A"/>
    <w:rsid w:val="00B62582"/>
    <w:rsid w:val="00B63229"/>
    <w:rsid w:val="00B63724"/>
    <w:rsid w:val="00B647E4"/>
    <w:rsid w:val="00B64F57"/>
    <w:rsid w:val="00B65A1A"/>
    <w:rsid w:val="00B6629A"/>
    <w:rsid w:val="00B6655B"/>
    <w:rsid w:val="00B6656C"/>
    <w:rsid w:val="00B66636"/>
    <w:rsid w:val="00B669D8"/>
    <w:rsid w:val="00B66E38"/>
    <w:rsid w:val="00B6772D"/>
    <w:rsid w:val="00B679B6"/>
    <w:rsid w:val="00B67C21"/>
    <w:rsid w:val="00B704D3"/>
    <w:rsid w:val="00B70E6C"/>
    <w:rsid w:val="00B7294D"/>
    <w:rsid w:val="00B72B79"/>
    <w:rsid w:val="00B7385B"/>
    <w:rsid w:val="00B756D4"/>
    <w:rsid w:val="00B763A5"/>
    <w:rsid w:val="00B7640E"/>
    <w:rsid w:val="00B76A05"/>
    <w:rsid w:val="00B77C11"/>
    <w:rsid w:val="00B815D6"/>
    <w:rsid w:val="00B837A2"/>
    <w:rsid w:val="00B84364"/>
    <w:rsid w:val="00B852D2"/>
    <w:rsid w:val="00B856C2"/>
    <w:rsid w:val="00B85F07"/>
    <w:rsid w:val="00B862DE"/>
    <w:rsid w:val="00B86ACF"/>
    <w:rsid w:val="00B87AA4"/>
    <w:rsid w:val="00B92377"/>
    <w:rsid w:val="00B93944"/>
    <w:rsid w:val="00B94C6D"/>
    <w:rsid w:val="00B95110"/>
    <w:rsid w:val="00B95F4B"/>
    <w:rsid w:val="00B96A57"/>
    <w:rsid w:val="00B976C4"/>
    <w:rsid w:val="00B97A03"/>
    <w:rsid w:val="00BA11FD"/>
    <w:rsid w:val="00BA1F0A"/>
    <w:rsid w:val="00BA250D"/>
    <w:rsid w:val="00BA2AB6"/>
    <w:rsid w:val="00BA3092"/>
    <w:rsid w:val="00BA3BDC"/>
    <w:rsid w:val="00BA42A7"/>
    <w:rsid w:val="00BA44A2"/>
    <w:rsid w:val="00BA4F4B"/>
    <w:rsid w:val="00BA52F9"/>
    <w:rsid w:val="00BA53E4"/>
    <w:rsid w:val="00BA5BF3"/>
    <w:rsid w:val="00BA61B1"/>
    <w:rsid w:val="00BA694A"/>
    <w:rsid w:val="00BA7129"/>
    <w:rsid w:val="00BA7756"/>
    <w:rsid w:val="00BA77C8"/>
    <w:rsid w:val="00BA7E63"/>
    <w:rsid w:val="00BB21FC"/>
    <w:rsid w:val="00BB2C1E"/>
    <w:rsid w:val="00BB3278"/>
    <w:rsid w:val="00BB3612"/>
    <w:rsid w:val="00BB5156"/>
    <w:rsid w:val="00BB522C"/>
    <w:rsid w:val="00BB5737"/>
    <w:rsid w:val="00BB618E"/>
    <w:rsid w:val="00BB72EA"/>
    <w:rsid w:val="00BC2254"/>
    <w:rsid w:val="00BC3F9E"/>
    <w:rsid w:val="00BC48CB"/>
    <w:rsid w:val="00BC4A81"/>
    <w:rsid w:val="00BC4C52"/>
    <w:rsid w:val="00BC56E8"/>
    <w:rsid w:val="00BC630D"/>
    <w:rsid w:val="00BC6E95"/>
    <w:rsid w:val="00BC716F"/>
    <w:rsid w:val="00BC77C6"/>
    <w:rsid w:val="00BC7F6A"/>
    <w:rsid w:val="00BD090B"/>
    <w:rsid w:val="00BD130B"/>
    <w:rsid w:val="00BD2472"/>
    <w:rsid w:val="00BD520B"/>
    <w:rsid w:val="00BD5FB8"/>
    <w:rsid w:val="00BD6728"/>
    <w:rsid w:val="00BD723C"/>
    <w:rsid w:val="00BD7682"/>
    <w:rsid w:val="00BE01C3"/>
    <w:rsid w:val="00BE0BA2"/>
    <w:rsid w:val="00BE147E"/>
    <w:rsid w:val="00BE28DC"/>
    <w:rsid w:val="00BE3413"/>
    <w:rsid w:val="00BE3726"/>
    <w:rsid w:val="00BE51E8"/>
    <w:rsid w:val="00BE5722"/>
    <w:rsid w:val="00BE604B"/>
    <w:rsid w:val="00BE6079"/>
    <w:rsid w:val="00BE6BCE"/>
    <w:rsid w:val="00BE7C28"/>
    <w:rsid w:val="00BF0375"/>
    <w:rsid w:val="00BF0E5F"/>
    <w:rsid w:val="00BF1FB6"/>
    <w:rsid w:val="00BF2B57"/>
    <w:rsid w:val="00BF31CE"/>
    <w:rsid w:val="00BF33A7"/>
    <w:rsid w:val="00BF4311"/>
    <w:rsid w:val="00BF4477"/>
    <w:rsid w:val="00BF4D11"/>
    <w:rsid w:val="00BF7090"/>
    <w:rsid w:val="00BF7638"/>
    <w:rsid w:val="00C00E52"/>
    <w:rsid w:val="00C011F0"/>
    <w:rsid w:val="00C0253A"/>
    <w:rsid w:val="00C026C4"/>
    <w:rsid w:val="00C029A8"/>
    <w:rsid w:val="00C031EA"/>
    <w:rsid w:val="00C03A5E"/>
    <w:rsid w:val="00C03B91"/>
    <w:rsid w:val="00C03DC0"/>
    <w:rsid w:val="00C04072"/>
    <w:rsid w:val="00C057CA"/>
    <w:rsid w:val="00C05AD6"/>
    <w:rsid w:val="00C05F75"/>
    <w:rsid w:val="00C06667"/>
    <w:rsid w:val="00C07462"/>
    <w:rsid w:val="00C10045"/>
    <w:rsid w:val="00C1137F"/>
    <w:rsid w:val="00C11B0F"/>
    <w:rsid w:val="00C128D9"/>
    <w:rsid w:val="00C1294B"/>
    <w:rsid w:val="00C13B3D"/>
    <w:rsid w:val="00C157C3"/>
    <w:rsid w:val="00C17328"/>
    <w:rsid w:val="00C17F16"/>
    <w:rsid w:val="00C20D73"/>
    <w:rsid w:val="00C2132E"/>
    <w:rsid w:val="00C22DEA"/>
    <w:rsid w:val="00C22F4B"/>
    <w:rsid w:val="00C23040"/>
    <w:rsid w:val="00C247D7"/>
    <w:rsid w:val="00C24D88"/>
    <w:rsid w:val="00C26217"/>
    <w:rsid w:val="00C27815"/>
    <w:rsid w:val="00C30152"/>
    <w:rsid w:val="00C30761"/>
    <w:rsid w:val="00C30F50"/>
    <w:rsid w:val="00C3140E"/>
    <w:rsid w:val="00C324B1"/>
    <w:rsid w:val="00C329F4"/>
    <w:rsid w:val="00C3594D"/>
    <w:rsid w:val="00C3668F"/>
    <w:rsid w:val="00C366A5"/>
    <w:rsid w:val="00C3706E"/>
    <w:rsid w:val="00C37774"/>
    <w:rsid w:val="00C4040F"/>
    <w:rsid w:val="00C40B6C"/>
    <w:rsid w:val="00C41335"/>
    <w:rsid w:val="00C41395"/>
    <w:rsid w:val="00C41501"/>
    <w:rsid w:val="00C41F1D"/>
    <w:rsid w:val="00C41F5D"/>
    <w:rsid w:val="00C4375B"/>
    <w:rsid w:val="00C43992"/>
    <w:rsid w:val="00C440AC"/>
    <w:rsid w:val="00C447DC"/>
    <w:rsid w:val="00C44EF8"/>
    <w:rsid w:val="00C455E9"/>
    <w:rsid w:val="00C45B85"/>
    <w:rsid w:val="00C4707E"/>
    <w:rsid w:val="00C47D40"/>
    <w:rsid w:val="00C47D88"/>
    <w:rsid w:val="00C506C2"/>
    <w:rsid w:val="00C510D3"/>
    <w:rsid w:val="00C518B8"/>
    <w:rsid w:val="00C51A02"/>
    <w:rsid w:val="00C528D8"/>
    <w:rsid w:val="00C5318B"/>
    <w:rsid w:val="00C54644"/>
    <w:rsid w:val="00C551AC"/>
    <w:rsid w:val="00C56657"/>
    <w:rsid w:val="00C5685F"/>
    <w:rsid w:val="00C57667"/>
    <w:rsid w:val="00C57A72"/>
    <w:rsid w:val="00C57E73"/>
    <w:rsid w:val="00C602B4"/>
    <w:rsid w:val="00C606D6"/>
    <w:rsid w:val="00C61728"/>
    <w:rsid w:val="00C61C8D"/>
    <w:rsid w:val="00C62172"/>
    <w:rsid w:val="00C63A6D"/>
    <w:rsid w:val="00C646D1"/>
    <w:rsid w:val="00C656E5"/>
    <w:rsid w:val="00C657BF"/>
    <w:rsid w:val="00C66D4F"/>
    <w:rsid w:val="00C679FF"/>
    <w:rsid w:val="00C70F13"/>
    <w:rsid w:val="00C71F1F"/>
    <w:rsid w:val="00C72C5E"/>
    <w:rsid w:val="00C72D9C"/>
    <w:rsid w:val="00C74091"/>
    <w:rsid w:val="00C75342"/>
    <w:rsid w:val="00C76FEB"/>
    <w:rsid w:val="00C770B9"/>
    <w:rsid w:val="00C776AF"/>
    <w:rsid w:val="00C80044"/>
    <w:rsid w:val="00C80747"/>
    <w:rsid w:val="00C80814"/>
    <w:rsid w:val="00C81214"/>
    <w:rsid w:val="00C81D97"/>
    <w:rsid w:val="00C82265"/>
    <w:rsid w:val="00C8262D"/>
    <w:rsid w:val="00C83C82"/>
    <w:rsid w:val="00C84140"/>
    <w:rsid w:val="00C84651"/>
    <w:rsid w:val="00C860F8"/>
    <w:rsid w:val="00C86502"/>
    <w:rsid w:val="00C86D5C"/>
    <w:rsid w:val="00C87357"/>
    <w:rsid w:val="00C87D0C"/>
    <w:rsid w:val="00C902A6"/>
    <w:rsid w:val="00C9137D"/>
    <w:rsid w:val="00C915B4"/>
    <w:rsid w:val="00C9185D"/>
    <w:rsid w:val="00C91EA5"/>
    <w:rsid w:val="00C92A2B"/>
    <w:rsid w:val="00C93325"/>
    <w:rsid w:val="00C93E24"/>
    <w:rsid w:val="00C94783"/>
    <w:rsid w:val="00C950AB"/>
    <w:rsid w:val="00C95841"/>
    <w:rsid w:val="00C95C91"/>
    <w:rsid w:val="00C96C34"/>
    <w:rsid w:val="00C96F3F"/>
    <w:rsid w:val="00C97D77"/>
    <w:rsid w:val="00CA06DE"/>
    <w:rsid w:val="00CA0C89"/>
    <w:rsid w:val="00CA1012"/>
    <w:rsid w:val="00CA1A4D"/>
    <w:rsid w:val="00CA21ED"/>
    <w:rsid w:val="00CA2969"/>
    <w:rsid w:val="00CA3110"/>
    <w:rsid w:val="00CA33E3"/>
    <w:rsid w:val="00CA5CB8"/>
    <w:rsid w:val="00CA6B63"/>
    <w:rsid w:val="00CA7EA2"/>
    <w:rsid w:val="00CB004A"/>
    <w:rsid w:val="00CB04AC"/>
    <w:rsid w:val="00CB0B46"/>
    <w:rsid w:val="00CB3475"/>
    <w:rsid w:val="00CB399F"/>
    <w:rsid w:val="00CB4389"/>
    <w:rsid w:val="00CB4F42"/>
    <w:rsid w:val="00CB5259"/>
    <w:rsid w:val="00CB5553"/>
    <w:rsid w:val="00CB55CD"/>
    <w:rsid w:val="00CB6195"/>
    <w:rsid w:val="00CB6B1E"/>
    <w:rsid w:val="00CB6E9D"/>
    <w:rsid w:val="00CC03E2"/>
    <w:rsid w:val="00CC0BE9"/>
    <w:rsid w:val="00CC138F"/>
    <w:rsid w:val="00CC1A58"/>
    <w:rsid w:val="00CC1B25"/>
    <w:rsid w:val="00CC276E"/>
    <w:rsid w:val="00CC283B"/>
    <w:rsid w:val="00CC2DEF"/>
    <w:rsid w:val="00CC31FC"/>
    <w:rsid w:val="00CC37FC"/>
    <w:rsid w:val="00CC3DE9"/>
    <w:rsid w:val="00CC457B"/>
    <w:rsid w:val="00CC5A19"/>
    <w:rsid w:val="00CC6E9B"/>
    <w:rsid w:val="00CC7F08"/>
    <w:rsid w:val="00CD0537"/>
    <w:rsid w:val="00CD3CA6"/>
    <w:rsid w:val="00CD4E21"/>
    <w:rsid w:val="00CD4F62"/>
    <w:rsid w:val="00CD61F9"/>
    <w:rsid w:val="00CD6390"/>
    <w:rsid w:val="00CD6548"/>
    <w:rsid w:val="00CD7BFD"/>
    <w:rsid w:val="00CD7FAB"/>
    <w:rsid w:val="00CE1475"/>
    <w:rsid w:val="00CE15A6"/>
    <w:rsid w:val="00CE1DEE"/>
    <w:rsid w:val="00CE3A70"/>
    <w:rsid w:val="00CE3EC4"/>
    <w:rsid w:val="00CE4961"/>
    <w:rsid w:val="00CE5C05"/>
    <w:rsid w:val="00CE64B4"/>
    <w:rsid w:val="00CE6A11"/>
    <w:rsid w:val="00CE6B0F"/>
    <w:rsid w:val="00CE736A"/>
    <w:rsid w:val="00CF07A8"/>
    <w:rsid w:val="00CF07C3"/>
    <w:rsid w:val="00CF11B3"/>
    <w:rsid w:val="00CF18A1"/>
    <w:rsid w:val="00CF1BBB"/>
    <w:rsid w:val="00CF22A8"/>
    <w:rsid w:val="00CF260B"/>
    <w:rsid w:val="00CF2DDE"/>
    <w:rsid w:val="00CF417C"/>
    <w:rsid w:val="00CF4254"/>
    <w:rsid w:val="00CF4C5A"/>
    <w:rsid w:val="00CF4DF8"/>
    <w:rsid w:val="00CF5FE5"/>
    <w:rsid w:val="00CF6972"/>
    <w:rsid w:val="00CF744B"/>
    <w:rsid w:val="00D00414"/>
    <w:rsid w:val="00D02695"/>
    <w:rsid w:val="00D0306C"/>
    <w:rsid w:val="00D04E49"/>
    <w:rsid w:val="00D05A7C"/>
    <w:rsid w:val="00D06BF3"/>
    <w:rsid w:val="00D07069"/>
    <w:rsid w:val="00D07289"/>
    <w:rsid w:val="00D072DE"/>
    <w:rsid w:val="00D10396"/>
    <w:rsid w:val="00D1058D"/>
    <w:rsid w:val="00D10D1E"/>
    <w:rsid w:val="00D11140"/>
    <w:rsid w:val="00D12667"/>
    <w:rsid w:val="00D12C23"/>
    <w:rsid w:val="00D12DDA"/>
    <w:rsid w:val="00D137EA"/>
    <w:rsid w:val="00D13D98"/>
    <w:rsid w:val="00D1423A"/>
    <w:rsid w:val="00D153F3"/>
    <w:rsid w:val="00D1575E"/>
    <w:rsid w:val="00D168FF"/>
    <w:rsid w:val="00D2000A"/>
    <w:rsid w:val="00D21EE3"/>
    <w:rsid w:val="00D22904"/>
    <w:rsid w:val="00D243F1"/>
    <w:rsid w:val="00D25BB5"/>
    <w:rsid w:val="00D27594"/>
    <w:rsid w:val="00D34582"/>
    <w:rsid w:val="00D34F6F"/>
    <w:rsid w:val="00D35035"/>
    <w:rsid w:val="00D35847"/>
    <w:rsid w:val="00D36078"/>
    <w:rsid w:val="00D3613F"/>
    <w:rsid w:val="00D36551"/>
    <w:rsid w:val="00D367ED"/>
    <w:rsid w:val="00D37352"/>
    <w:rsid w:val="00D37A24"/>
    <w:rsid w:val="00D37EA0"/>
    <w:rsid w:val="00D407DD"/>
    <w:rsid w:val="00D427AB"/>
    <w:rsid w:val="00D42ED0"/>
    <w:rsid w:val="00D43533"/>
    <w:rsid w:val="00D440D3"/>
    <w:rsid w:val="00D44A57"/>
    <w:rsid w:val="00D452BE"/>
    <w:rsid w:val="00D454FD"/>
    <w:rsid w:val="00D455C5"/>
    <w:rsid w:val="00D475CD"/>
    <w:rsid w:val="00D47B2C"/>
    <w:rsid w:val="00D47F30"/>
    <w:rsid w:val="00D50235"/>
    <w:rsid w:val="00D51767"/>
    <w:rsid w:val="00D51A17"/>
    <w:rsid w:val="00D51F62"/>
    <w:rsid w:val="00D525A9"/>
    <w:rsid w:val="00D52980"/>
    <w:rsid w:val="00D5317B"/>
    <w:rsid w:val="00D54CA1"/>
    <w:rsid w:val="00D551A2"/>
    <w:rsid w:val="00D55D0C"/>
    <w:rsid w:val="00D55F1E"/>
    <w:rsid w:val="00D568F1"/>
    <w:rsid w:val="00D577EC"/>
    <w:rsid w:val="00D6007F"/>
    <w:rsid w:val="00D60384"/>
    <w:rsid w:val="00D603CD"/>
    <w:rsid w:val="00D60A41"/>
    <w:rsid w:val="00D60E01"/>
    <w:rsid w:val="00D61A8A"/>
    <w:rsid w:val="00D6261F"/>
    <w:rsid w:val="00D62DD1"/>
    <w:rsid w:val="00D63BC4"/>
    <w:rsid w:val="00D647A4"/>
    <w:rsid w:val="00D64DBF"/>
    <w:rsid w:val="00D656D2"/>
    <w:rsid w:val="00D700A2"/>
    <w:rsid w:val="00D703B7"/>
    <w:rsid w:val="00D71610"/>
    <w:rsid w:val="00D717CC"/>
    <w:rsid w:val="00D71D15"/>
    <w:rsid w:val="00D71F4C"/>
    <w:rsid w:val="00D72ADF"/>
    <w:rsid w:val="00D73131"/>
    <w:rsid w:val="00D74248"/>
    <w:rsid w:val="00D747A9"/>
    <w:rsid w:val="00D74AD4"/>
    <w:rsid w:val="00D74D70"/>
    <w:rsid w:val="00D74E4A"/>
    <w:rsid w:val="00D759EF"/>
    <w:rsid w:val="00D76135"/>
    <w:rsid w:val="00D80073"/>
    <w:rsid w:val="00D81565"/>
    <w:rsid w:val="00D81D74"/>
    <w:rsid w:val="00D82569"/>
    <w:rsid w:val="00D82CFA"/>
    <w:rsid w:val="00D83474"/>
    <w:rsid w:val="00D8354A"/>
    <w:rsid w:val="00D84725"/>
    <w:rsid w:val="00D850B1"/>
    <w:rsid w:val="00D85477"/>
    <w:rsid w:val="00D8563D"/>
    <w:rsid w:val="00D85B69"/>
    <w:rsid w:val="00D85F48"/>
    <w:rsid w:val="00D86B7D"/>
    <w:rsid w:val="00D87373"/>
    <w:rsid w:val="00D87C71"/>
    <w:rsid w:val="00D90184"/>
    <w:rsid w:val="00D92D6A"/>
    <w:rsid w:val="00D92F56"/>
    <w:rsid w:val="00D93430"/>
    <w:rsid w:val="00D94F01"/>
    <w:rsid w:val="00D953C1"/>
    <w:rsid w:val="00D955CD"/>
    <w:rsid w:val="00D96172"/>
    <w:rsid w:val="00D96467"/>
    <w:rsid w:val="00D9676C"/>
    <w:rsid w:val="00D974AF"/>
    <w:rsid w:val="00D97BD8"/>
    <w:rsid w:val="00D97DBE"/>
    <w:rsid w:val="00D97FB2"/>
    <w:rsid w:val="00DA00F2"/>
    <w:rsid w:val="00DA0AA8"/>
    <w:rsid w:val="00DA1138"/>
    <w:rsid w:val="00DA1B9F"/>
    <w:rsid w:val="00DA1FE7"/>
    <w:rsid w:val="00DA230B"/>
    <w:rsid w:val="00DA3503"/>
    <w:rsid w:val="00DA3942"/>
    <w:rsid w:val="00DA46CA"/>
    <w:rsid w:val="00DA4730"/>
    <w:rsid w:val="00DA4ED0"/>
    <w:rsid w:val="00DA5D64"/>
    <w:rsid w:val="00DA75FE"/>
    <w:rsid w:val="00DA7BC8"/>
    <w:rsid w:val="00DA7E30"/>
    <w:rsid w:val="00DB0E84"/>
    <w:rsid w:val="00DB1177"/>
    <w:rsid w:val="00DB2F34"/>
    <w:rsid w:val="00DB3319"/>
    <w:rsid w:val="00DB4503"/>
    <w:rsid w:val="00DB5313"/>
    <w:rsid w:val="00DB5485"/>
    <w:rsid w:val="00DB5B8C"/>
    <w:rsid w:val="00DB5E7A"/>
    <w:rsid w:val="00DB638C"/>
    <w:rsid w:val="00DB7391"/>
    <w:rsid w:val="00DB763F"/>
    <w:rsid w:val="00DB7786"/>
    <w:rsid w:val="00DB7CA7"/>
    <w:rsid w:val="00DC023B"/>
    <w:rsid w:val="00DC0240"/>
    <w:rsid w:val="00DC1452"/>
    <w:rsid w:val="00DC1A27"/>
    <w:rsid w:val="00DC1AFB"/>
    <w:rsid w:val="00DC1D43"/>
    <w:rsid w:val="00DC2170"/>
    <w:rsid w:val="00DC22BA"/>
    <w:rsid w:val="00DC4CF7"/>
    <w:rsid w:val="00DC5617"/>
    <w:rsid w:val="00DC5667"/>
    <w:rsid w:val="00DC6139"/>
    <w:rsid w:val="00DC6A3C"/>
    <w:rsid w:val="00DD0BDB"/>
    <w:rsid w:val="00DD17B3"/>
    <w:rsid w:val="00DD1831"/>
    <w:rsid w:val="00DD1B56"/>
    <w:rsid w:val="00DD20B8"/>
    <w:rsid w:val="00DD2449"/>
    <w:rsid w:val="00DD441F"/>
    <w:rsid w:val="00DD45B7"/>
    <w:rsid w:val="00DD5AF2"/>
    <w:rsid w:val="00DD6863"/>
    <w:rsid w:val="00DD6E1A"/>
    <w:rsid w:val="00DE17CF"/>
    <w:rsid w:val="00DE20FE"/>
    <w:rsid w:val="00DE310D"/>
    <w:rsid w:val="00DE315E"/>
    <w:rsid w:val="00DE366E"/>
    <w:rsid w:val="00DE58D5"/>
    <w:rsid w:val="00DE62ED"/>
    <w:rsid w:val="00DF0162"/>
    <w:rsid w:val="00DF0756"/>
    <w:rsid w:val="00DF2EAE"/>
    <w:rsid w:val="00DF3279"/>
    <w:rsid w:val="00DF3BBD"/>
    <w:rsid w:val="00DF4109"/>
    <w:rsid w:val="00DF62FD"/>
    <w:rsid w:val="00DF6510"/>
    <w:rsid w:val="00DF70FE"/>
    <w:rsid w:val="00DF74E1"/>
    <w:rsid w:val="00E00272"/>
    <w:rsid w:val="00E01FC3"/>
    <w:rsid w:val="00E022AB"/>
    <w:rsid w:val="00E022B0"/>
    <w:rsid w:val="00E030C3"/>
    <w:rsid w:val="00E0379F"/>
    <w:rsid w:val="00E03D7B"/>
    <w:rsid w:val="00E044A8"/>
    <w:rsid w:val="00E051FF"/>
    <w:rsid w:val="00E054B5"/>
    <w:rsid w:val="00E058D0"/>
    <w:rsid w:val="00E059A3"/>
    <w:rsid w:val="00E06387"/>
    <w:rsid w:val="00E06858"/>
    <w:rsid w:val="00E06C6A"/>
    <w:rsid w:val="00E06D22"/>
    <w:rsid w:val="00E07A96"/>
    <w:rsid w:val="00E07B52"/>
    <w:rsid w:val="00E07F03"/>
    <w:rsid w:val="00E10439"/>
    <w:rsid w:val="00E10A8D"/>
    <w:rsid w:val="00E11AD5"/>
    <w:rsid w:val="00E1222B"/>
    <w:rsid w:val="00E12852"/>
    <w:rsid w:val="00E12891"/>
    <w:rsid w:val="00E13BC3"/>
    <w:rsid w:val="00E13F26"/>
    <w:rsid w:val="00E14568"/>
    <w:rsid w:val="00E16365"/>
    <w:rsid w:val="00E17B6B"/>
    <w:rsid w:val="00E20B27"/>
    <w:rsid w:val="00E21421"/>
    <w:rsid w:val="00E2359C"/>
    <w:rsid w:val="00E2383F"/>
    <w:rsid w:val="00E2469A"/>
    <w:rsid w:val="00E251C0"/>
    <w:rsid w:val="00E25A03"/>
    <w:rsid w:val="00E26215"/>
    <w:rsid w:val="00E263EF"/>
    <w:rsid w:val="00E2666B"/>
    <w:rsid w:val="00E2745F"/>
    <w:rsid w:val="00E27579"/>
    <w:rsid w:val="00E27A43"/>
    <w:rsid w:val="00E32424"/>
    <w:rsid w:val="00E32486"/>
    <w:rsid w:val="00E324A7"/>
    <w:rsid w:val="00E32A9E"/>
    <w:rsid w:val="00E33383"/>
    <w:rsid w:val="00E33982"/>
    <w:rsid w:val="00E34820"/>
    <w:rsid w:val="00E34A41"/>
    <w:rsid w:val="00E36592"/>
    <w:rsid w:val="00E43733"/>
    <w:rsid w:val="00E43771"/>
    <w:rsid w:val="00E4439D"/>
    <w:rsid w:val="00E461F0"/>
    <w:rsid w:val="00E46B73"/>
    <w:rsid w:val="00E46D05"/>
    <w:rsid w:val="00E5112B"/>
    <w:rsid w:val="00E515EE"/>
    <w:rsid w:val="00E5189B"/>
    <w:rsid w:val="00E521B9"/>
    <w:rsid w:val="00E523B3"/>
    <w:rsid w:val="00E5271D"/>
    <w:rsid w:val="00E52D2E"/>
    <w:rsid w:val="00E53265"/>
    <w:rsid w:val="00E54173"/>
    <w:rsid w:val="00E562A5"/>
    <w:rsid w:val="00E56DEE"/>
    <w:rsid w:val="00E57B1D"/>
    <w:rsid w:val="00E57E6E"/>
    <w:rsid w:val="00E6022F"/>
    <w:rsid w:val="00E60F61"/>
    <w:rsid w:val="00E62744"/>
    <w:rsid w:val="00E6324A"/>
    <w:rsid w:val="00E63409"/>
    <w:rsid w:val="00E65387"/>
    <w:rsid w:val="00E65961"/>
    <w:rsid w:val="00E65F78"/>
    <w:rsid w:val="00E66100"/>
    <w:rsid w:val="00E6624A"/>
    <w:rsid w:val="00E670AF"/>
    <w:rsid w:val="00E67158"/>
    <w:rsid w:val="00E67197"/>
    <w:rsid w:val="00E675D8"/>
    <w:rsid w:val="00E67F1D"/>
    <w:rsid w:val="00E70643"/>
    <w:rsid w:val="00E71774"/>
    <w:rsid w:val="00E72144"/>
    <w:rsid w:val="00E7275E"/>
    <w:rsid w:val="00E730A4"/>
    <w:rsid w:val="00E7334A"/>
    <w:rsid w:val="00E7511A"/>
    <w:rsid w:val="00E75AD3"/>
    <w:rsid w:val="00E77AC1"/>
    <w:rsid w:val="00E77ADD"/>
    <w:rsid w:val="00E8024F"/>
    <w:rsid w:val="00E817D9"/>
    <w:rsid w:val="00E81EB1"/>
    <w:rsid w:val="00E820EF"/>
    <w:rsid w:val="00E82BAC"/>
    <w:rsid w:val="00E83357"/>
    <w:rsid w:val="00E854A2"/>
    <w:rsid w:val="00E86158"/>
    <w:rsid w:val="00E86219"/>
    <w:rsid w:val="00E866ED"/>
    <w:rsid w:val="00E91BB8"/>
    <w:rsid w:val="00E932FA"/>
    <w:rsid w:val="00E93B83"/>
    <w:rsid w:val="00E93C42"/>
    <w:rsid w:val="00E94631"/>
    <w:rsid w:val="00E9472E"/>
    <w:rsid w:val="00E95370"/>
    <w:rsid w:val="00E95821"/>
    <w:rsid w:val="00E95892"/>
    <w:rsid w:val="00E96135"/>
    <w:rsid w:val="00E96DD0"/>
    <w:rsid w:val="00E971F4"/>
    <w:rsid w:val="00EA0FD2"/>
    <w:rsid w:val="00EA10ED"/>
    <w:rsid w:val="00EA1FF1"/>
    <w:rsid w:val="00EA2EF3"/>
    <w:rsid w:val="00EA40B5"/>
    <w:rsid w:val="00EA4715"/>
    <w:rsid w:val="00EA5315"/>
    <w:rsid w:val="00EA64B8"/>
    <w:rsid w:val="00EA76CC"/>
    <w:rsid w:val="00EB015F"/>
    <w:rsid w:val="00EB0B7A"/>
    <w:rsid w:val="00EB2A5C"/>
    <w:rsid w:val="00EB3076"/>
    <w:rsid w:val="00EB44FB"/>
    <w:rsid w:val="00EB4EEF"/>
    <w:rsid w:val="00EB5B7F"/>
    <w:rsid w:val="00EB7BA1"/>
    <w:rsid w:val="00EC0170"/>
    <w:rsid w:val="00EC0B84"/>
    <w:rsid w:val="00EC0D40"/>
    <w:rsid w:val="00EC125E"/>
    <w:rsid w:val="00EC1E2A"/>
    <w:rsid w:val="00EC3093"/>
    <w:rsid w:val="00EC374E"/>
    <w:rsid w:val="00EC44A3"/>
    <w:rsid w:val="00EC62FF"/>
    <w:rsid w:val="00EC64DD"/>
    <w:rsid w:val="00EC65C2"/>
    <w:rsid w:val="00ED1386"/>
    <w:rsid w:val="00ED19D3"/>
    <w:rsid w:val="00ED1A0F"/>
    <w:rsid w:val="00ED1BD1"/>
    <w:rsid w:val="00ED305F"/>
    <w:rsid w:val="00ED3D44"/>
    <w:rsid w:val="00ED434D"/>
    <w:rsid w:val="00ED4A19"/>
    <w:rsid w:val="00ED6616"/>
    <w:rsid w:val="00ED6F50"/>
    <w:rsid w:val="00ED7155"/>
    <w:rsid w:val="00ED7B98"/>
    <w:rsid w:val="00EE03FD"/>
    <w:rsid w:val="00EE1F87"/>
    <w:rsid w:val="00EE2522"/>
    <w:rsid w:val="00EE6813"/>
    <w:rsid w:val="00EE68B3"/>
    <w:rsid w:val="00EE7DF0"/>
    <w:rsid w:val="00EE7EA7"/>
    <w:rsid w:val="00EF0655"/>
    <w:rsid w:val="00EF11FB"/>
    <w:rsid w:val="00EF1F28"/>
    <w:rsid w:val="00EF1F53"/>
    <w:rsid w:val="00EF2D6D"/>
    <w:rsid w:val="00EF33D2"/>
    <w:rsid w:val="00EF45BB"/>
    <w:rsid w:val="00EF4CAF"/>
    <w:rsid w:val="00EF6426"/>
    <w:rsid w:val="00EF75C3"/>
    <w:rsid w:val="00F00D47"/>
    <w:rsid w:val="00F01A9C"/>
    <w:rsid w:val="00F01F9A"/>
    <w:rsid w:val="00F02541"/>
    <w:rsid w:val="00F0433F"/>
    <w:rsid w:val="00F04EFB"/>
    <w:rsid w:val="00F06261"/>
    <w:rsid w:val="00F06280"/>
    <w:rsid w:val="00F072E8"/>
    <w:rsid w:val="00F07694"/>
    <w:rsid w:val="00F10C4F"/>
    <w:rsid w:val="00F113B0"/>
    <w:rsid w:val="00F1148A"/>
    <w:rsid w:val="00F12715"/>
    <w:rsid w:val="00F12F64"/>
    <w:rsid w:val="00F13407"/>
    <w:rsid w:val="00F13F37"/>
    <w:rsid w:val="00F14C68"/>
    <w:rsid w:val="00F14D57"/>
    <w:rsid w:val="00F14E49"/>
    <w:rsid w:val="00F17451"/>
    <w:rsid w:val="00F20628"/>
    <w:rsid w:val="00F2118C"/>
    <w:rsid w:val="00F21824"/>
    <w:rsid w:val="00F219C9"/>
    <w:rsid w:val="00F21F7C"/>
    <w:rsid w:val="00F22219"/>
    <w:rsid w:val="00F23678"/>
    <w:rsid w:val="00F237A3"/>
    <w:rsid w:val="00F245F8"/>
    <w:rsid w:val="00F25A05"/>
    <w:rsid w:val="00F2654C"/>
    <w:rsid w:val="00F268B0"/>
    <w:rsid w:val="00F26B28"/>
    <w:rsid w:val="00F27381"/>
    <w:rsid w:val="00F27ADE"/>
    <w:rsid w:val="00F30309"/>
    <w:rsid w:val="00F30738"/>
    <w:rsid w:val="00F30EE8"/>
    <w:rsid w:val="00F331EB"/>
    <w:rsid w:val="00F33773"/>
    <w:rsid w:val="00F349F5"/>
    <w:rsid w:val="00F35DBE"/>
    <w:rsid w:val="00F365FE"/>
    <w:rsid w:val="00F37E6D"/>
    <w:rsid w:val="00F40E8C"/>
    <w:rsid w:val="00F4177E"/>
    <w:rsid w:val="00F420A9"/>
    <w:rsid w:val="00F42C21"/>
    <w:rsid w:val="00F4347F"/>
    <w:rsid w:val="00F43671"/>
    <w:rsid w:val="00F43E0F"/>
    <w:rsid w:val="00F46602"/>
    <w:rsid w:val="00F46B25"/>
    <w:rsid w:val="00F4742D"/>
    <w:rsid w:val="00F5002D"/>
    <w:rsid w:val="00F5117A"/>
    <w:rsid w:val="00F51E47"/>
    <w:rsid w:val="00F5209A"/>
    <w:rsid w:val="00F521E4"/>
    <w:rsid w:val="00F52B76"/>
    <w:rsid w:val="00F5746F"/>
    <w:rsid w:val="00F60881"/>
    <w:rsid w:val="00F6279D"/>
    <w:rsid w:val="00F66C58"/>
    <w:rsid w:val="00F702D0"/>
    <w:rsid w:val="00F71E15"/>
    <w:rsid w:val="00F71E51"/>
    <w:rsid w:val="00F72871"/>
    <w:rsid w:val="00F72F69"/>
    <w:rsid w:val="00F72FD6"/>
    <w:rsid w:val="00F73153"/>
    <w:rsid w:val="00F74BC1"/>
    <w:rsid w:val="00F74C4A"/>
    <w:rsid w:val="00F75204"/>
    <w:rsid w:val="00F754EC"/>
    <w:rsid w:val="00F7707B"/>
    <w:rsid w:val="00F80311"/>
    <w:rsid w:val="00F814FA"/>
    <w:rsid w:val="00F81E51"/>
    <w:rsid w:val="00F81E96"/>
    <w:rsid w:val="00F825A6"/>
    <w:rsid w:val="00F83737"/>
    <w:rsid w:val="00F84601"/>
    <w:rsid w:val="00F84644"/>
    <w:rsid w:val="00F85465"/>
    <w:rsid w:val="00F85D8B"/>
    <w:rsid w:val="00F876FA"/>
    <w:rsid w:val="00F90223"/>
    <w:rsid w:val="00F90541"/>
    <w:rsid w:val="00F916BB"/>
    <w:rsid w:val="00F9227A"/>
    <w:rsid w:val="00F92BFD"/>
    <w:rsid w:val="00F9391C"/>
    <w:rsid w:val="00F9476D"/>
    <w:rsid w:val="00F94E02"/>
    <w:rsid w:val="00F96140"/>
    <w:rsid w:val="00F9756B"/>
    <w:rsid w:val="00F97882"/>
    <w:rsid w:val="00F97CAE"/>
    <w:rsid w:val="00FA07CD"/>
    <w:rsid w:val="00FA0E36"/>
    <w:rsid w:val="00FA12BB"/>
    <w:rsid w:val="00FA1497"/>
    <w:rsid w:val="00FA3443"/>
    <w:rsid w:val="00FA62D4"/>
    <w:rsid w:val="00FA6576"/>
    <w:rsid w:val="00FA7272"/>
    <w:rsid w:val="00FA75E9"/>
    <w:rsid w:val="00FA7839"/>
    <w:rsid w:val="00FA7C13"/>
    <w:rsid w:val="00FB0609"/>
    <w:rsid w:val="00FB0960"/>
    <w:rsid w:val="00FB0975"/>
    <w:rsid w:val="00FB0D1B"/>
    <w:rsid w:val="00FB0EA4"/>
    <w:rsid w:val="00FB1A80"/>
    <w:rsid w:val="00FB315D"/>
    <w:rsid w:val="00FB3C53"/>
    <w:rsid w:val="00FB4EC1"/>
    <w:rsid w:val="00FB70BB"/>
    <w:rsid w:val="00FC19C5"/>
    <w:rsid w:val="00FC203C"/>
    <w:rsid w:val="00FC3897"/>
    <w:rsid w:val="00FC508E"/>
    <w:rsid w:val="00FC5DB1"/>
    <w:rsid w:val="00FC748B"/>
    <w:rsid w:val="00FC7FA5"/>
    <w:rsid w:val="00FD0088"/>
    <w:rsid w:val="00FD0558"/>
    <w:rsid w:val="00FD16BA"/>
    <w:rsid w:val="00FD2840"/>
    <w:rsid w:val="00FD2A5B"/>
    <w:rsid w:val="00FD37B7"/>
    <w:rsid w:val="00FD4525"/>
    <w:rsid w:val="00FD4644"/>
    <w:rsid w:val="00FD49E3"/>
    <w:rsid w:val="00FD4CE1"/>
    <w:rsid w:val="00FD55AF"/>
    <w:rsid w:val="00FD5900"/>
    <w:rsid w:val="00FD6024"/>
    <w:rsid w:val="00FD6686"/>
    <w:rsid w:val="00FD6D9E"/>
    <w:rsid w:val="00FE06E1"/>
    <w:rsid w:val="00FE0ED9"/>
    <w:rsid w:val="00FE1838"/>
    <w:rsid w:val="00FE1CF2"/>
    <w:rsid w:val="00FE2530"/>
    <w:rsid w:val="00FE2738"/>
    <w:rsid w:val="00FE2743"/>
    <w:rsid w:val="00FE2F73"/>
    <w:rsid w:val="00FE3607"/>
    <w:rsid w:val="00FE5043"/>
    <w:rsid w:val="00FE505C"/>
    <w:rsid w:val="00FE5AF3"/>
    <w:rsid w:val="00FF03C4"/>
    <w:rsid w:val="00FF3320"/>
    <w:rsid w:val="00FF3787"/>
    <w:rsid w:val="00FF3CB8"/>
    <w:rsid w:val="00FF3DBE"/>
    <w:rsid w:val="00FF4898"/>
    <w:rsid w:val="00FF4A74"/>
    <w:rsid w:val="00FF59CC"/>
    <w:rsid w:val="00FF6BF3"/>
    <w:rsid w:val="00FF7CCA"/>
    <w:rsid w:val="00FF7E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uiPriority="99"/>
    <w:lsdException w:name="annotation reference" w:uiPriority="99"/>
    <w:lsdException w:name="Hyperlink" w:uiPriority="99"/>
    <w:lsdException w:name="Strong" w:uiPriority="22" w:qFormat="1"/>
    <w:lsdException w:name="annotation subject" w:uiPriority="99"/>
    <w:lsdException w:name="No List" w:uiPriority="99"/>
    <w:lsdException w:name="Balloon Text" w:uiPriority="99"/>
    <w:lsdException w:name="Table Grid" w:uiPriority="59"/>
    <w:lsdException w:name="No Spacing" w:uiPriority="1" w:qFormat="1"/>
    <w:lsdException w:name="List Paragraph" w:uiPriority="34" w:qFormat="1"/>
    <w:lsdException w:name="Colorful List Accent 1"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5BD"/>
  </w:style>
  <w:style w:type="paragraph" w:styleId="Heading1">
    <w:name w:val="heading 1"/>
    <w:basedOn w:val="Normal"/>
    <w:next w:val="Normal"/>
    <w:link w:val="Heading1Char"/>
    <w:qFormat/>
    <w:rsid w:val="008E2952"/>
    <w:pPr>
      <w:keepNext/>
      <w:numPr>
        <w:numId w:val="1"/>
      </w:numPr>
      <w:spacing w:before="100" w:beforeAutospacing="1" w:after="120" w:line="240" w:lineRule="auto"/>
      <w:jc w:val="center"/>
      <w:outlineLvl w:val="0"/>
    </w:pPr>
    <w:rPr>
      <w:rFonts w:ascii="Times New Roman Bold" w:eastAsia="Times New Roman" w:hAnsi="Times New Roman Bold" w:cs="Arial"/>
      <w:b/>
      <w:bCs/>
      <w:kern w:val="32"/>
      <w:sz w:val="24"/>
      <w:szCs w:val="32"/>
    </w:rPr>
  </w:style>
  <w:style w:type="paragraph" w:styleId="Heading2">
    <w:name w:val="heading 2"/>
    <w:basedOn w:val="Heading1"/>
    <w:next w:val="Normal"/>
    <w:link w:val="Heading2Char"/>
    <w:qFormat/>
    <w:rsid w:val="008E2952"/>
    <w:pPr>
      <w:keepLines/>
      <w:numPr>
        <w:ilvl w:val="1"/>
      </w:numPr>
      <w:spacing w:after="0"/>
      <w:jc w:val="left"/>
      <w:outlineLvl w:val="1"/>
    </w:pPr>
    <w:rPr>
      <w:b w:val="0"/>
      <w:bCs w:val="0"/>
      <w:iCs/>
      <w:szCs w:val="28"/>
    </w:rPr>
  </w:style>
  <w:style w:type="paragraph" w:styleId="Heading3">
    <w:name w:val="heading 3"/>
    <w:basedOn w:val="Normal"/>
    <w:next w:val="Normal"/>
    <w:link w:val="Heading3Char"/>
    <w:qFormat/>
    <w:rsid w:val="001B12F4"/>
    <w:pPr>
      <w:keepNext/>
      <w:keepLines/>
      <w:spacing w:before="240" w:after="120" w:line="240" w:lineRule="auto"/>
      <w:ind w:left="547"/>
      <w:outlineLvl w:val="2"/>
    </w:pPr>
    <w:rPr>
      <w:rFonts w:ascii="Times New Roman Bold Italic" w:eastAsia="Times New Roman" w:hAnsi="Times New Roman Bold Italic" w:cs="Arial"/>
      <w:b/>
      <w:bCs/>
      <w:i/>
      <w:sz w:val="24"/>
      <w:szCs w:val="26"/>
    </w:rPr>
  </w:style>
  <w:style w:type="paragraph" w:styleId="Heading4">
    <w:name w:val="heading 4"/>
    <w:basedOn w:val="Normal"/>
    <w:next w:val="Normal"/>
    <w:link w:val="Heading4Char"/>
    <w:qFormat/>
    <w:rsid w:val="00EF4CAF"/>
    <w:pPr>
      <w:keepNext/>
      <w:keepLines/>
      <w:spacing w:before="120" w:after="240" w:line="240" w:lineRule="auto"/>
      <w:ind w:left="540"/>
      <w:outlineLvl w:val="3"/>
    </w:pPr>
    <w:rPr>
      <w:rFonts w:ascii="Times New Roman" w:eastAsia="Times New Roman" w:hAnsi="Times New Roman" w:cs="Times New Roman"/>
      <w:bCs/>
      <w:sz w:val="24"/>
      <w:szCs w:val="28"/>
      <w:u w:val="single"/>
    </w:rPr>
  </w:style>
  <w:style w:type="paragraph" w:styleId="Heading5">
    <w:name w:val="heading 5"/>
    <w:basedOn w:val="Normal"/>
    <w:next w:val="Normal"/>
    <w:link w:val="Heading5Char"/>
    <w:unhideWhenUsed/>
    <w:qFormat/>
    <w:rsid w:val="00FF7EE4"/>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FF7EE4"/>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FF7EE4"/>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FF7EE4"/>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F7EE4"/>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7596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E0AE5"/>
    <w:rPr>
      <w:rFonts w:ascii="Lucida Grande" w:hAnsi="Lucida Grande"/>
      <w:sz w:val="18"/>
      <w:szCs w:val="18"/>
    </w:rPr>
  </w:style>
  <w:style w:type="character" w:customStyle="1" w:styleId="BalloonTextChar4">
    <w:name w:val="Balloon Text Char4"/>
    <w:basedOn w:val="DefaultParagraphFont"/>
    <w:uiPriority w:val="99"/>
    <w:semiHidden/>
    <w:rsid w:val="00EE5A07"/>
    <w:rPr>
      <w:rFonts w:ascii="Lucida Grande" w:hAnsi="Lucida Grande"/>
      <w:sz w:val="18"/>
      <w:szCs w:val="18"/>
    </w:rPr>
  </w:style>
  <w:style w:type="character" w:customStyle="1" w:styleId="BalloonTextChar3">
    <w:name w:val="Balloon Text Char3"/>
    <w:basedOn w:val="DefaultParagraphFont"/>
    <w:uiPriority w:val="99"/>
    <w:semiHidden/>
    <w:rsid w:val="00EE5A07"/>
    <w:rPr>
      <w:rFonts w:ascii="Lucida Grande" w:hAnsi="Lucida Grande"/>
      <w:sz w:val="18"/>
      <w:szCs w:val="18"/>
    </w:rPr>
  </w:style>
  <w:style w:type="character" w:customStyle="1" w:styleId="BalloonTextChar2">
    <w:name w:val="Balloon Text Char2"/>
    <w:basedOn w:val="DefaultParagraphFont"/>
    <w:uiPriority w:val="99"/>
    <w:semiHidden/>
    <w:rsid w:val="006E12CB"/>
    <w:rPr>
      <w:rFonts w:ascii="Lucida Grande" w:hAnsi="Lucida Grande"/>
      <w:sz w:val="18"/>
      <w:szCs w:val="18"/>
    </w:rPr>
  </w:style>
  <w:style w:type="paragraph" w:styleId="NoSpacing">
    <w:name w:val="No Spacing"/>
    <w:link w:val="NoSpacingChar"/>
    <w:uiPriority w:val="1"/>
    <w:qFormat/>
    <w:rsid w:val="000F4826"/>
    <w:pPr>
      <w:spacing w:after="0" w:line="240" w:lineRule="auto"/>
    </w:pPr>
  </w:style>
  <w:style w:type="paragraph" w:styleId="ListParagraph">
    <w:name w:val="List Paragraph"/>
    <w:basedOn w:val="Normal"/>
    <w:link w:val="ListParagraphChar"/>
    <w:uiPriority w:val="34"/>
    <w:qFormat/>
    <w:rsid w:val="003D39E3"/>
    <w:pPr>
      <w:ind w:left="720"/>
      <w:contextualSpacing/>
    </w:pPr>
  </w:style>
  <w:style w:type="character" w:customStyle="1" w:styleId="Heading1Char">
    <w:name w:val="Heading 1 Char"/>
    <w:basedOn w:val="DefaultParagraphFont"/>
    <w:link w:val="Heading1"/>
    <w:rsid w:val="008E2952"/>
    <w:rPr>
      <w:rFonts w:ascii="Times New Roman Bold" w:eastAsia="Times New Roman" w:hAnsi="Times New Roman Bold" w:cs="Arial"/>
      <w:b/>
      <w:bCs/>
      <w:kern w:val="32"/>
      <w:sz w:val="24"/>
      <w:szCs w:val="32"/>
    </w:rPr>
  </w:style>
  <w:style w:type="character" w:customStyle="1" w:styleId="Heading2Char">
    <w:name w:val="Heading 2 Char"/>
    <w:basedOn w:val="DefaultParagraphFont"/>
    <w:link w:val="Heading2"/>
    <w:rsid w:val="008E2952"/>
    <w:rPr>
      <w:rFonts w:ascii="Times New Roman Bold" w:eastAsia="Times New Roman" w:hAnsi="Times New Roman Bold" w:cs="Arial"/>
      <w:iCs/>
      <w:kern w:val="32"/>
      <w:sz w:val="24"/>
      <w:szCs w:val="28"/>
    </w:rPr>
  </w:style>
  <w:style w:type="character" w:customStyle="1" w:styleId="Heading3Char">
    <w:name w:val="Heading 3 Char"/>
    <w:basedOn w:val="DefaultParagraphFont"/>
    <w:link w:val="Heading3"/>
    <w:rsid w:val="001B12F4"/>
    <w:rPr>
      <w:rFonts w:ascii="Times New Roman Bold Italic" w:eastAsia="Times New Roman" w:hAnsi="Times New Roman Bold Italic" w:cs="Arial"/>
      <w:b/>
      <w:bCs/>
      <w:i/>
      <w:sz w:val="24"/>
      <w:szCs w:val="26"/>
    </w:rPr>
  </w:style>
  <w:style w:type="character" w:customStyle="1" w:styleId="Heading4Char">
    <w:name w:val="Heading 4 Char"/>
    <w:basedOn w:val="DefaultParagraphFont"/>
    <w:link w:val="Heading4"/>
    <w:rsid w:val="00EF4CAF"/>
    <w:rPr>
      <w:rFonts w:ascii="Times New Roman" w:eastAsia="Times New Roman" w:hAnsi="Times New Roman" w:cs="Times New Roman"/>
      <w:bCs/>
      <w:sz w:val="24"/>
      <w:szCs w:val="28"/>
      <w:u w:val="single"/>
    </w:rPr>
  </w:style>
  <w:style w:type="character" w:customStyle="1" w:styleId="Heading5Char">
    <w:name w:val="Heading 5 Char"/>
    <w:basedOn w:val="DefaultParagraphFont"/>
    <w:link w:val="Heading5"/>
    <w:semiHidden/>
    <w:rsid w:val="00FF7E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FF7EE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FF7EE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FF7EE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F7EE4"/>
    <w:rPr>
      <w:rFonts w:asciiTheme="majorHAnsi" w:eastAsiaTheme="majorEastAsia" w:hAnsiTheme="majorHAnsi" w:cstheme="majorBidi"/>
      <w:i/>
      <w:iCs/>
      <w:color w:val="404040" w:themeColor="text1" w:themeTint="BF"/>
      <w:sz w:val="20"/>
      <w:szCs w:val="20"/>
    </w:rPr>
  </w:style>
  <w:style w:type="character" w:customStyle="1" w:styleId="NoSpacingChar">
    <w:name w:val="No Spacing Char"/>
    <w:basedOn w:val="DefaultParagraphFont"/>
    <w:link w:val="NoSpacing"/>
    <w:uiPriority w:val="1"/>
    <w:rsid w:val="00FF7EE4"/>
  </w:style>
  <w:style w:type="paragraph" w:styleId="FootnoteText">
    <w:name w:val="footnote text"/>
    <w:aliases w:val="single space,footnote text,fn,FOOTNOTES,ft,Footnote Text Char1 Char,ALTS FOOTNOTE,ADB,Footnote Text Char1,Footnote Text Char Char,Footnote Text Char2 Char,Footnote Text Char1 Char Char,Footnote Text Char2 Char Char Char,f,Footnote ak,fn1"/>
    <w:basedOn w:val="Normal"/>
    <w:link w:val="FootnoteTextChar"/>
    <w:uiPriority w:val="99"/>
    <w:unhideWhenUsed/>
    <w:qFormat/>
    <w:rsid w:val="008741D9"/>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t Char,Footnote Text Char1 Char Char1,ALTS FOOTNOTE Char,ADB Char,Footnote Text Char1 Char1,Footnote Text Char Char Char,Footnote Text Char2 Char Char,f Char,fn1 Char"/>
    <w:basedOn w:val="DefaultParagraphFont"/>
    <w:link w:val="FootnoteText"/>
    <w:uiPriority w:val="99"/>
    <w:rsid w:val="008741D9"/>
    <w:rPr>
      <w:rFonts w:ascii="Times New Roman" w:hAnsi="Times New Roman"/>
      <w:sz w:val="20"/>
      <w:szCs w:val="20"/>
    </w:rPr>
  </w:style>
  <w:style w:type="character" w:styleId="Hyperlink">
    <w:name w:val="Hyperlink"/>
    <w:basedOn w:val="DefaultParagraphFont"/>
    <w:uiPriority w:val="99"/>
    <w:unhideWhenUsed/>
    <w:rsid w:val="008741D9"/>
    <w:rPr>
      <w:color w:val="0000FF" w:themeColor="hyperlink"/>
      <w:u w:val="single"/>
    </w:rPr>
  </w:style>
  <w:style w:type="paragraph" w:styleId="Header">
    <w:name w:val="header"/>
    <w:basedOn w:val="Normal"/>
    <w:link w:val="HeaderChar"/>
    <w:uiPriority w:val="99"/>
    <w:unhideWhenUsed/>
    <w:rsid w:val="00A75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96D"/>
  </w:style>
  <w:style w:type="paragraph" w:styleId="Footer">
    <w:name w:val="footer"/>
    <w:basedOn w:val="Normal"/>
    <w:link w:val="FooterChar"/>
    <w:uiPriority w:val="99"/>
    <w:unhideWhenUsed/>
    <w:rsid w:val="00A75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96D"/>
  </w:style>
  <w:style w:type="paragraph" w:styleId="TOCHeading">
    <w:name w:val="TOC Heading"/>
    <w:basedOn w:val="Heading1"/>
    <w:next w:val="Normal"/>
    <w:uiPriority w:val="39"/>
    <w:unhideWhenUsed/>
    <w:qFormat/>
    <w:rsid w:val="00A7596D"/>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A7596D"/>
    <w:pPr>
      <w:spacing w:before="120" w:after="0"/>
      <w:ind w:left="220"/>
    </w:pPr>
    <w:rPr>
      <w:i/>
      <w:iCs/>
      <w:sz w:val="20"/>
      <w:szCs w:val="20"/>
    </w:rPr>
  </w:style>
  <w:style w:type="paragraph" w:styleId="TOC1">
    <w:name w:val="toc 1"/>
    <w:basedOn w:val="Normal"/>
    <w:next w:val="Normal"/>
    <w:autoRedefine/>
    <w:uiPriority w:val="39"/>
    <w:unhideWhenUsed/>
    <w:qFormat/>
    <w:rsid w:val="00C860F8"/>
    <w:pPr>
      <w:tabs>
        <w:tab w:val="right" w:leader="dot" w:pos="9350"/>
      </w:tabs>
      <w:spacing w:before="240" w:after="120"/>
    </w:pPr>
    <w:rPr>
      <w:rFonts w:ascii="Times New Roman" w:hAnsi="Times New Roman"/>
      <w:b/>
      <w:bCs/>
      <w:noProof/>
      <w:sz w:val="24"/>
      <w:szCs w:val="20"/>
      <w:lang w:val="es-ES_tradnl"/>
    </w:rPr>
  </w:style>
  <w:style w:type="paragraph" w:styleId="TOC3">
    <w:name w:val="toc 3"/>
    <w:basedOn w:val="Normal"/>
    <w:next w:val="Normal"/>
    <w:autoRedefine/>
    <w:uiPriority w:val="39"/>
    <w:unhideWhenUsed/>
    <w:qFormat/>
    <w:rsid w:val="00A7596D"/>
    <w:pPr>
      <w:spacing w:after="0"/>
      <w:ind w:left="440"/>
    </w:pPr>
    <w:rPr>
      <w:sz w:val="20"/>
      <w:szCs w:val="20"/>
    </w:rPr>
  </w:style>
  <w:style w:type="character" w:customStyle="1" w:styleId="BalloonTextChar1">
    <w:name w:val="Balloon Text Char1"/>
    <w:basedOn w:val="DefaultParagraphFont"/>
    <w:link w:val="BalloonText"/>
    <w:uiPriority w:val="99"/>
    <w:semiHidden/>
    <w:rsid w:val="00A7596D"/>
    <w:rPr>
      <w:rFonts w:ascii="Tahoma" w:hAnsi="Tahoma" w:cs="Tahoma"/>
      <w:sz w:val="16"/>
      <w:szCs w:val="16"/>
    </w:rPr>
  </w:style>
  <w:style w:type="character" w:styleId="CommentReference">
    <w:name w:val="annotation reference"/>
    <w:basedOn w:val="DefaultParagraphFont"/>
    <w:uiPriority w:val="99"/>
    <w:semiHidden/>
    <w:unhideWhenUsed/>
    <w:rsid w:val="00FA7839"/>
    <w:rPr>
      <w:sz w:val="16"/>
      <w:szCs w:val="16"/>
    </w:rPr>
  </w:style>
  <w:style w:type="paragraph" w:styleId="CommentText">
    <w:name w:val="annotation text"/>
    <w:basedOn w:val="Normal"/>
    <w:link w:val="CommentTextChar"/>
    <w:uiPriority w:val="99"/>
    <w:semiHidden/>
    <w:unhideWhenUsed/>
    <w:rsid w:val="00FA7839"/>
    <w:pPr>
      <w:spacing w:line="240" w:lineRule="auto"/>
    </w:pPr>
    <w:rPr>
      <w:sz w:val="20"/>
      <w:szCs w:val="20"/>
    </w:rPr>
  </w:style>
  <w:style w:type="character" w:customStyle="1" w:styleId="CommentTextChar">
    <w:name w:val="Comment Text Char"/>
    <w:basedOn w:val="DefaultParagraphFont"/>
    <w:link w:val="CommentText"/>
    <w:uiPriority w:val="99"/>
    <w:semiHidden/>
    <w:rsid w:val="00FA7839"/>
    <w:rPr>
      <w:sz w:val="20"/>
      <w:szCs w:val="20"/>
    </w:rPr>
  </w:style>
  <w:style w:type="paragraph" w:styleId="CommentSubject">
    <w:name w:val="annotation subject"/>
    <w:basedOn w:val="CommentText"/>
    <w:next w:val="CommentText"/>
    <w:link w:val="CommentSubjectChar"/>
    <w:uiPriority w:val="99"/>
    <w:semiHidden/>
    <w:unhideWhenUsed/>
    <w:rsid w:val="00FA7839"/>
    <w:rPr>
      <w:b/>
      <w:bCs/>
    </w:rPr>
  </w:style>
  <w:style w:type="character" w:customStyle="1" w:styleId="CommentSubjectChar">
    <w:name w:val="Comment Subject Char"/>
    <w:basedOn w:val="CommentTextChar"/>
    <w:link w:val="CommentSubject"/>
    <w:uiPriority w:val="99"/>
    <w:semiHidden/>
    <w:rsid w:val="00FA7839"/>
    <w:rPr>
      <w:b/>
      <w:bCs/>
      <w:sz w:val="20"/>
      <w:szCs w:val="20"/>
    </w:rPr>
  </w:style>
  <w:style w:type="table" w:styleId="TableGrid">
    <w:name w:val="Table Grid"/>
    <w:basedOn w:val="TableNormal"/>
    <w:uiPriority w:val="59"/>
    <w:rsid w:val="00562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CB399F"/>
  </w:style>
  <w:style w:type="paragraph" w:customStyle="1" w:styleId="Tableheading">
    <w:name w:val="Table heading"/>
    <w:basedOn w:val="Normal"/>
    <w:qFormat/>
    <w:rsid w:val="00CB399F"/>
    <w:pPr>
      <w:spacing w:before="40" w:after="40" w:line="240" w:lineRule="auto"/>
      <w:jc w:val="center"/>
    </w:pPr>
    <w:rPr>
      <w:rFonts w:ascii="Times New Roman" w:hAnsi="Times New Roman" w:cs="Times New Roman"/>
      <w:b/>
      <w:i/>
      <w:sz w:val="20"/>
      <w:szCs w:val="20"/>
    </w:rPr>
  </w:style>
  <w:style w:type="paragraph" w:customStyle="1" w:styleId="Attachmenttitle">
    <w:name w:val="Attachment title"/>
    <w:basedOn w:val="Normal"/>
    <w:qFormat/>
    <w:rsid w:val="00CB399F"/>
    <w:pPr>
      <w:spacing w:after="240" w:line="240" w:lineRule="auto"/>
    </w:pPr>
    <w:rPr>
      <w:rFonts w:ascii="Times New Roman" w:eastAsia="Times New Roman" w:hAnsi="Times New Roman" w:cs="Times New Roman"/>
      <w:b/>
      <w:spacing w:val="4"/>
      <w:sz w:val="24"/>
      <w:szCs w:val="24"/>
    </w:rPr>
  </w:style>
  <w:style w:type="paragraph" w:customStyle="1" w:styleId="MainParanoChapter">
    <w:name w:val="Main Para no Chapter #"/>
    <w:basedOn w:val="Normal"/>
    <w:rsid w:val="002F4FFB"/>
    <w:pPr>
      <w:numPr>
        <w:numId w:val="4"/>
      </w:numPr>
      <w:spacing w:after="240" w:line="240" w:lineRule="auto"/>
      <w:jc w:val="both"/>
    </w:pPr>
    <w:rPr>
      <w:rFonts w:ascii="Times New Roman" w:eastAsia="Times New Roman" w:hAnsi="Times New Roman" w:cs="Times New Roman"/>
      <w:sz w:val="24"/>
      <w:szCs w:val="24"/>
    </w:rPr>
  </w:style>
  <w:style w:type="paragraph" w:customStyle="1" w:styleId="PDSAnnexHeading">
    <w:name w:val="PDS Annex Heading"/>
    <w:next w:val="Normal"/>
    <w:rsid w:val="001A31D9"/>
    <w:pPr>
      <w:keepNext/>
      <w:spacing w:after="120" w:line="240" w:lineRule="auto"/>
      <w:jc w:val="center"/>
    </w:pPr>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DD5AF2"/>
    <w:pPr>
      <w:spacing w:after="0"/>
      <w:ind w:left="660"/>
    </w:pPr>
    <w:rPr>
      <w:sz w:val="20"/>
      <w:szCs w:val="20"/>
    </w:rPr>
  </w:style>
  <w:style w:type="paragraph" w:styleId="TOC5">
    <w:name w:val="toc 5"/>
    <w:basedOn w:val="Normal"/>
    <w:next w:val="Normal"/>
    <w:autoRedefine/>
    <w:uiPriority w:val="39"/>
    <w:unhideWhenUsed/>
    <w:rsid w:val="00DD5AF2"/>
    <w:pPr>
      <w:spacing w:after="0"/>
      <w:ind w:left="880"/>
    </w:pPr>
    <w:rPr>
      <w:sz w:val="20"/>
      <w:szCs w:val="20"/>
    </w:rPr>
  </w:style>
  <w:style w:type="paragraph" w:styleId="TOC6">
    <w:name w:val="toc 6"/>
    <w:basedOn w:val="Normal"/>
    <w:next w:val="Normal"/>
    <w:autoRedefine/>
    <w:uiPriority w:val="39"/>
    <w:unhideWhenUsed/>
    <w:rsid w:val="00DD5AF2"/>
    <w:pPr>
      <w:spacing w:after="0"/>
      <w:ind w:left="1100"/>
    </w:pPr>
    <w:rPr>
      <w:sz w:val="20"/>
      <w:szCs w:val="20"/>
    </w:rPr>
  </w:style>
  <w:style w:type="paragraph" w:styleId="TOC7">
    <w:name w:val="toc 7"/>
    <w:basedOn w:val="Normal"/>
    <w:next w:val="Normal"/>
    <w:autoRedefine/>
    <w:uiPriority w:val="39"/>
    <w:unhideWhenUsed/>
    <w:rsid w:val="00DD5AF2"/>
    <w:pPr>
      <w:spacing w:after="0"/>
      <w:ind w:left="1320"/>
    </w:pPr>
    <w:rPr>
      <w:sz w:val="20"/>
      <w:szCs w:val="20"/>
    </w:rPr>
  </w:style>
  <w:style w:type="paragraph" w:styleId="TOC8">
    <w:name w:val="toc 8"/>
    <w:basedOn w:val="Normal"/>
    <w:next w:val="Normal"/>
    <w:autoRedefine/>
    <w:uiPriority w:val="39"/>
    <w:unhideWhenUsed/>
    <w:rsid w:val="00DD5AF2"/>
    <w:pPr>
      <w:spacing w:after="0"/>
      <w:ind w:left="1540"/>
    </w:pPr>
    <w:rPr>
      <w:sz w:val="20"/>
      <w:szCs w:val="20"/>
    </w:rPr>
  </w:style>
  <w:style w:type="paragraph" w:styleId="TOC9">
    <w:name w:val="toc 9"/>
    <w:basedOn w:val="Normal"/>
    <w:next w:val="Normal"/>
    <w:autoRedefine/>
    <w:uiPriority w:val="39"/>
    <w:unhideWhenUsed/>
    <w:rsid w:val="00DD5AF2"/>
    <w:pPr>
      <w:spacing w:after="0"/>
      <w:ind w:left="1760"/>
    </w:pPr>
    <w:rPr>
      <w:sz w:val="20"/>
      <w:szCs w:val="20"/>
    </w:rPr>
  </w:style>
  <w:style w:type="character" w:styleId="FootnoteReference">
    <w:name w:val="footnote reference"/>
    <w:aliases w:val="ftref,Ref,de nota al pie,16 Point,Superscript 6 Point,BVI fnr,Char Char Char Char Car Char,Footnote Reference Number,Footnote, BVI fnr,Footnote Reference_LVL6,Footnote Reference_LVL61,Footnote Reference_LVL62,Footnote Reference_LVL63"/>
    <w:basedOn w:val="DefaultParagraphFont"/>
    <w:uiPriority w:val="99"/>
    <w:unhideWhenUsed/>
    <w:rsid w:val="00047E9D"/>
    <w:rPr>
      <w:vertAlign w:val="superscript"/>
    </w:rPr>
  </w:style>
  <w:style w:type="paragraph" w:customStyle="1" w:styleId="MainPara">
    <w:name w:val="Main Para"/>
    <w:basedOn w:val="NoSpacing"/>
    <w:qFormat/>
    <w:rsid w:val="00625FD2"/>
    <w:pPr>
      <w:numPr>
        <w:numId w:val="5"/>
      </w:numPr>
      <w:tabs>
        <w:tab w:val="left" w:pos="360"/>
      </w:tabs>
      <w:spacing w:before="120" w:after="120"/>
      <w:ind w:left="0" w:firstLine="0"/>
      <w:jc w:val="both"/>
    </w:pPr>
    <w:rPr>
      <w:rFonts w:ascii="Times New Roman" w:hAnsi="Times New Roman" w:cs="Times New Roman"/>
      <w:sz w:val="24"/>
      <w:szCs w:val="24"/>
    </w:rPr>
  </w:style>
  <w:style w:type="paragraph" w:customStyle="1" w:styleId="Annexmain">
    <w:name w:val="Annex main"/>
    <w:basedOn w:val="Normal"/>
    <w:qFormat/>
    <w:rsid w:val="0039661E"/>
    <w:pPr>
      <w:numPr>
        <w:numId w:val="19"/>
      </w:numPr>
      <w:spacing w:before="120" w:after="0" w:line="240" w:lineRule="auto"/>
      <w:jc w:val="both"/>
    </w:pPr>
    <w:rPr>
      <w:rFonts w:ascii="Times New Roman" w:hAnsi="Times New Roman" w:cs="Times New Roman"/>
      <w:sz w:val="24"/>
      <w:szCs w:val="24"/>
    </w:rPr>
  </w:style>
  <w:style w:type="table" w:styleId="ColorfulList-Accent1">
    <w:name w:val="Colorful List Accent 1"/>
    <w:basedOn w:val="TableNormal"/>
    <w:uiPriority w:val="72"/>
    <w:rsid w:val="003D6DF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uiPriority w:val="22"/>
    <w:qFormat/>
    <w:rsid w:val="00AB7BC8"/>
    <w:rPr>
      <w:b/>
      <w:bCs/>
    </w:rPr>
  </w:style>
  <w:style w:type="paragraph" w:customStyle="1" w:styleId="Bullet-alpha">
    <w:name w:val="Bullet-alpha"/>
    <w:basedOn w:val="Normal"/>
    <w:rsid w:val="00282287"/>
    <w:pPr>
      <w:numPr>
        <w:numId w:val="10"/>
      </w:numPr>
      <w:tabs>
        <w:tab w:val="clear" w:pos="720"/>
      </w:tabs>
      <w:spacing w:after="0"/>
      <w:ind w:left="1800" w:hanging="360"/>
      <w:jc w:val="both"/>
    </w:pPr>
    <w:rPr>
      <w:rFonts w:ascii="Times New Roman" w:eastAsia="Times New Roman" w:hAnsi="Times New Roman" w:cs="Times New Roman"/>
      <w:sz w:val="24"/>
      <w:szCs w:val="24"/>
    </w:rPr>
  </w:style>
  <w:style w:type="paragraph" w:styleId="Revision">
    <w:name w:val="Revision"/>
    <w:hidden/>
    <w:rsid w:val="007C52D5"/>
    <w:pPr>
      <w:spacing w:after="0" w:line="240" w:lineRule="auto"/>
    </w:pPr>
  </w:style>
  <w:style w:type="paragraph" w:customStyle="1" w:styleId="Bullet">
    <w:name w:val="Bullet"/>
    <w:basedOn w:val="ListParagraph"/>
    <w:qFormat/>
    <w:rsid w:val="00625FB3"/>
    <w:pPr>
      <w:numPr>
        <w:numId w:val="16"/>
      </w:numPr>
      <w:spacing w:before="120" w:after="0" w:line="240" w:lineRule="auto"/>
      <w:jc w:val="both"/>
    </w:pPr>
    <w:rPr>
      <w:rFonts w:ascii="Times New Roman" w:hAnsi="Times New Roman" w:cs="Times New Roman"/>
      <w:sz w:val="24"/>
      <w:szCs w:val="24"/>
    </w:rPr>
  </w:style>
  <w:style w:type="paragraph" w:styleId="BodyTextIndent">
    <w:name w:val="Body Text Indent"/>
    <w:basedOn w:val="Normal"/>
    <w:link w:val="BodyTextIndentChar"/>
    <w:rsid w:val="002A3A7C"/>
    <w:pPr>
      <w:spacing w:after="120"/>
      <w:ind w:left="360"/>
    </w:pPr>
  </w:style>
  <w:style w:type="character" w:customStyle="1" w:styleId="BodyTextIndentChar">
    <w:name w:val="Body Text Indent Char"/>
    <w:basedOn w:val="DefaultParagraphFont"/>
    <w:link w:val="BodyTextIndent"/>
    <w:rsid w:val="002A3A7C"/>
  </w:style>
  <w:style w:type="paragraph" w:styleId="BodyTextFirstIndent2">
    <w:name w:val="Body Text First Indent 2"/>
    <w:basedOn w:val="BodyTextIndent"/>
    <w:link w:val="BodyTextFirstIndent2Char"/>
    <w:rsid w:val="002A3A7C"/>
    <w:pPr>
      <w:spacing w:after="200"/>
      <w:ind w:firstLine="360"/>
    </w:pPr>
  </w:style>
  <w:style w:type="character" w:customStyle="1" w:styleId="BodyTextFirstIndent2Char">
    <w:name w:val="Body Text First Indent 2 Char"/>
    <w:basedOn w:val="BodyTextIndentChar"/>
    <w:link w:val="BodyTextFirstIndent2"/>
    <w:rsid w:val="002A3A7C"/>
  </w:style>
  <w:style w:type="character" w:styleId="PlaceholderText">
    <w:name w:val="Placeholder Text"/>
    <w:basedOn w:val="DefaultParagraphFont"/>
    <w:rsid w:val="004C7080"/>
    <w:rPr>
      <w:color w:val="808080"/>
    </w:rPr>
  </w:style>
  <w:style w:type="paragraph" w:customStyle="1" w:styleId="1FarhadBIMPSParagraphStyle">
    <w:name w:val="1. Farhad BIMPS Paragraph Style"/>
    <w:basedOn w:val="Normal"/>
    <w:next w:val="Normal"/>
    <w:link w:val="1FarhadBIMPSParagraphStyleChar"/>
    <w:rsid w:val="003C52E2"/>
    <w:pPr>
      <w:numPr>
        <w:numId w:val="14"/>
      </w:numPr>
      <w:tabs>
        <w:tab w:val="left" w:pos="540"/>
      </w:tabs>
      <w:spacing w:before="120" w:after="120" w:line="240" w:lineRule="auto"/>
      <w:jc w:val="both"/>
    </w:pPr>
    <w:rPr>
      <w:rFonts w:ascii="Times New Roman" w:eastAsia="Calibri" w:hAnsi="Times New Roman" w:cs="Times New Roman"/>
    </w:rPr>
  </w:style>
  <w:style w:type="character" w:customStyle="1" w:styleId="1FarhadBIMPSParagraphStyleChar">
    <w:name w:val="1. Farhad BIMPS Paragraph Style Char"/>
    <w:basedOn w:val="DefaultParagraphFont"/>
    <w:link w:val="1FarhadBIMPSParagraphStyle"/>
    <w:rsid w:val="003C52E2"/>
    <w:rPr>
      <w:rFonts w:ascii="Times New Roman" w:eastAsia="Calibri" w:hAnsi="Times New Roman" w:cs="Times New Roman"/>
    </w:rPr>
  </w:style>
  <w:style w:type="character" w:styleId="PageNumber">
    <w:name w:val="page number"/>
    <w:basedOn w:val="DefaultParagraphFont"/>
    <w:rsid w:val="00BA61B1"/>
  </w:style>
  <w:style w:type="paragraph" w:styleId="Bibliography">
    <w:name w:val="Bibliography"/>
    <w:basedOn w:val="Normal"/>
    <w:next w:val="Normal"/>
    <w:uiPriority w:val="37"/>
    <w:semiHidden/>
    <w:unhideWhenUsed/>
    <w:rsid w:val="00A22658"/>
  </w:style>
  <w:style w:type="paragraph" w:styleId="BlockText">
    <w:name w:val="Block Text"/>
    <w:basedOn w:val="Normal"/>
    <w:rsid w:val="00A2265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
    <w:name w:val="Body Text"/>
    <w:basedOn w:val="Normal"/>
    <w:link w:val="BodyTextChar"/>
    <w:rsid w:val="00A22658"/>
    <w:pPr>
      <w:spacing w:after="120"/>
    </w:pPr>
  </w:style>
  <w:style w:type="character" w:customStyle="1" w:styleId="BodyTextChar">
    <w:name w:val="Body Text Char"/>
    <w:basedOn w:val="DefaultParagraphFont"/>
    <w:link w:val="BodyText"/>
    <w:rsid w:val="00A22658"/>
  </w:style>
  <w:style w:type="paragraph" w:styleId="BodyText2">
    <w:name w:val="Body Text 2"/>
    <w:basedOn w:val="Normal"/>
    <w:link w:val="BodyText2Char"/>
    <w:rsid w:val="00A22658"/>
    <w:pPr>
      <w:spacing w:after="120" w:line="480" w:lineRule="auto"/>
    </w:pPr>
  </w:style>
  <w:style w:type="character" w:customStyle="1" w:styleId="BodyText2Char">
    <w:name w:val="Body Text 2 Char"/>
    <w:basedOn w:val="DefaultParagraphFont"/>
    <w:link w:val="BodyText2"/>
    <w:rsid w:val="00A22658"/>
  </w:style>
  <w:style w:type="paragraph" w:styleId="BodyText3">
    <w:name w:val="Body Text 3"/>
    <w:basedOn w:val="Normal"/>
    <w:link w:val="BodyText3Char"/>
    <w:rsid w:val="00A22658"/>
    <w:pPr>
      <w:spacing w:after="120"/>
    </w:pPr>
    <w:rPr>
      <w:sz w:val="16"/>
      <w:szCs w:val="16"/>
    </w:rPr>
  </w:style>
  <w:style w:type="character" w:customStyle="1" w:styleId="BodyText3Char">
    <w:name w:val="Body Text 3 Char"/>
    <w:basedOn w:val="DefaultParagraphFont"/>
    <w:link w:val="BodyText3"/>
    <w:rsid w:val="00A22658"/>
    <w:rPr>
      <w:sz w:val="16"/>
      <w:szCs w:val="16"/>
    </w:rPr>
  </w:style>
  <w:style w:type="paragraph" w:styleId="BodyTextFirstIndent">
    <w:name w:val="Body Text First Indent"/>
    <w:basedOn w:val="BodyText"/>
    <w:link w:val="BodyTextFirstIndentChar"/>
    <w:rsid w:val="00A22658"/>
    <w:pPr>
      <w:spacing w:after="200"/>
      <w:ind w:firstLine="360"/>
    </w:pPr>
  </w:style>
  <w:style w:type="character" w:customStyle="1" w:styleId="BodyTextFirstIndentChar">
    <w:name w:val="Body Text First Indent Char"/>
    <w:basedOn w:val="BodyTextChar"/>
    <w:link w:val="BodyTextFirstIndent"/>
    <w:rsid w:val="00A22658"/>
  </w:style>
  <w:style w:type="paragraph" w:styleId="BodyTextIndent2">
    <w:name w:val="Body Text Indent 2"/>
    <w:basedOn w:val="Normal"/>
    <w:link w:val="BodyTextIndent2Char"/>
    <w:rsid w:val="00A22658"/>
    <w:pPr>
      <w:spacing w:after="120" w:line="480" w:lineRule="auto"/>
      <w:ind w:left="360"/>
    </w:pPr>
  </w:style>
  <w:style w:type="character" w:customStyle="1" w:styleId="BodyTextIndent2Char">
    <w:name w:val="Body Text Indent 2 Char"/>
    <w:basedOn w:val="DefaultParagraphFont"/>
    <w:link w:val="BodyTextIndent2"/>
    <w:rsid w:val="00A22658"/>
  </w:style>
  <w:style w:type="paragraph" w:styleId="BodyTextIndent3">
    <w:name w:val="Body Text Indent 3"/>
    <w:basedOn w:val="Normal"/>
    <w:link w:val="BodyTextIndent3Char"/>
    <w:rsid w:val="00A22658"/>
    <w:pPr>
      <w:spacing w:after="120"/>
      <w:ind w:left="360"/>
    </w:pPr>
    <w:rPr>
      <w:sz w:val="16"/>
      <w:szCs w:val="16"/>
    </w:rPr>
  </w:style>
  <w:style w:type="character" w:customStyle="1" w:styleId="BodyTextIndent3Char">
    <w:name w:val="Body Text Indent 3 Char"/>
    <w:basedOn w:val="DefaultParagraphFont"/>
    <w:link w:val="BodyTextIndent3"/>
    <w:rsid w:val="00A22658"/>
    <w:rPr>
      <w:sz w:val="16"/>
      <w:szCs w:val="16"/>
    </w:rPr>
  </w:style>
  <w:style w:type="paragraph" w:styleId="Caption">
    <w:name w:val="caption"/>
    <w:basedOn w:val="Normal"/>
    <w:next w:val="Normal"/>
    <w:rsid w:val="00A22658"/>
    <w:pPr>
      <w:spacing w:line="240" w:lineRule="auto"/>
    </w:pPr>
    <w:rPr>
      <w:b/>
      <w:bCs/>
      <w:color w:val="4F81BD" w:themeColor="accent1"/>
      <w:sz w:val="18"/>
      <w:szCs w:val="18"/>
    </w:rPr>
  </w:style>
  <w:style w:type="paragraph" w:styleId="Closing">
    <w:name w:val="Closing"/>
    <w:basedOn w:val="Normal"/>
    <w:link w:val="ClosingChar"/>
    <w:rsid w:val="00A22658"/>
    <w:pPr>
      <w:spacing w:after="0" w:line="240" w:lineRule="auto"/>
      <w:ind w:left="4320"/>
    </w:pPr>
  </w:style>
  <w:style w:type="character" w:customStyle="1" w:styleId="ClosingChar">
    <w:name w:val="Closing Char"/>
    <w:basedOn w:val="DefaultParagraphFont"/>
    <w:link w:val="Closing"/>
    <w:rsid w:val="00A22658"/>
  </w:style>
  <w:style w:type="paragraph" w:styleId="Date">
    <w:name w:val="Date"/>
    <w:basedOn w:val="Normal"/>
    <w:next w:val="Normal"/>
    <w:link w:val="DateChar"/>
    <w:rsid w:val="00A22658"/>
  </w:style>
  <w:style w:type="character" w:customStyle="1" w:styleId="DateChar">
    <w:name w:val="Date Char"/>
    <w:basedOn w:val="DefaultParagraphFont"/>
    <w:link w:val="Date"/>
    <w:rsid w:val="00A22658"/>
  </w:style>
  <w:style w:type="paragraph" w:styleId="DocumentMap">
    <w:name w:val="Document Map"/>
    <w:basedOn w:val="Normal"/>
    <w:link w:val="DocumentMapChar"/>
    <w:rsid w:val="00A2265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A22658"/>
    <w:rPr>
      <w:rFonts w:ascii="Tahoma" w:hAnsi="Tahoma" w:cs="Tahoma"/>
      <w:sz w:val="16"/>
      <w:szCs w:val="16"/>
    </w:rPr>
  </w:style>
  <w:style w:type="paragraph" w:styleId="E-mailSignature">
    <w:name w:val="E-mail Signature"/>
    <w:basedOn w:val="Normal"/>
    <w:link w:val="E-mailSignatureChar"/>
    <w:rsid w:val="00A22658"/>
    <w:pPr>
      <w:spacing w:after="0" w:line="240" w:lineRule="auto"/>
    </w:pPr>
  </w:style>
  <w:style w:type="character" w:customStyle="1" w:styleId="E-mailSignatureChar">
    <w:name w:val="E-mail Signature Char"/>
    <w:basedOn w:val="DefaultParagraphFont"/>
    <w:link w:val="E-mailSignature"/>
    <w:rsid w:val="00A22658"/>
  </w:style>
  <w:style w:type="paragraph" w:styleId="EndnoteText">
    <w:name w:val="endnote text"/>
    <w:basedOn w:val="Normal"/>
    <w:link w:val="EndnoteTextChar"/>
    <w:rsid w:val="00A22658"/>
    <w:pPr>
      <w:spacing w:after="0" w:line="240" w:lineRule="auto"/>
    </w:pPr>
    <w:rPr>
      <w:sz w:val="20"/>
      <w:szCs w:val="20"/>
    </w:rPr>
  </w:style>
  <w:style w:type="character" w:customStyle="1" w:styleId="EndnoteTextChar">
    <w:name w:val="Endnote Text Char"/>
    <w:basedOn w:val="DefaultParagraphFont"/>
    <w:link w:val="EndnoteText"/>
    <w:rsid w:val="00A22658"/>
    <w:rPr>
      <w:sz w:val="20"/>
      <w:szCs w:val="20"/>
    </w:rPr>
  </w:style>
  <w:style w:type="paragraph" w:styleId="EnvelopeAddress">
    <w:name w:val="envelope address"/>
    <w:basedOn w:val="Normal"/>
    <w:rsid w:val="00A2265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A2265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rsid w:val="00A22658"/>
    <w:pPr>
      <w:spacing w:after="0" w:line="240" w:lineRule="auto"/>
    </w:pPr>
    <w:rPr>
      <w:i/>
      <w:iCs/>
    </w:rPr>
  </w:style>
  <w:style w:type="character" w:customStyle="1" w:styleId="HTMLAddressChar">
    <w:name w:val="HTML Address Char"/>
    <w:basedOn w:val="DefaultParagraphFont"/>
    <w:link w:val="HTMLAddress"/>
    <w:rsid w:val="00A22658"/>
    <w:rPr>
      <w:i/>
      <w:iCs/>
    </w:rPr>
  </w:style>
  <w:style w:type="paragraph" w:styleId="HTMLPreformatted">
    <w:name w:val="HTML Preformatted"/>
    <w:basedOn w:val="Normal"/>
    <w:link w:val="HTMLPreformattedChar"/>
    <w:rsid w:val="00A2265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A22658"/>
    <w:rPr>
      <w:rFonts w:ascii="Consolas" w:hAnsi="Consolas"/>
      <w:sz w:val="20"/>
      <w:szCs w:val="20"/>
    </w:rPr>
  </w:style>
  <w:style w:type="paragraph" w:styleId="Index1">
    <w:name w:val="index 1"/>
    <w:basedOn w:val="Normal"/>
    <w:next w:val="Normal"/>
    <w:autoRedefine/>
    <w:rsid w:val="00A22658"/>
    <w:pPr>
      <w:spacing w:after="0" w:line="240" w:lineRule="auto"/>
      <w:ind w:left="220" w:hanging="220"/>
    </w:pPr>
  </w:style>
  <w:style w:type="paragraph" w:styleId="Index2">
    <w:name w:val="index 2"/>
    <w:basedOn w:val="Normal"/>
    <w:next w:val="Normal"/>
    <w:autoRedefine/>
    <w:rsid w:val="00A22658"/>
    <w:pPr>
      <w:spacing w:after="0" w:line="240" w:lineRule="auto"/>
      <w:ind w:left="440" w:hanging="220"/>
    </w:pPr>
  </w:style>
  <w:style w:type="paragraph" w:styleId="Index3">
    <w:name w:val="index 3"/>
    <w:basedOn w:val="Normal"/>
    <w:next w:val="Normal"/>
    <w:autoRedefine/>
    <w:rsid w:val="00A22658"/>
    <w:pPr>
      <w:spacing w:after="0" w:line="240" w:lineRule="auto"/>
      <w:ind w:left="660" w:hanging="220"/>
    </w:pPr>
  </w:style>
  <w:style w:type="paragraph" w:styleId="Index4">
    <w:name w:val="index 4"/>
    <w:basedOn w:val="Normal"/>
    <w:next w:val="Normal"/>
    <w:autoRedefine/>
    <w:rsid w:val="00A22658"/>
    <w:pPr>
      <w:spacing w:after="0" w:line="240" w:lineRule="auto"/>
      <w:ind w:left="880" w:hanging="220"/>
    </w:pPr>
  </w:style>
  <w:style w:type="paragraph" w:styleId="Index5">
    <w:name w:val="index 5"/>
    <w:basedOn w:val="Normal"/>
    <w:next w:val="Normal"/>
    <w:autoRedefine/>
    <w:rsid w:val="00A22658"/>
    <w:pPr>
      <w:spacing w:after="0" w:line="240" w:lineRule="auto"/>
      <w:ind w:left="1100" w:hanging="220"/>
    </w:pPr>
  </w:style>
  <w:style w:type="paragraph" w:styleId="Index6">
    <w:name w:val="index 6"/>
    <w:basedOn w:val="Normal"/>
    <w:next w:val="Normal"/>
    <w:autoRedefine/>
    <w:rsid w:val="00A22658"/>
    <w:pPr>
      <w:spacing w:after="0" w:line="240" w:lineRule="auto"/>
      <w:ind w:left="1320" w:hanging="220"/>
    </w:pPr>
  </w:style>
  <w:style w:type="paragraph" w:styleId="Index7">
    <w:name w:val="index 7"/>
    <w:basedOn w:val="Normal"/>
    <w:next w:val="Normal"/>
    <w:autoRedefine/>
    <w:rsid w:val="00A22658"/>
    <w:pPr>
      <w:spacing w:after="0" w:line="240" w:lineRule="auto"/>
      <w:ind w:left="1540" w:hanging="220"/>
    </w:pPr>
  </w:style>
  <w:style w:type="paragraph" w:styleId="Index8">
    <w:name w:val="index 8"/>
    <w:basedOn w:val="Normal"/>
    <w:next w:val="Normal"/>
    <w:autoRedefine/>
    <w:rsid w:val="00A22658"/>
    <w:pPr>
      <w:spacing w:after="0" w:line="240" w:lineRule="auto"/>
      <w:ind w:left="1760" w:hanging="220"/>
    </w:pPr>
  </w:style>
  <w:style w:type="paragraph" w:styleId="Index9">
    <w:name w:val="index 9"/>
    <w:basedOn w:val="Normal"/>
    <w:next w:val="Normal"/>
    <w:autoRedefine/>
    <w:rsid w:val="00A22658"/>
    <w:pPr>
      <w:spacing w:after="0" w:line="240" w:lineRule="auto"/>
      <w:ind w:left="1980" w:hanging="220"/>
    </w:pPr>
  </w:style>
  <w:style w:type="paragraph" w:styleId="IndexHeading">
    <w:name w:val="index heading"/>
    <w:basedOn w:val="Normal"/>
    <w:next w:val="Index1"/>
    <w:rsid w:val="00A22658"/>
    <w:rPr>
      <w:rFonts w:asciiTheme="majorHAnsi" w:eastAsiaTheme="majorEastAsia" w:hAnsiTheme="majorHAnsi" w:cstheme="majorBidi"/>
      <w:b/>
      <w:bCs/>
    </w:rPr>
  </w:style>
  <w:style w:type="paragraph" w:styleId="IntenseQuote">
    <w:name w:val="Intense Quote"/>
    <w:basedOn w:val="Normal"/>
    <w:next w:val="Normal"/>
    <w:link w:val="IntenseQuoteChar"/>
    <w:rsid w:val="00A226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A22658"/>
    <w:rPr>
      <w:b/>
      <w:bCs/>
      <w:i/>
      <w:iCs/>
      <w:color w:val="4F81BD" w:themeColor="accent1"/>
    </w:rPr>
  </w:style>
  <w:style w:type="paragraph" w:styleId="List">
    <w:name w:val="List"/>
    <w:basedOn w:val="Normal"/>
    <w:rsid w:val="00A22658"/>
    <w:pPr>
      <w:ind w:left="360" w:hanging="360"/>
      <w:contextualSpacing/>
    </w:pPr>
  </w:style>
  <w:style w:type="paragraph" w:styleId="List2">
    <w:name w:val="List 2"/>
    <w:basedOn w:val="Normal"/>
    <w:rsid w:val="00A22658"/>
    <w:pPr>
      <w:ind w:left="720" w:hanging="360"/>
      <w:contextualSpacing/>
    </w:pPr>
  </w:style>
  <w:style w:type="paragraph" w:styleId="List3">
    <w:name w:val="List 3"/>
    <w:basedOn w:val="Normal"/>
    <w:rsid w:val="00A22658"/>
    <w:pPr>
      <w:ind w:left="1080" w:hanging="360"/>
      <w:contextualSpacing/>
    </w:pPr>
  </w:style>
  <w:style w:type="paragraph" w:styleId="List4">
    <w:name w:val="List 4"/>
    <w:basedOn w:val="Normal"/>
    <w:rsid w:val="00A22658"/>
    <w:pPr>
      <w:ind w:left="1440" w:hanging="360"/>
      <w:contextualSpacing/>
    </w:pPr>
  </w:style>
  <w:style w:type="paragraph" w:styleId="List5">
    <w:name w:val="List 5"/>
    <w:basedOn w:val="Normal"/>
    <w:rsid w:val="00A22658"/>
    <w:pPr>
      <w:ind w:left="1800" w:hanging="360"/>
      <w:contextualSpacing/>
    </w:pPr>
  </w:style>
  <w:style w:type="paragraph" w:styleId="ListBullet">
    <w:name w:val="List Bullet"/>
    <w:basedOn w:val="Normal"/>
    <w:rsid w:val="00A22658"/>
    <w:pPr>
      <w:numPr>
        <w:numId w:val="31"/>
      </w:numPr>
      <w:contextualSpacing/>
    </w:pPr>
  </w:style>
  <w:style w:type="paragraph" w:styleId="ListBullet2">
    <w:name w:val="List Bullet 2"/>
    <w:basedOn w:val="Normal"/>
    <w:rsid w:val="00A22658"/>
    <w:pPr>
      <w:numPr>
        <w:numId w:val="32"/>
      </w:numPr>
      <w:contextualSpacing/>
    </w:pPr>
  </w:style>
  <w:style w:type="paragraph" w:styleId="ListBullet3">
    <w:name w:val="List Bullet 3"/>
    <w:basedOn w:val="Normal"/>
    <w:rsid w:val="00A22658"/>
    <w:pPr>
      <w:numPr>
        <w:numId w:val="33"/>
      </w:numPr>
      <w:contextualSpacing/>
    </w:pPr>
  </w:style>
  <w:style w:type="paragraph" w:styleId="ListBullet4">
    <w:name w:val="List Bullet 4"/>
    <w:basedOn w:val="Normal"/>
    <w:rsid w:val="00A22658"/>
    <w:pPr>
      <w:numPr>
        <w:numId w:val="34"/>
      </w:numPr>
      <w:contextualSpacing/>
    </w:pPr>
  </w:style>
  <w:style w:type="paragraph" w:styleId="ListBullet5">
    <w:name w:val="List Bullet 5"/>
    <w:basedOn w:val="Normal"/>
    <w:rsid w:val="00A22658"/>
    <w:pPr>
      <w:numPr>
        <w:numId w:val="35"/>
      </w:numPr>
      <w:contextualSpacing/>
    </w:pPr>
  </w:style>
  <w:style w:type="paragraph" w:styleId="ListContinue">
    <w:name w:val="List Continue"/>
    <w:basedOn w:val="Normal"/>
    <w:rsid w:val="00A22658"/>
    <w:pPr>
      <w:spacing w:after="120"/>
      <w:ind w:left="360"/>
      <w:contextualSpacing/>
    </w:pPr>
  </w:style>
  <w:style w:type="paragraph" w:styleId="ListContinue2">
    <w:name w:val="List Continue 2"/>
    <w:basedOn w:val="Normal"/>
    <w:rsid w:val="00A22658"/>
    <w:pPr>
      <w:spacing w:after="120"/>
      <w:ind w:left="720"/>
      <w:contextualSpacing/>
    </w:pPr>
  </w:style>
  <w:style w:type="paragraph" w:styleId="ListContinue3">
    <w:name w:val="List Continue 3"/>
    <w:basedOn w:val="Normal"/>
    <w:rsid w:val="00A22658"/>
    <w:pPr>
      <w:spacing w:after="120"/>
      <w:ind w:left="1080"/>
      <w:contextualSpacing/>
    </w:pPr>
  </w:style>
  <w:style w:type="paragraph" w:styleId="ListContinue4">
    <w:name w:val="List Continue 4"/>
    <w:basedOn w:val="Normal"/>
    <w:rsid w:val="00A22658"/>
    <w:pPr>
      <w:spacing w:after="120"/>
      <w:ind w:left="1440"/>
      <w:contextualSpacing/>
    </w:pPr>
  </w:style>
  <w:style w:type="paragraph" w:styleId="ListContinue5">
    <w:name w:val="List Continue 5"/>
    <w:basedOn w:val="Normal"/>
    <w:rsid w:val="00A22658"/>
    <w:pPr>
      <w:spacing w:after="120"/>
      <w:ind w:left="1800"/>
      <w:contextualSpacing/>
    </w:pPr>
  </w:style>
  <w:style w:type="paragraph" w:styleId="ListNumber">
    <w:name w:val="List Number"/>
    <w:basedOn w:val="Normal"/>
    <w:rsid w:val="00A22658"/>
    <w:pPr>
      <w:numPr>
        <w:numId w:val="36"/>
      </w:numPr>
      <w:contextualSpacing/>
    </w:pPr>
  </w:style>
  <w:style w:type="paragraph" w:styleId="ListNumber2">
    <w:name w:val="List Number 2"/>
    <w:basedOn w:val="Normal"/>
    <w:rsid w:val="00A22658"/>
    <w:pPr>
      <w:numPr>
        <w:numId w:val="37"/>
      </w:numPr>
      <w:contextualSpacing/>
    </w:pPr>
  </w:style>
  <w:style w:type="paragraph" w:styleId="ListNumber3">
    <w:name w:val="List Number 3"/>
    <w:basedOn w:val="Normal"/>
    <w:rsid w:val="00A22658"/>
    <w:pPr>
      <w:numPr>
        <w:numId w:val="38"/>
      </w:numPr>
      <w:contextualSpacing/>
    </w:pPr>
  </w:style>
  <w:style w:type="paragraph" w:styleId="ListNumber4">
    <w:name w:val="List Number 4"/>
    <w:basedOn w:val="Normal"/>
    <w:rsid w:val="00A22658"/>
    <w:pPr>
      <w:numPr>
        <w:numId w:val="39"/>
      </w:numPr>
      <w:contextualSpacing/>
    </w:pPr>
  </w:style>
  <w:style w:type="paragraph" w:styleId="ListNumber5">
    <w:name w:val="List Number 5"/>
    <w:basedOn w:val="Normal"/>
    <w:rsid w:val="00A22658"/>
    <w:pPr>
      <w:numPr>
        <w:numId w:val="40"/>
      </w:numPr>
      <w:contextualSpacing/>
    </w:pPr>
  </w:style>
  <w:style w:type="paragraph" w:styleId="MacroText">
    <w:name w:val="macro"/>
    <w:link w:val="MacroTextChar"/>
    <w:rsid w:val="00A2265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rsid w:val="00A22658"/>
    <w:rPr>
      <w:rFonts w:ascii="Consolas" w:hAnsi="Consolas"/>
      <w:sz w:val="20"/>
      <w:szCs w:val="20"/>
    </w:rPr>
  </w:style>
  <w:style w:type="paragraph" w:styleId="MessageHeader">
    <w:name w:val="Message Header"/>
    <w:basedOn w:val="Normal"/>
    <w:link w:val="MessageHeaderChar"/>
    <w:rsid w:val="00A2265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22658"/>
    <w:rPr>
      <w:rFonts w:asciiTheme="majorHAnsi" w:eastAsiaTheme="majorEastAsia" w:hAnsiTheme="majorHAnsi" w:cstheme="majorBidi"/>
      <w:sz w:val="24"/>
      <w:szCs w:val="24"/>
      <w:shd w:val="pct20" w:color="auto" w:fill="auto"/>
    </w:rPr>
  </w:style>
  <w:style w:type="paragraph" w:styleId="NormalWeb">
    <w:name w:val="Normal (Web)"/>
    <w:basedOn w:val="Normal"/>
    <w:rsid w:val="00A22658"/>
    <w:rPr>
      <w:rFonts w:ascii="Times New Roman" w:hAnsi="Times New Roman" w:cs="Times New Roman"/>
      <w:sz w:val="24"/>
      <w:szCs w:val="24"/>
    </w:rPr>
  </w:style>
  <w:style w:type="paragraph" w:styleId="NormalIndent">
    <w:name w:val="Normal Indent"/>
    <w:basedOn w:val="Normal"/>
    <w:rsid w:val="00A22658"/>
    <w:pPr>
      <w:ind w:left="720"/>
    </w:pPr>
  </w:style>
  <w:style w:type="paragraph" w:styleId="NoteHeading">
    <w:name w:val="Note Heading"/>
    <w:basedOn w:val="Normal"/>
    <w:next w:val="Normal"/>
    <w:link w:val="NoteHeadingChar"/>
    <w:rsid w:val="00A22658"/>
    <w:pPr>
      <w:spacing w:after="0" w:line="240" w:lineRule="auto"/>
    </w:pPr>
  </w:style>
  <w:style w:type="character" w:customStyle="1" w:styleId="NoteHeadingChar">
    <w:name w:val="Note Heading Char"/>
    <w:basedOn w:val="DefaultParagraphFont"/>
    <w:link w:val="NoteHeading"/>
    <w:rsid w:val="00A22658"/>
  </w:style>
  <w:style w:type="paragraph" w:styleId="PlainText">
    <w:name w:val="Plain Text"/>
    <w:basedOn w:val="Normal"/>
    <w:link w:val="PlainTextChar"/>
    <w:rsid w:val="00A22658"/>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A22658"/>
    <w:rPr>
      <w:rFonts w:ascii="Consolas" w:hAnsi="Consolas"/>
      <w:sz w:val="21"/>
      <w:szCs w:val="21"/>
    </w:rPr>
  </w:style>
  <w:style w:type="paragraph" w:styleId="Quote">
    <w:name w:val="Quote"/>
    <w:basedOn w:val="Normal"/>
    <w:next w:val="Normal"/>
    <w:link w:val="QuoteChar"/>
    <w:rsid w:val="00A22658"/>
    <w:rPr>
      <w:i/>
      <w:iCs/>
      <w:color w:val="000000" w:themeColor="text1"/>
    </w:rPr>
  </w:style>
  <w:style w:type="character" w:customStyle="1" w:styleId="QuoteChar">
    <w:name w:val="Quote Char"/>
    <w:basedOn w:val="DefaultParagraphFont"/>
    <w:link w:val="Quote"/>
    <w:rsid w:val="00A22658"/>
    <w:rPr>
      <w:i/>
      <w:iCs/>
      <w:color w:val="000000" w:themeColor="text1"/>
    </w:rPr>
  </w:style>
  <w:style w:type="paragraph" w:styleId="Salutation">
    <w:name w:val="Salutation"/>
    <w:basedOn w:val="Normal"/>
    <w:next w:val="Normal"/>
    <w:link w:val="SalutationChar"/>
    <w:rsid w:val="00A22658"/>
  </w:style>
  <w:style w:type="character" w:customStyle="1" w:styleId="SalutationChar">
    <w:name w:val="Salutation Char"/>
    <w:basedOn w:val="DefaultParagraphFont"/>
    <w:link w:val="Salutation"/>
    <w:rsid w:val="00A22658"/>
  </w:style>
  <w:style w:type="paragraph" w:styleId="Signature">
    <w:name w:val="Signature"/>
    <w:basedOn w:val="Normal"/>
    <w:link w:val="SignatureChar"/>
    <w:rsid w:val="00A22658"/>
    <w:pPr>
      <w:spacing w:after="0" w:line="240" w:lineRule="auto"/>
      <w:ind w:left="4320"/>
    </w:pPr>
  </w:style>
  <w:style w:type="character" w:customStyle="1" w:styleId="SignatureChar">
    <w:name w:val="Signature Char"/>
    <w:basedOn w:val="DefaultParagraphFont"/>
    <w:link w:val="Signature"/>
    <w:rsid w:val="00A22658"/>
  </w:style>
  <w:style w:type="paragraph" w:styleId="Subtitle">
    <w:name w:val="Subtitle"/>
    <w:basedOn w:val="Normal"/>
    <w:next w:val="Normal"/>
    <w:link w:val="SubtitleChar"/>
    <w:rsid w:val="00A226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2265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A22658"/>
    <w:pPr>
      <w:spacing w:after="0"/>
      <w:ind w:left="220" w:hanging="220"/>
    </w:pPr>
  </w:style>
  <w:style w:type="paragraph" w:styleId="TableofFigures">
    <w:name w:val="table of figures"/>
    <w:basedOn w:val="Normal"/>
    <w:next w:val="Normal"/>
    <w:rsid w:val="00A22658"/>
    <w:pPr>
      <w:spacing w:after="0"/>
    </w:pPr>
  </w:style>
  <w:style w:type="paragraph" w:styleId="Title">
    <w:name w:val="Title"/>
    <w:basedOn w:val="Normal"/>
    <w:next w:val="Normal"/>
    <w:link w:val="TitleChar"/>
    <w:rsid w:val="00A226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22658"/>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A22658"/>
    <w:pPr>
      <w:spacing w:before="120"/>
    </w:pPr>
    <w:rPr>
      <w:rFonts w:asciiTheme="majorHAnsi" w:eastAsiaTheme="majorEastAsia" w:hAnsiTheme="majorHAnsi" w:cstheme="majorBidi"/>
      <w:b/>
      <w:bCs/>
      <w:sz w:val="24"/>
      <w:szCs w:val="24"/>
    </w:rPr>
  </w:style>
  <w:style w:type="character" w:customStyle="1" w:styleId="highlightedsentence">
    <w:name w:val="highlightedsentence"/>
    <w:basedOn w:val="DefaultParagraphFont"/>
    <w:rsid w:val="00E32486"/>
  </w:style>
  <w:style w:type="character" w:customStyle="1" w:styleId="sentencecolor3">
    <w:name w:val="sentencecolor3"/>
    <w:basedOn w:val="DefaultParagraphFont"/>
    <w:rsid w:val="00E32486"/>
  </w:style>
  <w:style w:type="character" w:styleId="FollowedHyperlink">
    <w:name w:val="FollowedHyperlink"/>
    <w:basedOn w:val="DefaultParagraphFont"/>
    <w:rsid w:val="00543D6E"/>
    <w:rPr>
      <w:color w:val="800080" w:themeColor="followedHyperlink"/>
      <w:u w:val="single"/>
    </w:rPr>
  </w:style>
  <w:style w:type="character" w:customStyle="1" w:styleId="b1">
    <w:name w:val="b1"/>
    <w:basedOn w:val="DefaultParagraphFont"/>
    <w:rsid w:val="00CA06DE"/>
    <w:rPr>
      <w:color w:val="000000"/>
    </w:rPr>
  </w:style>
  <w:style w:type="paragraph" w:customStyle="1" w:styleId="q">
    <w:name w:val="q"/>
    <w:basedOn w:val="Normal"/>
    <w:rsid w:val="00CA06DE"/>
    <w:pPr>
      <w:spacing w:before="100" w:beforeAutospacing="1" w:after="0" w:line="240" w:lineRule="auto"/>
      <w:ind w:left="480"/>
    </w:pPr>
    <w:rPr>
      <w:rFonts w:ascii="Times New Roman" w:eastAsia="Times New Roman" w:hAnsi="Times New Roman" w:cs="Times New Roman"/>
      <w:sz w:val="24"/>
      <w:szCs w:val="24"/>
      <w:lang w:val="es-ES" w:eastAsia="es-ES"/>
    </w:rPr>
  </w:style>
  <w:style w:type="character" w:customStyle="1" w:styleId="d1">
    <w:name w:val="d1"/>
    <w:basedOn w:val="DefaultParagraphFont"/>
    <w:rsid w:val="00CA06DE"/>
    <w:rPr>
      <w:color w:val="0000FF"/>
    </w:rPr>
  </w:style>
  <w:style w:type="character" w:customStyle="1" w:styleId="g1">
    <w:name w:val="g1"/>
    <w:basedOn w:val="DefaultParagraphFont"/>
    <w:rsid w:val="00CA06DE"/>
    <w:rPr>
      <w:color w:val="B3B3B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footnote reference" w:uiPriority="99"/>
    <w:lsdException w:name="annotation reference" w:uiPriority="99"/>
    <w:lsdException w:name="Hyperlink" w:uiPriority="99"/>
    <w:lsdException w:name="Strong" w:uiPriority="22" w:qFormat="1"/>
    <w:lsdException w:name="annotation subject" w:uiPriority="99"/>
    <w:lsdException w:name="No List" w:uiPriority="99"/>
    <w:lsdException w:name="Balloon Text" w:uiPriority="99"/>
    <w:lsdException w:name="Table Grid" w:uiPriority="59"/>
    <w:lsdException w:name="No Spacing" w:uiPriority="1" w:qFormat="1"/>
    <w:lsdException w:name="List Paragraph" w:uiPriority="34" w:qFormat="1"/>
    <w:lsdException w:name="Colorful List Accent 1"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55BD"/>
  </w:style>
  <w:style w:type="paragraph" w:styleId="Heading1">
    <w:name w:val="heading 1"/>
    <w:basedOn w:val="Normal"/>
    <w:next w:val="Normal"/>
    <w:link w:val="Heading1Char"/>
    <w:qFormat/>
    <w:rsid w:val="008E2952"/>
    <w:pPr>
      <w:keepNext/>
      <w:numPr>
        <w:numId w:val="1"/>
      </w:numPr>
      <w:spacing w:before="100" w:beforeAutospacing="1" w:after="120" w:line="240" w:lineRule="auto"/>
      <w:jc w:val="center"/>
      <w:outlineLvl w:val="0"/>
    </w:pPr>
    <w:rPr>
      <w:rFonts w:ascii="Times New Roman Bold" w:eastAsia="Times New Roman" w:hAnsi="Times New Roman Bold" w:cs="Arial"/>
      <w:b/>
      <w:bCs/>
      <w:kern w:val="32"/>
      <w:sz w:val="24"/>
      <w:szCs w:val="32"/>
    </w:rPr>
  </w:style>
  <w:style w:type="paragraph" w:styleId="Heading2">
    <w:name w:val="heading 2"/>
    <w:basedOn w:val="Heading1"/>
    <w:next w:val="Normal"/>
    <w:link w:val="Heading2Char"/>
    <w:qFormat/>
    <w:rsid w:val="008E2952"/>
    <w:pPr>
      <w:keepLines/>
      <w:numPr>
        <w:ilvl w:val="1"/>
      </w:numPr>
      <w:spacing w:after="0"/>
      <w:jc w:val="left"/>
      <w:outlineLvl w:val="1"/>
    </w:pPr>
    <w:rPr>
      <w:b w:val="0"/>
      <w:bCs w:val="0"/>
      <w:iCs/>
      <w:szCs w:val="28"/>
    </w:rPr>
  </w:style>
  <w:style w:type="paragraph" w:styleId="Heading3">
    <w:name w:val="heading 3"/>
    <w:basedOn w:val="Normal"/>
    <w:next w:val="Normal"/>
    <w:link w:val="Heading3Char"/>
    <w:qFormat/>
    <w:rsid w:val="001B12F4"/>
    <w:pPr>
      <w:keepNext/>
      <w:keepLines/>
      <w:spacing w:before="240" w:after="120" w:line="240" w:lineRule="auto"/>
      <w:ind w:left="547"/>
      <w:outlineLvl w:val="2"/>
    </w:pPr>
    <w:rPr>
      <w:rFonts w:ascii="Times New Roman Bold Italic" w:eastAsia="Times New Roman" w:hAnsi="Times New Roman Bold Italic" w:cs="Arial"/>
      <w:b/>
      <w:bCs/>
      <w:i/>
      <w:sz w:val="24"/>
      <w:szCs w:val="26"/>
    </w:rPr>
  </w:style>
  <w:style w:type="paragraph" w:styleId="Heading4">
    <w:name w:val="heading 4"/>
    <w:basedOn w:val="Normal"/>
    <w:next w:val="Normal"/>
    <w:link w:val="Heading4Char"/>
    <w:qFormat/>
    <w:rsid w:val="00EF4CAF"/>
    <w:pPr>
      <w:keepNext/>
      <w:keepLines/>
      <w:spacing w:before="120" w:after="240" w:line="240" w:lineRule="auto"/>
      <w:ind w:left="540"/>
      <w:outlineLvl w:val="3"/>
    </w:pPr>
    <w:rPr>
      <w:rFonts w:ascii="Times New Roman" w:eastAsia="Times New Roman" w:hAnsi="Times New Roman" w:cs="Times New Roman"/>
      <w:bCs/>
      <w:sz w:val="24"/>
      <w:szCs w:val="28"/>
      <w:u w:val="single"/>
    </w:rPr>
  </w:style>
  <w:style w:type="paragraph" w:styleId="Heading5">
    <w:name w:val="heading 5"/>
    <w:basedOn w:val="Normal"/>
    <w:next w:val="Normal"/>
    <w:link w:val="Heading5Char"/>
    <w:unhideWhenUsed/>
    <w:qFormat/>
    <w:rsid w:val="00FF7EE4"/>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FF7EE4"/>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FF7EE4"/>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FF7EE4"/>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F7EE4"/>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7596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E0AE5"/>
    <w:rPr>
      <w:rFonts w:ascii="Lucida Grande" w:hAnsi="Lucida Grande"/>
      <w:sz w:val="18"/>
      <w:szCs w:val="18"/>
    </w:rPr>
  </w:style>
  <w:style w:type="character" w:customStyle="1" w:styleId="BalloonTextChar4">
    <w:name w:val="Balloon Text Char4"/>
    <w:basedOn w:val="DefaultParagraphFont"/>
    <w:uiPriority w:val="99"/>
    <w:semiHidden/>
    <w:rsid w:val="00EE5A07"/>
    <w:rPr>
      <w:rFonts w:ascii="Lucida Grande" w:hAnsi="Lucida Grande"/>
      <w:sz w:val="18"/>
      <w:szCs w:val="18"/>
    </w:rPr>
  </w:style>
  <w:style w:type="character" w:customStyle="1" w:styleId="BalloonTextChar3">
    <w:name w:val="Balloon Text Char3"/>
    <w:basedOn w:val="DefaultParagraphFont"/>
    <w:uiPriority w:val="99"/>
    <w:semiHidden/>
    <w:rsid w:val="00EE5A07"/>
    <w:rPr>
      <w:rFonts w:ascii="Lucida Grande" w:hAnsi="Lucida Grande"/>
      <w:sz w:val="18"/>
      <w:szCs w:val="18"/>
    </w:rPr>
  </w:style>
  <w:style w:type="character" w:customStyle="1" w:styleId="BalloonTextChar2">
    <w:name w:val="Balloon Text Char2"/>
    <w:basedOn w:val="DefaultParagraphFont"/>
    <w:uiPriority w:val="99"/>
    <w:semiHidden/>
    <w:rsid w:val="006E12CB"/>
    <w:rPr>
      <w:rFonts w:ascii="Lucida Grande" w:hAnsi="Lucida Grande"/>
      <w:sz w:val="18"/>
      <w:szCs w:val="18"/>
    </w:rPr>
  </w:style>
  <w:style w:type="paragraph" w:styleId="NoSpacing">
    <w:name w:val="No Spacing"/>
    <w:link w:val="NoSpacingChar"/>
    <w:uiPriority w:val="1"/>
    <w:qFormat/>
    <w:rsid w:val="000F4826"/>
    <w:pPr>
      <w:spacing w:after="0" w:line="240" w:lineRule="auto"/>
    </w:pPr>
  </w:style>
  <w:style w:type="paragraph" w:styleId="ListParagraph">
    <w:name w:val="List Paragraph"/>
    <w:basedOn w:val="Normal"/>
    <w:link w:val="ListParagraphChar"/>
    <w:uiPriority w:val="34"/>
    <w:qFormat/>
    <w:rsid w:val="003D39E3"/>
    <w:pPr>
      <w:ind w:left="720"/>
      <w:contextualSpacing/>
    </w:pPr>
  </w:style>
  <w:style w:type="character" w:customStyle="1" w:styleId="Heading1Char">
    <w:name w:val="Heading 1 Char"/>
    <w:basedOn w:val="DefaultParagraphFont"/>
    <w:link w:val="Heading1"/>
    <w:rsid w:val="008E2952"/>
    <w:rPr>
      <w:rFonts w:ascii="Times New Roman Bold" w:eastAsia="Times New Roman" w:hAnsi="Times New Roman Bold" w:cs="Arial"/>
      <w:b/>
      <w:bCs/>
      <w:kern w:val="32"/>
      <w:sz w:val="24"/>
      <w:szCs w:val="32"/>
    </w:rPr>
  </w:style>
  <w:style w:type="character" w:customStyle="1" w:styleId="Heading2Char">
    <w:name w:val="Heading 2 Char"/>
    <w:basedOn w:val="DefaultParagraphFont"/>
    <w:link w:val="Heading2"/>
    <w:rsid w:val="008E2952"/>
    <w:rPr>
      <w:rFonts w:ascii="Times New Roman Bold" w:eastAsia="Times New Roman" w:hAnsi="Times New Roman Bold" w:cs="Arial"/>
      <w:iCs/>
      <w:kern w:val="32"/>
      <w:sz w:val="24"/>
      <w:szCs w:val="28"/>
    </w:rPr>
  </w:style>
  <w:style w:type="character" w:customStyle="1" w:styleId="Heading3Char">
    <w:name w:val="Heading 3 Char"/>
    <w:basedOn w:val="DefaultParagraphFont"/>
    <w:link w:val="Heading3"/>
    <w:rsid w:val="001B12F4"/>
    <w:rPr>
      <w:rFonts w:ascii="Times New Roman Bold Italic" w:eastAsia="Times New Roman" w:hAnsi="Times New Roman Bold Italic" w:cs="Arial"/>
      <w:b/>
      <w:bCs/>
      <w:i/>
      <w:sz w:val="24"/>
      <w:szCs w:val="26"/>
    </w:rPr>
  </w:style>
  <w:style w:type="character" w:customStyle="1" w:styleId="Heading4Char">
    <w:name w:val="Heading 4 Char"/>
    <w:basedOn w:val="DefaultParagraphFont"/>
    <w:link w:val="Heading4"/>
    <w:rsid w:val="00EF4CAF"/>
    <w:rPr>
      <w:rFonts w:ascii="Times New Roman" w:eastAsia="Times New Roman" w:hAnsi="Times New Roman" w:cs="Times New Roman"/>
      <w:bCs/>
      <w:sz w:val="24"/>
      <w:szCs w:val="28"/>
      <w:u w:val="single"/>
    </w:rPr>
  </w:style>
  <w:style w:type="character" w:customStyle="1" w:styleId="Heading5Char">
    <w:name w:val="Heading 5 Char"/>
    <w:basedOn w:val="DefaultParagraphFont"/>
    <w:link w:val="Heading5"/>
    <w:semiHidden/>
    <w:rsid w:val="00FF7E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FF7EE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FF7EE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FF7EE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F7EE4"/>
    <w:rPr>
      <w:rFonts w:asciiTheme="majorHAnsi" w:eastAsiaTheme="majorEastAsia" w:hAnsiTheme="majorHAnsi" w:cstheme="majorBidi"/>
      <w:i/>
      <w:iCs/>
      <w:color w:val="404040" w:themeColor="text1" w:themeTint="BF"/>
      <w:sz w:val="20"/>
      <w:szCs w:val="20"/>
    </w:rPr>
  </w:style>
  <w:style w:type="character" w:customStyle="1" w:styleId="NoSpacingChar">
    <w:name w:val="No Spacing Char"/>
    <w:basedOn w:val="DefaultParagraphFont"/>
    <w:link w:val="NoSpacing"/>
    <w:uiPriority w:val="1"/>
    <w:rsid w:val="00FF7EE4"/>
  </w:style>
  <w:style w:type="paragraph" w:styleId="FootnoteText">
    <w:name w:val="footnote text"/>
    <w:aliases w:val="single space,footnote text,fn,FOOTNOTES,ft,Footnote Text Char1 Char,ALTS FOOTNOTE,ADB,Footnote Text Char1,Footnote Text Char Char,Footnote Text Char2 Char,Footnote Text Char1 Char Char,Footnote Text Char2 Char Char Char,f,Footnote ak,fn1"/>
    <w:basedOn w:val="Normal"/>
    <w:link w:val="FootnoteTextChar"/>
    <w:uiPriority w:val="99"/>
    <w:unhideWhenUsed/>
    <w:qFormat/>
    <w:rsid w:val="008741D9"/>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t Char,Footnote Text Char1 Char Char1,ALTS FOOTNOTE Char,ADB Char,Footnote Text Char1 Char1,Footnote Text Char Char Char,Footnote Text Char2 Char Char,f Char,fn1 Char"/>
    <w:basedOn w:val="DefaultParagraphFont"/>
    <w:link w:val="FootnoteText"/>
    <w:uiPriority w:val="99"/>
    <w:rsid w:val="008741D9"/>
    <w:rPr>
      <w:rFonts w:ascii="Times New Roman" w:hAnsi="Times New Roman"/>
      <w:sz w:val="20"/>
      <w:szCs w:val="20"/>
    </w:rPr>
  </w:style>
  <w:style w:type="character" w:styleId="Hyperlink">
    <w:name w:val="Hyperlink"/>
    <w:basedOn w:val="DefaultParagraphFont"/>
    <w:uiPriority w:val="99"/>
    <w:unhideWhenUsed/>
    <w:rsid w:val="008741D9"/>
    <w:rPr>
      <w:color w:val="0000FF" w:themeColor="hyperlink"/>
      <w:u w:val="single"/>
    </w:rPr>
  </w:style>
  <w:style w:type="paragraph" w:styleId="Header">
    <w:name w:val="header"/>
    <w:basedOn w:val="Normal"/>
    <w:link w:val="HeaderChar"/>
    <w:uiPriority w:val="99"/>
    <w:unhideWhenUsed/>
    <w:rsid w:val="00A75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96D"/>
  </w:style>
  <w:style w:type="paragraph" w:styleId="Footer">
    <w:name w:val="footer"/>
    <w:basedOn w:val="Normal"/>
    <w:link w:val="FooterChar"/>
    <w:uiPriority w:val="99"/>
    <w:unhideWhenUsed/>
    <w:rsid w:val="00A75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96D"/>
  </w:style>
  <w:style w:type="paragraph" w:styleId="TOCHeading">
    <w:name w:val="TOC Heading"/>
    <w:basedOn w:val="Heading1"/>
    <w:next w:val="Normal"/>
    <w:uiPriority w:val="39"/>
    <w:unhideWhenUsed/>
    <w:qFormat/>
    <w:rsid w:val="00A7596D"/>
    <w:pPr>
      <w:keepLines/>
      <w:numPr>
        <w:numId w:val="0"/>
      </w:numPr>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A7596D"/>
    <w:pPr>
      <w:spacing w:before="120" w:after="0"/>
      <w:ind w:left="220"/>
    </w:pPr>
    <w:rPr>
      <w:i/>
      <w:iCs/>
      <w:sz w:val="20"/>
      <w:szCs w:val="20"/>
    </w:rPr>
  </w:style>
  <w:style w:type="paragraph" w:styleId="TOC1">
    <w:name w:val="toc 1"/>
    <w:basedOn w:val="Normal"/>
    <w:next w:val="Normal"/>
    <w:autoRedefine/>
    <w:uiPriority w:val="39"/>
    <w:unhideWhenUsed/>
    <w:qFormat/>
    <w:rsid w:val="00C860F8"/>
    <w:pPr>
      <w:tabs>
        <w:tab w:val="right" w:leader="dot" w:pos="9350"/>
      </w:tabs>
      <w:spacing w:before="240" w:after="120"/>
    </w:pPr>
    <w:rPr>
      <w:rFonts w:ascii="Times New Roman" w:hAnsi="Times New Roman"/>
      <w:b/>
      <w:bCs/>
      <w:noProof/>
      <w:sz w:val="24"/>
      <w:szCs w:val="20"/>
      <w:lang w:val="es-ES_tradnl"/>
    </w:rPr>
  </w:style>
  <w:style w:type="paragraph" w:styleId="TOC3">
    <w:name w:val="toc 3"/>
    <w:basedOn w:val="Normal"/>
    <w:next w:val="Normal"/>
    <w:autoRedefine/>
    <w:uiPriority w:val="39"/>
    <w:unhideWhenUsed/>
    <w:qFormat/>
    <w:rsid w:val="00A7596D"/>
    <w:pPr>
      <w:spacing w:after="0"/>
      <w:ind w:left="440"/>
    </w:pPr>
    <w:rPr>
      <w:sz w:val="20"/>
      <w:szCs w:val="20"/>
    </w:rPr>
  </w:style>
  <w:style w:type="character" w:customStyle="1" w:styleId="BalloonTextChar1">
    <w:name w:val="Balloon Text Char1"/>
    <w:basedOn w:val="DefaultParagraphFont"/>
    <w:link w:val="BalloonText"/>
    <w:uiPriority w:val="99"/>
    <w:semiHidden/>
    <w:rsid w:val="00A7596D"/>
    <w:rPr>
      <w:rFonts w:ascii="Tahoma" w:hAnsi="Tahoma" w:cs="Tahoma"/>
      <w:sz w:val="16"/>
      <w:szCs w:val="16"/>
    </w:rPr>
  </w:style>
  <w:style w:type="character" w:styleId="CommentReference">
    <w:name w:val="annotation reference"/>
    <w:basedOn w:val="DefaultParagraphFont"/>
    <w:uiPriority w:val="99"/>
    <w:semiHidden/>
    <w:unhideWhenUsed/>
    <w:rsid w:val="00FA7839"/>
    <w:rPr>
      <w:sz w:val="16"/>
      <w:szCs w:val="16"/>
    </w:rPr>
  </w:style>
  <w:style w:type="paragraph" w:styleId="CommentText">
    <w:name w:val="annotation text"/>
    <w:basedOn w:val="Normal"/>
    <w:link w:val="CommentTextChar"/>
    <w:uiPriority w:val="99"/>
    <w:semiHidden/>
    <w:unhideWhenUsed/>
    <w:rsid w:val="00FA7839"/>
    <w:pPr>
      <w:spacing w:line="240" w:lineRule="auto"/>
    </w:pPr>
    <w:rPr>
      <w:sz w:val="20"/>
      <w:szCs w:val="20"/>
    </w:rPr>
  </w:style>
  <w:style w:type="character" w:customStyle="1" w:styleId="CommentTextChar">
    <w:name w:val="Comment Text Char"/>
    <w:basedOn w:val="DefaultParagraphFont"/>
    <w:link w:val="CommentText"/>
    <w:uiPriority w:val="99"/>
    <w:semiHidden/>
    <w:rsid w:val="00FA7839"/>
    <w:rPr>
      <w:sz w:val="20"/>
      <w:szCs w:val="20"/>
    </w:rPr>
  </w:style>
  <w:style w:type="paragraph" w:styleId="CommentSubject">
    <w:name w:val="annotation subject"/>
    <w:basedOn w:val="CommentText"/>
    <w:next w:val="CommentText"/>
    <w:link w:val="CommentSubjectChar"/>
    <w:uiPriority w:val="99"/>
    <w:semiHidden/>
    <w:unhideWhenUsed/>
    <w:rsid w:val="00FA7839"/>
    <w:rPr>
      <w:b/>
      <w:bCs/>
    </w:rPr>
  </w:style>
  <w:style w:type="character" w:customStyle="1" w:styleId="CommentSubjectChar">
    <w:name w:val="Comment Subject Char"/>
    <w:basedOn w:val="CommentTextChar"/>
    <w:link w:val="CommentSubject"/>
    <w:uiPriority w:val="99"/>
    <w:semiHidden/>
    <w:rsid w:val="00FA7839"/>
    <w:rPr>
      <w:b/>
      <w:bCs/>
      <w:sz w:val="20"/>
      <w:szCs w:val="20"/>
    </w:rPr>
  </w:style>
  <w:style w:type="table" w:styleId="TableGrid">
    <w:name w:val="Table Grid"/>
    <w:basedOn w:val="TableNormal"/>
    <w:uiPriority w:val="59"/>
    <w:rsid w:val="00562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CB399F"/>
  </w:style>
  <w:style w:type="paragraph" w:customStyle="1" w:styleId="Tableheading">
    <w:name w:val="Table heading"/>
    <w:basedOn w:val="Normal"/>
    <w:qFormat/>
    <w:rsid w:val="00CB399F"/>
    <w:pPr>
      <w:spacing w:before="40" w:after="40" w:line="240" w:lineRule="auto"/>
      <w:jc w:val="center"/>
    </w:pPr>
    <w:rPr>
      <w:rFonts w:ascii="Times New Roman" w:hAnsi="Times New Roman" w:cs="Times New Roman"/>
      <w:b/>
      <w:i/>
      <w:sz w:val="20"/>
      <w:szCs w:val="20"/>
    </w:rPr>
  </w:style>
  <w:style w:type="paragraph" w:customStyle="1" w:styleId="Attachmenttitle">
    <w:name w:val="Attachment title"/>
    <w:basedOn w:val="Normal"/>
    <w:qFormat/>
    <w:rsid w:val="00CB399F"/>
    <w:pPr>
      <w:spacing w:after="240" w:line="240" w:lineRule="auto"/>
    </w:pPr>
    <w:rPr>
      <w:rFonts w:ascii="Times New Roman" w:eastAsia="Times New Roman" w:hAnsi="Times New Roman" w:cs="Times New Roman"/>
      <w:b/>
      <w:spacing w:val="4"/>
      <w:sz w:val="24"/>
      <w:szCs w:val="24"/>
    </w:rPr>
  </w:style>
  <w:style w:type="paragraph" w:customStyle="1" w:styleId="MainParanoChapter">
    <w:name w:val="Main Para no Chapter #"/>
    <w:basedOn w:val="Normal"/>
    <w:rsid w:val="002F4FFB"/>
    <w:pPr>
      <w:numPr>
        <w:numId w:val="4"/>
      </w:numPr>
      <w:spacing w:after="240" w:line="240" w:lineRule="auto"/>
      <w:jc w:val="both"/>
    </w:pPr>
    <w:rPr>
      <w:rFonts w:ascii="Times New Roman" w:eastAsia="Times New Roman" w:hAnsi="Times New Roman" w:cs="Times New Roman"/>
      <w:sz w:val="24"/>
      <w:szCs w:val="24"/>
    </w:rPr>
  </w:style>
  <w:style w:type="paragraph" w:customStyle="1" w:styleId="PDSAnnexHeading">
    <w:name w:val="PDS Annex Heading"/>
    <w:next w:val="Normal"/>
    <w:rsid w:val="001A31D9"/>
    <w:pPr>
      <w:keepNext/>
      <w:spacing w:after="120" w:line="240" w:lineRule="auto"/>
      <w:jc w:val="center"/>
    </w:pPr>
    <w:rPr>
      <w:rFonts w:ascii="Times New Roman" w:eastAsia="Times New Roman" w:hAnsi="Times New Roman" w:cs="Times New Roman"/>
      <w:b/>
      <w:sz w:val="24"/>
      <w:szCs w:val="20"/>
    </w:rPr>
  </w:style>
  <w:style w:type="paragraph" w:styleId="TOC4">
    <w:name w:val="toc 4"/>
    <w:basedOn w:val="Normal"/>
    <w:next w:val="Normal"/>
    <w:autoRedefine/>
    <w:uiPriority w:val="39"/>
    <w:unhideWhenUsed/>
    <w:rsid w:val="00DD5AF2"/>
    <w:pPr>
      <w:spacing w:after="0"/>
      <w:ind w:left="660"/>
    </w:pPr>
    <w:rPr>
      <w:sz w:val="20"/>
      <w:szCs w:val="20"/>
    </w:rPr>
  </w:style>
  <w:style w:type="paragraph" w:styleId="TOC5">
    <w:name w:val="toc 5"/>
    <w:basedOn w:val="Normal"/>
    <w:next w:val="Normal"/>
    <w:autoRedefine/>
    <w:uiPriority w:val="39"/>
    <w:unhideWhenUsed/>
    <w:rsid w:val="00DD5AF2"/>
    <w:pPr>
      <w:spacing w:after="0"/>
      <w:ind w:left="880"/>
    </w:pPr>
    <w:rPr>
      <w:sz w:val="20"/>
      <w:szCs w:val="20"/>
    </w:rPr>
  </w:style>
  <w:style w:type="paragraph" w:styleId="TOC6">
    <w:name w:val="toc 6"/>
    <w:basedOn w:val="Normal"/>
    <w:next w:val="Normal"/>
    <w:autoRedefine/>
    <w:uiPriority w:val="39"/>
    <w:unhideWhenUsed/>
    <w:rsid w:val="00DD5AF2"/>
    <w:pPr>
      <w:spacing w:after="0"/>
      <w:ind w:left="1100"/>
    </w:pPr>
    <w:rPr>
      <w:sz w:val="20"/>
      <w:szCs w:val="20"/>
    </w:rPr>
  </w:style>
  <w:style w:type="paragraph" w:styleId="TOC7">
    <w:name w:val="toc 7"/>
    <w:basedOn w:val="Normal"/>
    <w:next w:val="Normal"/>
    <w:autoRedefine/>
    <w:uiPriority w:val="39"/>
    <w:unhideWhenUsed/>
    <w:rsid w:val="00DD5AF2"/>
    <w:pPr>
      <w:spacing w:after="0"/>
      <w:ind w:left="1320"/>
    </w:pPr>
    <w:rPr>
      <w:sz w:val="20"/>
      <w:szCs w:val="20"/>
    </w:rPr>
  </w:style>
  <w:style w:type="paragraph" w:styleId="TOC8">
    <w:name w:val="toc 8"/>
    <w:basedOn w:val="Normal"/>
    <w:next w:val="Normal"/>
    <w:autoRedefine/>
    <w:uiPriority w:val="39"/>
    <w:unhideWhenUsed/>
    <w:rsid w:val="00DD5AF2"/>
    <w:pPr>
      <w:spacing w:after="0"/>
      <w:ind w:left="1540"/>
    </w:pPr>
    <w:rPr>
      <w:sz w:val="20"/>
      <w:szCs w:val="20"/>
    </w:rPr>
  </w:style>
  <w:style w:type="paragraph" w:styleId="TOC9">
    <w:name w:val="toc 9"/>
    <w:basedOn w:val="Normal"/>
    <w:next w:val="Normal"/>
    <w:autoRedefine/>
    <w:uiPriority w:val="39"/>
    <w:unhideWhenUsed/>
    <w:rsid w:val="00DD5AF2"/>
    <w:pPr>
      <w:spacing w:after="0"/>
      <w:ind w:left="1760"/>
    </w:pPr>
    <w:rPr>
      <w:sz w:val="20"/>
      <w:szCs w:val="20"/>
    </w:rPr>
  </w:style>
  <w:style w:type="character" w:styleId="FootnoteReference">
    <w:name w:val="footnote reference"/>
    <w:aliases w:val="ftref,Ref,de nota al pie,16 Point,Superscript 6 Point,BVI fnr,Char Char Char Char Car Char,Footnote Reference Number,Footnote, BVI fnr,Footnote Reference_LVL6,Footnote Reference_LVL61,Footnote Reference_LVL62,Footnote Reference_LVL63"/>
    <w:basedOn w:val="DefaultParagraphFont"/>
    <w:uiPriority w:val="99"/>
    <w:unhideWhenUsed/>
    <w:rsid w:val="00047E9D"/>
    <w:rPr>
      <w:vertAlign w:val="superscript"/>
    </w:rPr>
  </w:style>
  <w:style w:type="paragraph" w:customStyle="1" w:styleId="MainPara">
    <w:name w:val="Main Para"/>
    <w:basedOn w:val="NoSpacing"/>
    <w:qFormat/>
    <w:rsid w:val="00625FD2"/>
    <w:pPr>
      <w:numPr>
        <w:numId w:val="5"/>
      </w:numPr>
      <w:tabs>
        <w:tab w:val="left" w:pos="360"/>
      </w:tabs>
      <w:spacing w:before="120" w:after="120"/>
      <w:ind w:left="0" w:firstLine="0"/>
      <w:jc w:val="both"/>
    </w:pPr>
    <w:rPr>
      <w:rFonts w:ascii="Times New Roman" w:hAnsi="Times New Roman" w:cs="Times New Roman"/>
      <w:sz w:val="24"/>
      <w:szCs w:val="24"/>
    </w:rPr>
  </w:style>
  <w:style w:type="paragraph" w:customStyle="1" w:styleId="Annexmain">
    <w:name w:val="Annex main"/>
    <w:basedOn w:val="Normal"/>
    <w:qFormat/>
    <w:rsid w:val="0039661E"/>
    <w:pPr>
      <w:numPr>
        <w:numId w:val="19"/>
      </w:numPr>
      <w:spacing w:before="120" w:after="0" w:line="240" w:lineRule="auto"/>
      <w:jc w:val="both"/>
    </w:pPr>
    <w:rPr>
      <w:rFonts w:ascii="Times New Roman" w:hAnsi="Times New Roman" w:cs="Times New Roman"/>
      <w:sz w:val="24"/>
      <w:szCs w:val="24"/>
    </w:rPr>
  </w:style>
  <w:style w:type="table" w:styleId="ColorfulList-Accent1">
    <w:name w:val="Colorful List Accent 1"/>
    <w:basedOn w:val="TableNormal"/>
    <w:uiPriority w:val="72"/>
    <w:rsid w:val="003D6DF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uiPriority w:val="22"/>
    <w:qFormat/>
    <w:rsid w:val="00AB7BC8"/>
    <w:rPr>
      <w:b/>
      <w:bCs/>
    </w:rPr>
  </w:style>
  <w:style w:type="paragraph" w:customStyle="1" w:styleId="Bullet-alpha">
    <w:name w:val="Bullet-alpha"/>
    <w:basedOn w:val="Normal"/>
    <w:rsid w:val="00282287"/>
    <w:pPr>
      <w:numPr>
        <w:numId w:val="10"/>
      </w:numPr>
      <w:tabs>
        <w:tab w:val="clear" w:pos="720"/>
      </w:tabs>
      <w:spacing w:after="0"/>
      <w:ind w:left="1800" w:hanging="360"/>
      <w:jc w:val="both"/>
    </w:pPr>
    <w:rPr>
      <w:rFonts w:ascii="Times New Roman" w:eastAsia="Times New Roman" w:hAnsi="Times New Roman" w:cs="Times New Roman"/>
      <w:sz w:val="24"/>
      <w:szCs w:val="24"/>
    </w:rPr>
  </w:style>
  <w:style w:type="paragraph" w:styleId="Revision">
    <w:name w:val="Revision"/>
    <w:hidden/>
    <w:rsid w:val="007C52D5"/>
    <w:pPr>
      <w:spacing w:after="0" w:line="240" w:lineRule="auto"/>
    </w:pPr>
  </w:style>
  <w:style w:type="paragraph" w:customStyle="1" w:styleId="Bullet">
    <w:name w:val="Bullet"/>
    <w:basedOn w:val="ListParagraph"/>
    <w:qFormat/>
    <w:rsid w:val="00625FB3"/>
    <w:pPr>
      <w:numPr>
        <w:numId w:val="16"/>
      </w:numPr>
      <w:spacing w:before="120" w:after="0" w:line="240" w:lineRule="auto"/>
      <w:jc w:val="both"/>
    </w:pPr>
    <w:rPr>
      <w:rFonts w:ascii="Times New Roman" w:hAnsi="Times New Roman" w:cs="Times New Roman"/>
      <w:sz w:val="24"/>
      <w:szCs w:val="24"/>
    </w:rPr>
  </w:style>
  <w:style w:type="paragraph" w:styleId="BodyTextIndent">
    <w:name w:val="Body Text Indent"/>
    <w:basedOn w:val="Normal"/>
    <w:link w:val="BodyTextIndentChar"/>
    <w:rsid w:val="002A3A7C"/>
    <w:pPr>
      <w:spacing w:after="120"/>
      <w:ind w:left="360"/>
    </w:pPr>
  </w:style>
  <w:style w:type="character" w:customStyle="1" w:styleId="BodyTextIndentChar">
    <w:name w:val="Body Text Indent Char"/>
    <w:basedOn w:val="DefaultParagraphFont"/>
    <w:link w:val="BodyTextIndent"/>
    <w:rsid w:val="002A3A7C"/>
  </w:style>
  <w:style w:type="paragraph" w:styleId="BodyTextFirstIndent2">
    <w:name w:val="Body Text First Indent 2"/>
    <w:basedOn w:val="BodyTextIndent"/>
    <w:link w:val="BodyTextFirstIndent2Char"/>
    <w:rsid w:val="002A3A7C"/>
    <w:pPr>
      <w:spacing w:after="200"/>
      <w:ind w:firstLine="360"/>
    </w:pPr>
  </w:style>
  <w:style w:type="character" w:customStyle="1" w:styleId="BodyTextFirstIndent2Char">
    <w:name w:val="Body Text First Indent 2 Char"/>
    <w:basedOn w:val="BodyTextIndentChar"/>
    <w:link w:val="BodyTextFirstIndent2"/>
    <w:rsid w:val="002A3A7C"/>
  </w:style>
  <w:style w:type="character" w:styleId="PlaceholderText">
    <w:name w:val="Placeholder Text"/>
    <w:basedOn w:val="DefaultParagraphFont"/>
    <w:rsid w:val="004C7080"/>
    <w:rPr>
      <w:color w:val="808080"/>
    </w:rPr>
  </w:style>
  <w:style w:type="paragraph" w:customStyle="1" w:styleId="1FarhadBIMPSParagraphStyle">
    <w:name w:val="1. Farhad BIMPS Paragraph Style"/>
    <w:basedOn w:val="Normal"/>
    <w:next w:val="Normal"/>
    <w:link w:val="1FarhadBIMPSParagraphStyleChar"/>
    <w:rsid w:val="003C52E2"/>
    <w:pPr>
      <w:numPr>
        <w:numId w:val="14"/>
      </w:numPr>
      <w:tabs>
        <w:tab w:val="left" w:pos="540"/>
      </w:tabs>
      <w:spacing w:before="120" w:after="120" w:line="240" w:lineRule="auto"/>
      <w:jc w:val="both"/>
    </w:pPr>
    <w:rPr>
      <w:rFonts w:ascii="Times New Roman" w:eastAsia="Calibri" w:hAnsi="Times New Roman" w:cs="Times New Roman"/>
    </w:rPr>
  </w:style>
  <w:style w:type="character" w:customStyle="1" w:styleId="1FarhadBIMPSParagraphStyleChar">
    <w:name w:val="1. Farhad BIMPS Paragraph Style Char"/>
    <w:basedOn w:val="DefaultParagraphFont"/>
    <w:link w:val="1FarhadBIMPSParagraphStyle"/>
    <w:rsid w:val="003C52E2"/>
    <w:rPr>
      <w:rFonts w:ascii="Times New Roman" w:eastAsia="Calibri" w:hAnsi="Times New Roman" w:cs="Times New Roman"/>
    </w:rPr>
  </w:style>
  <w:style w:type="character" w:styleId="PageNumber">
    <w:name w:val="page number"/>
    <w:basedOn w:val="DefaultParagraphFont"/>
    <w:rsid w:val="00BA61B1"/>
  </w:style>
  <w:style w:type="paragraph" w:styleId="Bibliography">
    <w:name w:val="Bibliography"/>
    <w:basedOn w:val="Normal"/>
    <w:next w:val="Normal"/>
    <w:uiPriority w:val="37"/>
    <w:semiHidden/>
    <w:unhideWhenUsed/>
    <w:rsid w:val="00A22658"/>
  </w:style>
  <w:style w:type="paragraph" w:styleId="BlockText">
    <w:name w:val="Block Text"/>
    <w:basedOn w:val="Normal"/>
    <w:rsid w:val="00A2265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
    <w:name w:val="Body Text"/>
    <w:basedOn w:val="Normal"/>
    <w:link w:val="BodyTextChar"/>
    <w:rsid w:val="00A22658"/>
    <w:pPr>
      <w:spacing w:after="120"/>
    </w:pPr>
  </w:style>
  <w:style w:type="character" w:customStyle="1" w:styleId="BodyTextChar">
    <w:name w:val="Body Text Char"/>
    <w:basedOn w:val="DefaultParagraphFont"/>
    <w:link w:val="BodyText"/>
    <w:rsid w:val="00A22658"/>
  </w:style>
  <w:style w:type="paragraph" w:styleId="BodyText2">
    <w:name w:val="Body Text 2"/>
    <w:basedOn w:val="Normal"/>
    <w:link w:val="BodyText2Char"/>
    <w:rsid w:val="00A22658"/>
    <w:pPr>
      <w:spacing w:after="120" w:line="480" w:lineRule="auto"/>
    </w:pPr>
  </w:style>
  <w:style w:type="character" w:customStyle="1" w:styleId="BodyText2Char">
    <w:name w:val="Body Text 2 Char"/>
    <w:basedOn w:val="DefaultParagraphFont"/>
    <w:link w:val="BodyText2"/>
    <w:rsid w:val="00A22658"/>
  </w:style>
  <w:style w:type="paragraph" w:styleId="BodyText3">
    <w:name w:val="Body Text 3"/>
    <w:basedOn w:val="Normal"/>
    <w:link w:val="BodyText3Char"/>
    <w:rsid w:val="00A22658"/>
    <w:pPr>
      <w:spacing w:after="120"/>
    </w:pPr>
    <w:rPr>
      <w:sz w:val="16"/>
      <w:szCs w:val="16"/>
    </w:rPr>
  </w:style>
  <w:style w:type="character" w:customStyle="1" w:styleId="BodyText3Char">
    <w:name w:val="Body Text 3 Char"/>
    <w:basedOn w:val="DefaultParagraphFont"/>
    <w:link w:val="BodyText3"/>
    <w:rsid w:val="00A22658"/>
    <w:rPr>
      <w:sz w:val="16"/>
      <w:szCs w:val="16"/>
    </w:rPr>
  </w:style>
  <w:style w:type="paragraph" w:styleId="BodyTextFirstIndent">
    <w:name w:val="Body Text First Indent"/>
    <w:basedOn w:val="BodyText"/>
    <w:link w:val="BodyTextFirstIndentChar"/>
    <w:rsid w:val="00A22658"/>
    <w:pPr>
      <w:spacing w:after="200"/>
      <w:ind w:firstLine="360"/>
    </w:pPr>
  </w:style>
  <w:style w:type="character" w:customStyle="1" w:styleId="BodyTextFirstIndentChar">
    <w:name w:val="Body Text First Indent Char"/>
    <w:basedOn w:val="BodyTextChar"/>
    <w:link w:val="BodyTextFirstIndent"/>
    <w:rsid w:val="00A22658"/>
  </w:style>
  <w:style w:type="paragraph" w:styleId="BodyTextIndent2">
    <w:name w:val="Body Text Indent 2"/>
    <w:basedOn w:val="Normal"/>
    <w:link w:val="BodyTextIndent2Char"/>
    <w:rsid w:val="00A22658"/>
    <w:pPr>
      <w:spacing w:after="120" w:line="480" w:lineRule="auto"/>
      <w:ind w:left="360"/>
    </w:pPr>
  </w:style>
  <w:style w:type="character" w:customStyle="1" w:styleId="BodyTextIndent2Char">
    <w:name w:val="Body Text Indent 2 Char"/>
    <w:basedOn w:val="DefaultParagraphFont"/>
    <w:link w:val="BodyTextIndent2"/>
    <w:rsid w:val="00A22658"/>
  </w:style>
  <w:style w:type="paragraph" w:styleId="BodyTextIndent3">
    <w:name w:val="Body Text Indent 3"/>
    <w:basedOn w:val="Normal"/>
    <w:link w:val="BodyTextIndent3Char"/>
    <w:rsid w:val="00A22658"/>
    <w:pPr>
      <w:spacing w:after="120"/>
      <w:ind w:left="360"/>
    </w:pPr>
    <w:rPr>
      <w:sz w:val="16"/>
      <w:szCs w:val="16"/>
    </w:rPr>
  </w:style>
  <w:style w:type="character" w:customStyle="1" w:styleId="BodyTextIndent3Char">
    <w:name w:val="Body Text Indent 3 Char"/>
    <w:basedOn w:val="DefaultParagraphFont"/>
    <w:link w:val="BodyTextIndent3"/>
    <w:rsid w:val="00A22658"/>
    <w:rPr>
      <w:sz w:val="16"/>
      <w:szCs w:val="16"/>
    </w:rPr>
  </w:style>
  <w:style w:type="paragraph" w:styleId="Caption">
    <w:name w:val="caption"/>
    <w:basedOn w:val="Normal"/>
    <w:next w:val="Normal"/>
    <w:rsid w:val="00A22658"/>
    <w:pPr>
      <w:spacing w:line="240" w:lineRule="auto"/>
    </w:pPr>
    <w:rPr>
      <w:b/>
      <w:bCs/>
      <w:color w:val="4F81BD" w:themeColor="accent1"/>
      <w:sz w:val="18"/>
      <w:szCs w:val="18"/>
    </w:rPr>
  </w:style>
  <w:style w:type="paragraph" w:styleId="Closing">
    <w:name w:val="Closing"/>
    <w:basedOn w:val="Normal"/>
    <w:link w:val="ClosingChar"/>
    <w:rsid w:val="00A22658"/>
    <w:pPr>
      <w:spacing w:after="0" w:line="240" w:lineRule="auto"/>
      <w:ind w:left="4320"/>
    </w:pPr>
  </w:style>
  <w:style w:type="character" w:customStyle="1" w:styleId="ClosingChar">
    <w:name w:val="Closing Char"/>
    <w:basedOn w:val="DefaultParagraphFont"/>
    <w:link w:val="Closing"/>
    <w:rsid w:val="00A22658"/>
  </w:style>
  <w:style w:type="paragraph" w:styleId="Date">
    <w:name w:val="Date"/>
    <w:basedOn w:val="Normal"/>
    <w:next w:val="Normal"/>
    <w:link w:val="DateChar"/>
    <w:rsid w:val="00A22658"/>
  </w:style>
  <w:style w:type="character" w:customStyle="1" w:styleId="DateChar">
    <w:name w:val="Date Char"/>
    <w:basedOn w:val="DefaultParagraphFont"/>
    <w:link w:val="Date"/>
    <w:rsid w:val="00A22658"/>
  </w:style>
  <w:style w:type="paragraph" w:styleId="DocumentMap">
    <w:name w:val="Document Map"/>
    <w:basedOn w:val="Normal"/>
    <w:link w:val="DocumentMapChar"/>
    <w:rsid w:val="00A2265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A22658"/>
    <w:rPr>
      <w:rFonts w:ascii="Tahoma" w:hAnsi="Tahoma" w:cs="Tahoma"/>
      <w:sz w:val="16"/>
      <w:szCs w:val="16"/>
    </w:rPr>
  </w:style>
  <w:style w:type="paragraph" w:styleId="E-mailSignature">
    <w:name w:val="E-mail Signature"/>
    <w:basedOn w:val="Normal"/>
    <w:link w:val="E-mailSignatureChar"/>
    <w:rsid w:val="00A22658"/>
    <w:pPr>
      <w:spacing w:after="0" w:line="240" w:lineRule="auto"/>
    </w:pPr>
  </w:style>
  <w:style w:type="character" w:customStyle="1" w:styleId="E-mailSignatureChar">
    <w:name w:val="E-mail Signature Char"/>
    <w:basedOn w:val="DefaultParagraphFont"/>
    <w:link w:val="E-mailSignature"/>
    <w:rsid w:val="00A22658"/>
  </w:style>
  <w:style w:type="paragraph" w:styleId="EndnoteText">
    <w:name w:val="endnote text"/>
    <w:basedOn w:val="Normal"/>
    <w:link w:val="EndnoteTextChar"/>
    <w:rsid w:val="00A22658"/>
    <w:pPr>
      <w:spacing w:after="0" w:line="240" w:lineRule="auto"/>
    </w:pPr>
    <w:rPr>
      <w:sz w:val="20"/>
      <w:szCs w:val="20"/>
    </w:rPr>
  </w:style>
  <w:style w:type="character" w:customStyle="1" w:styleId="EndnoteTextChar">
    <w:name w:val="Endnote Text Char"/>
    <w:basedOn w:val="DefaultParagraphFont"/>
    <w:link w:val="EndnoteText"/>
    <w:rsid w:val="00A22658"/>
    <w:rPr>
      <w:sz w:val="20"/>
      <w:szCs w:val="20"/>
    </w:rPr>
  </w:style>
  <w:style w:type="paragraph" w:styleId="EnvelopeAddress">
    <w:name w:val="envelope address"/>
    <w:basedOn w:val="Normal"/>
    <w:rsid w:val="00A2265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A2265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rsid w:val="00A22658"/>
    <w:pPr>
      <w:spacing w:after="0" w:line="240" w:lineRule="auto"/>
    </w:pPr>
    <w:rPr>
      <w:i/>
      <w:iCs/>
    </w:rPr>
  </w:style>
  <w:style w:type="character" w:customStyle="1" w:styleId="HTMLAddressChar">
    <w:name w:val="HTML Address Char"/>
    <w:basedOn w:val="DefaultParagraphFont"/>
    <w:link w:val="HTMLAddress"/>
    <w:rsid w:val="00A22658"/>
    <w:rPr>
      <w:i/>
      <w:iCs/>
    </w:rPr>
  </w:style>
  <w:style w:type="paragraph" w:styleId="HTMLPreformatted">
    <w:name w:val="HTML Preformatted"/>
    <w:basedOn w:val="Normal"/>
    <w:link w:val="HTMLPreformattedChar"/>
    <w:rsid w:val="00A2265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A22658"/>
    <w:rPr>
      <w:rFonts w:ascii="Consolas" w:hAnsi="Consolas"/>
      <w:sz w:val="20"/>
      <w:szCs w:val="20"/>
    </w:rPr>
  </w:style>
  <w:style w:type="paragraph" w:styleId="Index1">
    <w:name w:val="index 1"/>
    <w:basedOn w:val="Normal"/>
    <w:next w:val="Normal"/>
    <w:autoRedefine/>
    <w:rsid w:val="00A22658"/>
    <w:pPr>
      <w:spacing w:after="0" w:line="240" w:lineRule="auto"/>
      <w:ind w:left="220" w:hanging="220"/>
    </w:pPr>
  </w:style>
  <w:style w:type="paragraph" w:styleId="Index2">
    <w:name w:val="index 2"/>
    <w:basedOn w:val="Normal"/>
    <w:next w:val="Normal"/>
    <w:autoRedefine/>
    <w:rsid w:val="00A22658"/>
    <w:pPr>
      <w:spacing w:after="0" w:line="240" w:lineRule="auto"/>
      <w:ind w:left="440" w:hanging="220"/>
    </w:pPr>
  </w:style>
  <w:style w:type="paragraph" w:styleId="Index3">
    <w:name w:val="index 3"/>
    <w:basedOn w:val="Normal"/>
    <w:next w:val="Normal"/>
    <w:autoRedefine/>
    <w:rsid w:val="00A22658"/>
    <w:pPr>
      <w:spacing w:after="0" w:line="240" w:lineRule="auto"/>
      <w:ind w:left="660" w:hanging="220"/>
    </w:pPr>
  </w:style>
  <w:style w:type="paragraph" w:styleId="Index4">
    <w:name w:val="index 4"/>
    <w:basedOn w:val="Normal"/>
    <w:next w:val="Normal"/>
    <w:autoRedefine/>
    <w:rsid w:val="00A22658"/>
    <w:pPr>
      <w:spacing w:after="0" w:line="240" w:lineRule="auto"/>
      <w:ind w:left="880" w:hanging="220"/>
    </w:pPr>
  </w:style>
  <w:style w:type="paragraph" w:styleId="Index5">
    <w:name w:val="index 5"/>
    <w:basedOn w:val="Normal"/>
    <w:next w:val="Normal"/>
    <w:autoRedefine/>
    <w:rsid w:val="00A22658"/>
    <w:pPr>
      <w:spacing w:after="0" w:line="240" w:lineRule="auto"/>
      <w:ind w:left="1100" w:hanging="220"/>
    </w:pPr>
  </w:style>
  <w:style w:type="paragraph" w:styleId="Index6">
    <w:name w:val="index 6"/>
    <w:basedOn w:val="Normal"/>
    <w:next w:val="Normal"/>
    <w:autoRedefine/>
    <w:rsid w:val="00A22658"/>
    <w:pPr>
      <w:spacing w:after="0" w:line="240" w:lineRule="auto"/>
      <w:ind w:left="1320" w:hanging="220"/>
    </w:pPr>
  </w:style>
  <w:style w:type="paragraph" w:styleId="Index7">
    <w:name w:val="index 7"/>
    <w:basedOn w:val="Normal"/>
    <w:next w:val="Normal"/>
    <w:autoRedefine/>
    <w:rsid w:val="00A22658"/>
    <w:pPr>
      <w:spacing w:after="0" w:line="240" w:lineRule="auto"/>
      <w:ind w:left="1540" w:hanging="220"/>
    </w:pPr>
  </w:style>
  <w:style w:type="paragraph" w:styleId="Index8">
    <w:name w:val="index 8"/>
    <w:basedOn w:val="Normal"/>
    <w:next w:val="Normal"/>
    <w:autoRedefine/>
    <w:rsid w:val="00A22658"/>
    <w:pPr>
      <w:spacing w:after="0" w:line="240" w:lineRule="auto"/>
      <w:ind w:left="1760" w:hanging="220"/>
    </w:pPr>
  </w:style>
  <w:style w:type="paragraph" w:styleId="Index9">
    <w:name w:val="index 9"/>
    <w:basedOn w:val="Normal"/>
    <w:next w:val="Normal"/>
    <w:autoRedefine/>
    <w:rsid w:val="00A22658"/>
    <w:pPr>
      <w:spacing w:after="0" w:line="240" w:lineRule="auto"/>
      <w:ind w:left="1980" w:hanging="220"/>
    </w:pPr>
  </w:style>
  <w:style w:type="paragraph" w:styleId="IndexHeading">
    <w:name w:val="index heading"/>
    <w:basedOn w:val="Normal"/>
    <w:next w:val="Index1"/>
    <w:rsid w:val="00A22658"/>
    <w:rPr>
      <w:rFonts w:asciiTheme="majorHAnsi" w:eastAsiaTheme="majorEastAsia" w:hAnsiTheme="majorHAnsi" w:cstheme="majorBidi"/>
      <w:b/>
      <w:bCs/>
    </w:rPr>
  </w:style>
  <w:style w:type="paragraph" w:styleId="IntenseQuote">
    <w:name w:val="Intense Quote"/>
    <w:basedOn w:val="Normal"/>
    <w:next w:val="Normal"/>
    <w:link w:val="IntenseQuoteChar"/>
    <w:rsid w:val="00A226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A22658"/>
    <w:rPr>
      <w:b/>
      <w:bCs/>
      <w:i/>
      <w:iCs/>
      <w:color w:val="4F81BD" w:themeColor="accent1"/>
    </w:rPr>
  </w:style>
  <w:style w:type="paragraph" w:styleId="List">
    <w:name w:val="List"/>
    <w:basedOn w:val="Normal"/>
    <w:rsid w:val="00A22658"/>
    <w:pPr>
      <w:ind w:left="360" w:hanging="360"/>
      <w:contextualSpacing/>
    </w:pPr>
  </w:style>
  <w:style w:type="paragraph" w:styleId="List2">
    <w:name w:val="List 2"/>
    <w:basedOn w:val="Normal"/>
    <w:rsid w:val="00A22658"/>
    <w:pPr>
      <w:ind w:left="720" w:hanging="360"/>
      <w:contextualSpacing/>
    </w:pPr>
  </w:style>
  <w:style w:type="paragraph" w:styleId="List3">
    <w:name w:val="List 3"/>
    <w:basedOn w:val="Normal"/>
    <w:rsid w:val="00A22658"/>
    <w:pPr>
      <w:ind w:left="1080" w:hanging="360"/>
      <w:contextualSpacing/>
    </w:pPr>
  </w:style>
  <w:style w:type="paragraph" w:styleId="List4">
    <w:name w:val="List 4"/>
    <w:basedOn w:val="Normal"/>
    <w:rsid w:val="00A22658"/>
    <w:pPr>
      <w:ind w:left="1440" w:hanging="360"/>
      <w:contextualSpacing/>
    </w:pPr>
  </w:style>
  <w:style w:type="paragraph" w:styleId="List5">
    <w:name w:val="List 5"/>
    <w:basedOn w:val="Normal"/>
    <w:rsid w:val="00A22658"/>
    <w:pPr>
      <w:ind w:left="1800" w:hanging="360"/>
      <w:contextualSpacing/>
    </w:pPr>
  </w:style>
  <w:style w:type="paragraph" w:styleId="ListBullet">
    <w:name w:val="List Bullet"/>
    <w:basedOn w:val="Normal"/>
    <w:rsid w:val="00A22658"/>
    <w:pPr>
      <w:numPr>
        <w:numId w:val="31"/>
      </w:numPr>
      <w:contextualSpacing/>
    </w:pPr>
  </w:style>
  <w:style w:type="paragraph" w:styleId="ListBullet2">
    <w:name w:val="List Bullet 2"/>
    <w:basedOn w:val="Normal"/>
    <w:rsid w:val="00A22658"/>
    <w:pPr>
      <w:numPr>
        <w:numId w:val="32"/>
      </w:numPr>
      <w:contextualSpacing/>
    </w:pPr>
  </w:style>
  <w:style w:type="paragraph" w:styleId="ListBullet3">
    <w:name w:val="List Bullet 3"/>
    <w:basedOn w:val="Normal"/>
    <w:rsid w:val="00A22658"/>
    <w:pPr>
      <w:numPr>
        <w:numId w:val="33"/>
      </w:numPr>
      <w:contextualSpacing/>
    </w:pPr>
  </w:style>
  <w:style w:type="paragraph" w:styleId="ListBullet4">
    <w:name w:val="List Bullet 4"/>
    <w:basedOn w:val="Normal"/>
    <w:rsid w:val="00A22658"/>
    <w:pPr>
      <w:numPr>
        <w:numId w:val="34"/>
      </w:numPr>
      <w:contextualSpacing/>
    </w:pPr>
  </w:style>
  <w:style w:type="paragraph" w:styleId="ListBullet5">
    <w:name w:val="List Bullet 5"/>
    <w:basedOn w:val="Normal"/>
    <w:rsid w:val="00A22658"/>
    <w:pPr>
      <w:numPr>
        <w:numId w:val="35"/>
      </w:numPr>
      <w:contextualSpacing/>
    </w:pPr>
  </w:style>
  <w:style w:type="paragraph" w:styleId="ListContinue">
    <w:name w:val="List Continue"/>
    <w:basedOn w:val="Normal"/>
    <w:rsid w:val="00A22658"/>
    <w:pPr>
      <w:spacing w:after="120"/>
      <w:ind w:left="360"/>
      <w:contextualSpacing/>
    </w:pPr>
  </w:style>
  <w:style w:type="paragraph" w:styleId="ListContinue2">
    <w:name w:val="List Continue 2"/>
    <w:basedOn w:val="Normal"/>
    <w:rsid w:val="00A22658"/>
    <w:pPr>
      <w:spacing w:after="120"/>
      <w:ind w:left="720"/>
      <w:contextualSpacing/>
    </w:pPr>
  </w:style>
  <w:style w:type="paragraph" w:styleId="ListContinue3">
    <w:name w:val="List Continue 3"/>
    <w:basedOn w:val="Normal"/>
    <w:rsid w:val="00A22658"/>
    <w:pPr>
      <w:spacing w:after="120"/>
      <w:ind w:left="1080"/>
      <w:contextualSpacing/>
    </w:pPr>
  </w:style>
  <w:style w:type="paragraph" w:styleId="ListContinue4">
    <w:name w:val="List Continue 4"/>
    <w:basedOn w:val="Normal"/>
    <w:rsid w:val="00A22658"/>
    <w:pPr>
      <w:spacing w:after="120"/>
      <w:ind w:left="1440"/>
      <w:contextualSpacing/>
    </w:pPr>
  </w:style>
  <w:style w:type="paragraph" w:styleId="ListContinue5">
    <w:name w:val="List Continue 5"/>
    <w:basedOn w:val="Normal"/>
    <w:rsid w:val="00A22658"/>
    <w:pPr>
      <w:spacing w:after="120"/>
      <w:ind w:left="1800"/>
      <w:contextualSpacing/>
    </w:pPr>
  </w:style>
  <w:style w:type="paragraph" w:styleId="ListNumber">
    <w:name w:val="List Number"/>
    <w:basedOn w:val="Normal"/>
    <w:rsid w:val="00A22658"/>
    <w:pPr>
      <w:numPr>
        <w:numId w:val="36"/>
      </w:numPr>
      <w:contextualSpacing/>
    </w:pPr>
  </w:style>
  <w:style w:type="paragraph" w:styleId="ListNumber2">
    <w:name w:val="List Number 2"/>
    <w:basedOn w:val="Normal"/>
    <w:rsid w:val="00A22658"/>
    <w:pPr>
      <w:numPr>
        <w:numId w:val="37"/>
      </w:numPr>
      <w:contextualSpacing/>
    </w:pPr>
  </w:style>
  <w:style w:type="paragraph" w:styleId="ListNumber3">
    <w:name w:val="List Number 3"/>
    <w:basedOn w:val="Normal"/>
    <w:rsid w:val="00A22658"/>
    <w:pPr>
      <w:numPr>
        <w:numId w:val="38"/>
      </w:numPr>
      <w:contextualSpacing/>
    </w:pPr>
  </w:style>
  <w:style w:type="paragraph" w:styleId="ListNumber4">
    <w:name w:val="List Number 4"/>
    <w:basedOn w:val="Normal"/>
    <w:rsid w:val="00A22658"/>
    <w:pPr>
      <w:numPr>
        <w:numId w:val="39"/>
      </w:numPr>
      <w:contextualSpacing/>
    </w:pPr>
  </w:style>
  <w:style w:type="paragraph" w:styleId="ListNumber5">
    <w:name w:val="List Number 5"/>
    <w:basedOn w:val="Normal"/>
    <w:rsid w:val="00A22658"/>
    <w:pPr>
      <w:numPr>
        <w:numId w:val="40"/>
      </w:numPr>
      <w:contextualSpacing/>
    </w:pPr>
  </w:style>
  <w:style w:type="paragraph" w:styleId="MacroText">
    <w:name w:val="macro"/>
    <w:link w:val="MacroTextChar"/>
    <w:rsid w:val="00A2265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rsid w:val="00A22658"/>
    <w:rPr>
      <w:rFonts w:ascii="Consolas" w:hAnsi="Consolas"/>
      <w:sz w:val="20"/>
      <w:szCs w:val="20"/>
    </w:rPr>
  </w:style>
  <w:style w:type="paragraph" w:styleId="MessageHeader">
    <w:name w:val="Message Header"/>
    <w:basedOn w:val="Normal"/>
    <w:link w:val="MessageHeaderChar"/>
    <w:rsid w:val="00A2265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22658"/>
    <w:rPr>
      <w:rFonts w:asciiTheme="majorHAnsi" w:eastAsiaTheme="majorEastAsia" w:hAnsiTheme="majorHAnsi" w:cstheme="majorBidi"/>
      <w:sz w:val="24"/>
      <w:szCs w:val="24"/>
      <w:shd w:val="pct20" w:color="auto" w:fill="auto"/>
    </w:rPr>
  </w:style>
  <w:style w:type="paragraph" w:styleId="NormalWeb">
    <w:name w:val="Normal (Web)"/>
    <w:basedOn w:val="Normal"/>
    <w:rsid w:val="00A22658"/>
    <w:rPr>
      <w:rFonts w:ascii="Times New Roman" w:hAnsi="Times New Roman" w:cs="Times New Roman"/>
      <w:sz w:val="24"/>
      <w:szCs w:val="24"/>
    </w:rPr>
  </w:style>
  <w:style w:type="paragraph" w:styleId="NormalIndent">
    <w:name w:val="Normal Indent"/>
    <w:basedOn w:val="Normal"/>
    <w:rsid w:val="00A22658"/>
    <w:pPr>
      <w:ind w:left="720"/>
    </w:pPr>
  </w:style>
  <w:style w:type="paragraph" w:styleId="NoteHeading">
    <w:name w:val="Note Heading"/>
    <w:basedOn w:val="Normal"/>
    <w:next w:val="Normal"/>
    <w:link w:val="NoteHeadingChar"/>
    <w:rsid w:val="00A22658"/>
    <w:pPr>
      <w:spacing w:after="0" w:line="240" w:lineRule="auto"/>
    </w:pPr>
  </w:style>
  <w:style w:type="character" w:customStyle="1" w:styleId="NoteHeadingChar">
    <w:name w:val="Note Heading Char"/>
    <w:basedOn w:val="DefaultParagraphFont"/>
    <w:link w:val="NoteHeading"/>
    <w:rsid w:val="00A22658"/>
  </w:style>
  <w:style w:type="paragraph" w:styleId="PlainText">
    <w:name w:val="Plain Text"/>
    <w:basedOn w:val="Normal"/>
    <w:link w:val="PlainTextChar"/>
    <w:rsid w:val="00A22658"/>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A22658"/>
    <w:rPr>
      <w:rFonts w:ascii="Consolas" w:hAnsi="Consolas"/>
      <w:sz w:val="21"/>
      <w:szCs w:val="21"/>
    </w:rPr>
  </w:style>
  <w:style w:type="paragraph" w:styleId="Quote">
    <w:name w:val="Quote"/>
    <w:basedOn w:val="Normal"/>
    <w:next w:val="Normal"/>
    <w:link w:val="QuoteChar"/>
    <w:rsid w:val="00A22658"/>
    <w:rPr>
      <w:i/>
      <w:iCs/>
      <w:color w:val="000000" w:themeColor="text1"/>
    </w:rPr>
  </w:style>
  <w:style w:type="character" w:customStyle="1" w:styleId="QuoteChar">
    <w:name w:val="Quote Char"/>
    <w:basedOn w:val="DefaultParagraphFont"/>
    <w:link w:val="Quote"/>
    <w:rsid w:val="00A22658"/>
    <w:rPr>
      <w:i/>
      <w:iCs/>
      <w:color w:val="000000" w:themeColor="text1"/>
    </w:rPr>
  </w:style>
  <w:style w:type="paragraph" w:styleId="Salutation">
    <w:name w:val="Salutation"/>
    <w:basedOn w:val="Normal"/>
    <w:next w:val="Normal"/>
    <w:link w:val="SalutationChar"/>
    <w:rsid w:val="00A22658"/>
  </w:style>
  <w:style w:type="character" w:customStyle="1" w:styleId="SalutationChar">
    <w:name w:val="Salutation Char"/>
    <w:basedOn w:val="DefaultParagraphFont"/>
    <w:link w:val="Salutation"/>
    <w:rsid w:val="00A22658"/>
  </w:style>
  <w:style w:type="paragraph" w:styleId="Signature">
    <w:name w:val="Signature"/>
    <w:basedOn w:val="Normal"/>
    <w:link w:val="SignatureChar"/>
    <w:rsid w:val="00A22658"/>
    <w:pPr>
      <w:spacing w:after="0" w:line="240" w:lineRule="auto"/>
      <w:ind w:left="4320"/>
    </w:pPr>
  </w:style>
  <w:style w:type="character" w:customStyle="1" w:styleId="SignatureChar">
    <w:name w:val="Signature Char"/>
    <w:basedOn w:val="DefaultParagraphFont"/>
    <w:link w:val="Signature"/>
    <w:rsid w:val="00A22658"/>
  </w:style>
  <w:style w:type="paragraph" w:styleId="Subtitle">
    <w:name w:val="Subtitle"/>
    <w:basedOn w:val="Normal"/>
    <w:next w:val="Normal"/>
    <w:link w:val="SubtitleChar"/>
    <w:rsid w:val="00A226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22658"/>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A22658"/>
    <w:pPr>
      <w:spacing w:after="0"/>
      <w:ind w:left="220" w:hanging="220"/>
    </w:pPr>
  </w:style>
  <w:style w:type="paragraph" w:styleId="TableofFigures">
    <w:name w:val="table of figures"/>
    <w:basedOn w:val="Normal"/>
    <w:next w:val="Normal"/>
    <w:rsid w:val="00A22658"/>
    <w:pPr>
      <w:spacing w:after="0"/>
    </w:pPr>
  </w:style>
  <w:style w:type="paragraph" w:styleId="Title">
    <w:name w:val="Title"/>
    <w:basedOn w:val="Normal"/>
    <w:next w:val="Normal"/>
    <w:link w:val="TitleChar"/>
    <w:rsid w:val="00A226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22658"/>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A22658"/>
    <w:pPr>
      <w:spacing w:before="120"/>
    </w:pPr>
    <w:rPr>
      <w:rFonts w:asciiTheme="majorHAnsi" w:eastAsiaTheme="majorEastAsia" w:hAnsiTheme="majorHAnsi" w:cstheme="majorBidi"/>
      <w:b/>
      <w:bCs/>
      <w:sz w:val="24"/>
      <w:szCs w:val="24"/>
    </w:rPr>
  </w:style>
  <w:style w:type="character" w:customStyle="1" w:styleId="highlightedsentence">
    <w:name w:val="highlightedsentence"/>
    <w:basedOn w:val="DefaultParagraphFont"/>
    <w:rsid w:val="00E32486"/>
  </w:style>
  <w:style w:type="character" w:customStyle="1" w:styleId="sentencecolor3">
    <w:name w:val="sentencecolor3"/>
    <w:basedOn w:val="DefaultParagraphFont"/>
    <w:rsid w:val="00E32486"/>
  </w:style>
  <w:style w:type="character" w:styleId="FollowedHyperlink">
    <w:name w:val="FollowedHyperlink"/>
    <w:basedOn w:val="DefaultParagraphFont"/>
    <w:rsid w:val="00543D6E"/>
    <w:rPr>
      <w:color w:val="800080" w:themeColor="followedHyperlink"/>
      <w:u w:val="single"/>
    </w:rPr>
  </w:style>
  <w:style w:type="character" w:customStyle="1" w:styleId="b1">
    <w:name w:val="b1"/>
    <w:basedOn w:val="DefaultParagraphFont"/>
    <w:rsid w:val="00CA06DE"/>
    <w:rPr>
      <w:color w:val="000000"/>
    </w:rPr>
  </w:style>
  <w:style w:type="paragraph" w:customStyle="1" w:styleId="q">
    <w:name w:val="q"/>
    <w:basedOn w:val="Normal"/>
    <w:rsid w:val="00CA06DE"/>
    <w:pPr>
      <w:spacing w:before="100" w:beforeAutospacing="1" w:after="0" w:line="240" w:lineRule="auto"/>
      <w:ind w:left="480"/>
    </w:pPr>
    <w:rPr>
      <w:rFonts w:ascii="Times New Roman" w:eastAsia="Times New Roman" w:hAnsi="Times New Roman" w:cs="Times New Roman"/>
      <w:sz w:val="24"/>
      <w:szCs w:val="24"/>
      <w:lang w:val="es-ES" w:eastAsia="es-ES"/>
    </w:rPr>
  </w:style>
  <w:style w:type="character" w:customStyle="1" w:styleId="d1">
    <w:name w:val="d1"/>
    <w:basedOn w:val="DefaultParagraphFont"/>
    <w:rsid w:val="00CA06DE"/>
    <w:rPr>
      <w:color w:val="0000FF"/>
    </w:rPr>
  </w:style>
  <w:style w:type="character" w:customStyle="1" w:styleId="g1">
    <w:name w:val="g1"/>
    <w:basedOn w:val="DefaultParagraphFont"/>
    <w:rsid w:val="00CA06DE"/>
    <w:rPr>
      <w:color w:val="B3B3B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344051">
      <w:bodyDiv w:val="1"/>
      <w:marLeft w:val="0"/>
      <w:marRight w:val="0"/>
      <w:marTop w:val="0"/>
      <w:marBottom w:val="0"/>
      <w:divBdr>
        <w:top w:val="none" w:sz="0" w:space="0" w:color="auto"/>
        <w:left w:val="none" w:sz="0" w:space="0" w:color="auto"/>
        <w:bottom w:val="none" w:sz="0" w:space="0" w:color="auto"/>
        <w:right w:val="none" w:sz="0" w:space="0" w:color="auto"/>
      </w:divBdr>
    </w:div>
    <w:div w:id="1119178280">
      <w:bodyDiv w:val="1"/>
      <w:marLeft w:val="0"/>
      <w:marRight w:val="0"/>
      <w:marTop w:val="0"/>
      <w:marBottom w:val="0"/>
      <w:divBdr>
        <w:top w:val="none" w:sz="0" w:space="0" w:color="auto"/>
        <w:left w:val="none" w:sz="0" w:space="0" w:color="auto"/>
        <w:bottom w:val="none" w:sz="0" w:space="0" w:color="auto"/>
        <w:right w:val="none" w:sz="0" w:space="0" w:color="auto"/>
      </w:divBdr>
    </w:div>
    <w:div w:id="1208301070">
      <w:bodyDiv w:val="1"/>
      <w:marLeft w:val="0"/>
      <w:marRight w:val="0"/>
      <w:marTop w:val="0"/>
      <w:marBottom w:val="0"/>
      <w:divBdr>
        <w:top w:val="none" w:sz="0" w:space="0" w:color="auto"/>
        <w:left w:val="none" w:sz="0" w:space="0" w:color="auto"/>
        <w:bottom w:val="none" w:sz="0" w:space="0" w:color="auto"/>
        <w:right w:val="none" w:sz="0" w:space="0" w:color="auto"/>
      </w:divBdr>
    </w:div>
    <w:div w:id="1770733076">
      <w:bodyDiv w:val="1"/>
      <w:marLeft w:val="0"/>
      <w:marRight w:val="0"/>
      <w:marTop w:val="0"/>
      <w:marBottom w:val="0"/>
      <w:divBdr>
        <w:top w:val="none" w:sz="0" w:space="0" w:color="auto"/>
        <w:left w:val="none" w:sz="0" w:space="0" w:color="auto"/>
        <w:bottom w:val="none" w:sz="0" w:space="0" w:color="auto"/>
        <w:right w:val="none" w:sz="0" w:space="0" w:color="auto"/>
      </w:divBdr>
    </w:div>
    <w:div w:id="2008747258">
      <w:bodyDiv w:val="1"/>
      <w:marLeft w:val="0"/>
      <w:marRight w:val="0"/>
      <w:marTop w:val="0"/>
      <w:marBottom w:val="0"/>
      <w:divBdr>
        <w:top w:val="none" w:sz="0" w:space="0" w:color="auto"/>
        <w:left w:val="none" w:sz="0" w:space="0" w:color="auto"/>
        <w:bottom w:val="none" w:sz="0" w:space="0" w:color="auto"/>
        <w:right w:val="none" w:sz="0" w:space="0" w:color="auto"/>
      </w:divBdr>
      <w:divsChild>
        <w:div w:id="1166625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gidata.org" TargetMode="External"/><Relationship Id="rId1" Type="http://schemas.openxmlformats.org/officeDocument/2006/relationships/hyperlink" Target="http://www.tcr.gub.uy/marco_tocaf/index.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gnacio%20Camdessus\Mis%20documentos\WB\2013-001911,%20%20Uruguay%20-%20Road%20Rehabilitation%20and%20Maintenance%20Program\Evolution%20IRI%20reseau%20national%20UY%20-%20TRA%20-%20i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Ignacio%20Camdessus\Mis%20documentos\WB\2013-001911,%20%20Uruguay%20-%20Road%20Rehabilitation%20and%20Maintenance%20Program\economic%20evaluation%20-%20T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col"/>
        <c:grouping val="stacked"/>
        <c:varyColors val="0"/>
        <c:ser>
          <c:idx val="0"/>
          <c:order val="0"/>
          <c:tx>
            <c:strRef>
              <c:f>'National network'!$B$16</c:f>
              <c:strCache>
                <c:ptCount val="1"/>
                <c:pt idx="0">
                  <c:v>Muy bueno</c:v>
                </c:pt>
              </c:strCache>
            </c:strRef>
          </c:tx>
          <c:invertIfNegative val="0"/>
          <c:dLbls>
            <c:showLegendKey val="0"/>
            <c:showVal val="1"/>
            <c:showCatName val="0"/>
            <c:showSerName val="0"/>
            <c:showPercent val="0"/>
            <c:showBubbleSize val="0"/>
            <c:showLeaderLines val="0"/>
          </c:dLbls>
          <c:cat>
            <c:numRef>
              <c:f>'National network'!$G$15:$N$15</c:f>
              <c:numCache>
                <c:formatCode>General</c:formatCode>
                <c:ptCount val="8"/>
                <c:pt idx="0">
                  <c:v>2004</c:v>
                </c:pt>
                <c:pt idx="1">
                  <c:v>2005</c:v>
                </c:pt>
                <c:pt idx="2">
                  <c:v>2006</c:v>
                </c:pt>
                <c:pt idx="3">
                  <c:v>2007</c:v>
                </c:pt>
                <c:pt idx="4">
                  <c:v>2008</c:v>
                </c:pt>
                <c:pt idx="5">
                  <c:v>2009</c:v>
                </c:pt>
                <c:pt idx="6">
                  <c:v>2010</c:v>
                </c:pt>
                <c:pt idx="7">
                  <c:v>2011</c:v>
                </c:pt>
              </c:numCache>
            </c:numRef>
          </c:cat>
          <c:val>
            <c:numRef>
              <c:f>'National network'!$G$16:$N$16</c:f>
              <c:numCache>
                <c:formatCode>_(* #,##0.00_);_(* \(#,##0.00\);_(* "-"??_);_(@_)</c:formatCode>
                <c:ptCount val="8"/>
                <c:pt idx="0">
                  <c:v>31.6</c:v>
                </c:pt>
                <c:pt idx="1">
                  <c:v>30.9</c:v>
                </c:pt>
                <c:pt idx="2">
                  <c:v>30.8</c:v>
                </c:pt>
                <c:pt idx="3">
                  <c:v>29.1</c:v>
                </c:pt>
                <c:pt idx="4">
                  <c:v>30</c:v>
                </c:pt>
                <c:pt idx="5">
                  <c:v>27</c:v>
                </c:pt>
                <c:pt idx="6">
                  <c:v>24</c:v>
                </c:pt>
                <c:pt idx="7">
                  <c:v>20</c:v>
                </c:pt>
              </c:numCache>
            </c:numRef>
          </c:val>
        </c:ser>
        <c:ser>
          <c:idx val="1"/>
          <c:order val="1"/>
          <c:tx>
            <c:strRef>
              <c:f>'National network'!$B$17</c:f>
              <c:strCache>
                <c:ptCount val="1"/>
                <c:pt idx="0">
                  <c:v>Bueno</c:v>
                </c:pt>
              </c:strCache>
            </c:strRef>
          </c:tx>
          <c:invertIfNegative val="0"/>
          <c:dLbls>
            <c:showLegendKey val="0"/>
            <c:showVal val="1"/>
            <c:showCatName val="0"/>
            <c:showSerName val="0"/>
            <c:showPercent val="0"/>
            <c:showBubbleSize val="0"/>
            <c:showLeaderLines val="0"/>
          </c:dLbls>
          <c:val>
            <c:numRef>
              <c:f>'National network'!$G$17:$N$17</c:f>
              <c:numCache>
                <c:formatCode>_(* #,##0.00_);_(* \(#,##0.00\);_(* "-"??_);_(@_)</c:formatCode>
                <c:ptCount val="8"/>
                <c:pt idx="0">
                  <c:v>27.5</c:v>
                </c:pt>
                <c:pt idx="1">
                  <c:v>29.7</c:v>
                </c:pt>
                <c:pt idx="2">
                  <c:v>26</c:v>
                </c:pt>
                <c:pt idx="3">
                  <c:v>24.3</c:v>
                </c:pt>
                <c:pt idx="4">
                  <c:v>21.2</c:v>
                </c:pt>
                <c:pt idx="5">
                  <c:v>18.8</c:v>
                </c:pt>
                <c:pt idx="6">
                  <c:v>20</c:v>
                </c:pt>
                <c:pt idx="7">
                  <c:v>22.4</c:v>
                </c:pt>
              </c:numCache>
            </c:numRef>
          </c:val>
        </c:ser>
        <c:dLbls>
          <c:showLegendKey val="0"/>
          <c:showVal val="0"/>
          <c:showCatName val="0"/>
          <c:showSerName val="0"/>
          <c:showPercent val="0"/>
          <c:showBubbleSize val="0"/>
        </c:dLbls>
        <c:gapWidth val="150"/>
        <c:overlap val="100"/>
        <c:axId val="152452480"/>
        <c:axId val="158744960"/>
      </c:barChart>
      <c:catAx>
        <c:axId val="152452480"/>
        <c:scaling>
          <c:orientation val="minMax"/>
        </c:scaling>
        <c:delete val="0"/>
        <c:axPos val="b"/>
        <c:numFmt formatCode="General" sourceLinked="1"/>
        <c:majorTickMark val="out"/>
        <c:minorTickMark val="none"/>
        <c:tickLblPos val="nextTo"/>
        <c:crossAx val="158744960"/>
        <c:crosses val="autoZero"/>
        <c:auto val="1"/>
        <c:lblAlgn val="ctr"/>
        <c:lblOffset val="100"/>
        <c:noMultiLvlLbl val="0"/>
      </c:catAx>
      <c:valAx>
        <c:axId val="158744960"/>
        <c:scaling>
          <c:orientation val="minMax"/>
        </c:scaling>
        <c:delete val="0"/>
        <c:axPos val="l"/>
        <c:majorGridlines/>
        <c:numFmt formatCode="#,##0" sourceLinked="0"/>
        <c:majorTickMark val="out"/>
        <c:minorTickMark val="none"/>
        <c:tickLblPos val="nextTo"/>
        <c:crossAx val="15245248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Sheet7!$A$3</c:f>
              <c:strCache>
                <c:ptCount val="1"/>
                <c:pt idx="0">
                  <c:v>Referencia</c:v>
                </c:pt>
              </c:strCache>
            </c:strRef>
          </c:tx>
          <c:cat>
            <c:numRef>
              <c:f>Sheet7!$C$1:$R$1</c:f>
              <c:numCache>
                <c:formatCode>General</c:formatCode>
                <c:ptCount val="16"/>
                <c:pt idx="0">
                  <c:v>2012</c:v>
                </c:pt>
                <c:pt idx="4">
                  <c:v>2013</c:v>
                </c:pt>
                <c:pt idx="8">
                  <c:v>2014</c:v>
                </c:pt>
                <c:pt idx="12">
                  <c:v>2015</c:v>
                </c:pt>
              </c:numCache>
            </c:numRef>
          </c:cat>
          <c:val>
            <c:numRef>
              <c:f>Sheet7!$B$3:$R$3</c:f>
              <c:numCache>
                <c:formatCode>General</c:formatCode>
                <c:ptCount val="17"/>
                <c:pt idx="0">
                  <c:v>42.1</c:v>
                </c:pt>
                <c:pt idx="1">
                  <c:v>41</c:v>
                </c:pt>
                <c:pt idx="2">
                  <c:v>40</c:v>
                </c:pt>
                <c:pt idx="3">
                  <c:v>39</c:v>
                </c:pt>
                <c:pt idx="4">
                  <c:v>38</c:v>
                </c:pt>
                <c:pt idx="5">
                  <c:v>37</c:v>
                </c:pt>
                <c:pt idx="6">
                  <c:v>36.200000000000003</c:v>
                </c:pt>
                <c:pt idx="7">
                  <c:v>35.5</c:v>
                </c:pt>
                <c:pt idx="8">
                  <c:v>34.800000000000011</c:v>
                </c:pt>
                <c:pt idx="9">
                  <c:v>34</c:v>
                </c:pt>
                <c:pt idx="10">
                  <c:v>33</c:v>
                </c:pt>
                <c:pt idx="11">
                  <c:v>32</c:v>
                </c:pt>
                <c:pt idx="12">
                  <c:v>31.2</c:v>
                </c:pt>
                <c:pt idx="13">
                  <c:v>30.5</c:v>
                </c:pt>
                <c:pt idx="14">
                  <c:v>30</c:v>
                </c:pt>
                <c:pt idx="15">
                  <c:v>29.5</c:v>
                </c:pt>
                <c:pt idx="16">
                  <c:v>29</c:v>
                </c:pt>
              </c:numCache>
            </c:numRef>
          </c:val>
          <c:smooth val="0"/>
        </c:ser>
        <c:ser>
          <c:idx val="1"/>
          <c:order val="1"/>
          <c:tx>
            <c:strRef>
              <c:f>Sheet7!$A$4</c:f>
              <c:strCache>
                <c:ptCount val="1"/>
                <c:pt idx="0">
                  <c:v>Programa sin el Banco</c:v>
                </c:pt>
              </c:strCache>
            </c:strRef>
          </c:tx>
          <c:marker>
            <c:symbol val="none"/>
          </c:marker>
          <c:cat>
            <c:numRef>
              <c:f>Sheet7!$C$1:$R$1</c:f>
              <c:numCache>
                <c:formatCode>General</c:formatCode>
                <c:ptCount val="16"/>
                <c:pt idx="0">
                  <c:v>2012</c:v>
                </c:pt>
                <c:pt idx="4">
                  <c:v>2013</c:v>
                </c:pt>
                <c:pt idx="8">
                  <c:v>2014</c:v>
                </c:pt>
                <c:pt idx="12">
                  <c:v>2015</c:v>
                </c:pt>
              </c:numCache>
            </c:numRef>
          </c:cat>
          <c:val>
            <c:numRef>
              <c:f>Sheet7!$B$4:$R$4</c:f>
              <c:numCache>
                <c:formatCode>General</c:formatCode>
                <c:ptCount val="17"/>
                <c:pt idx="0">
                  <c:v>42.1</c:v>
                </c:pt>
                <c:pt idx="1">
                  <c:v>41</c:v>
                </c:pt>
                <c:pt idx="2">
                  <c:v>40.33</c:v>
                </c:pt>
                <c:pt idx="3">
                  <c:v>39.528000000000013</c:v>
                </c:pt>
                <c:pt idx="4">
                  <c:v>38.792000000000002</c:v>
                </c:pt>
                <c:pt idx="5">
                  <c:v>37.99</c:v>
                </c:pt>
                <c:pt idx="6">
                  <c:v>37.388000000000012</c:v>
                </c:pt>
                <c:pt idx="7">
                  <c:v>36.82</c:v>
                </c:pt>
                <c:pt idx="8">
                  <c:v>36.252000000000002</c:v>
                </c:pt>
                <c:pt idx="9">
                  <c:v>35.65</c:v>
                </c:pt>
                <c:pt idx="10">
                  <c:v>35.112000000000002</c:v>
                </c:pt>
                <c:pt idx="11">
                  <c:v>34.64</c:v>
                </c:pt>
                <c:pt idx="12">
                  <c:v>34.236000000000011</c:v>
                </c:pt>
                <c:pt idx="13">
                  <c:v>33.866</c:v>
                </c:pt>
                <c:pt idx="14">
                  <c:v>33.564</c:v>
                </c:pt>
                <c:pt idx="15">
                  <c:v>33.262</c:v>
                </c:pt>
                <c:pt idx="16">
                  <c:v>33.092000000000013</c:v>
                </c:pt>
              </c:numCache>
            </c:numRef>
          </c:val>
          <c:smooth val="0"/>
        </c:ser>
        <c:ser>
          <c:idx val="2"/>
          <c:order val="2"/>
          <c:tx>
            <c:strRef>
              <c:f>Sheet7!$A$5</c:f>
              <c:strCache>
                <c:ptCount val="1"/>
                <c:pt idx="0">
                  <c:v>Programa con el Banco</c:v>
                </c:pt>
              </c:strCache>
            </c:strRef>
          </c:tx>
          <c:cat>
            <c:numRef>
              <c:f>Sheet7!$C$1:$R$1</c:f>
              <c:numCache>
                <c:formatCode>General</c:formatCode>
                <c:ptCount val="16"/>
                <c:pt idx="0">
                  <c:v>2012</c:v>
                </c:pt>
                <c:pt idx="4">
                  <c:v>2013</c:v>
                </c:pt>
                <c:pt idx="8">
                  <c:v>2014</c:v>
                </c:pt>
                <c:pt idx="12">
                  <c:v>2015</c:v>
                </c:pt>
              </c:numCache>
            </c:numRef>
          </c:cat>
          <c:val>
            <c:numRef>
              <c:f>Sheet7!$B$5:$R$5</c:f>
              <c:numCache>
                <c:formatCode>General</c:formatCode>
                <c:ptCount val="17"/>
                <c:pt idx="0">
                  <c:v>42.1</c:v>
                </c:pt>
                <c:pt idx="1">
                  <c:v>41</c:v>
                </c:pt>
                <c:pt idx="2">
                  <c:v>40.5</c:v>
                </c:pt>
                <c:pt idx="3">
                  <c:v>39.800000000000011</c:v>
                </c:pt>
                <c:pt idx="4">
                  <c:v>39.200000000000003</c:v>
                </c:pt>
                <c:pt idx="5">
                  <c:v>38.5</c:v>
                </c:pt>
                <c:pt idx="6">
                  <c:v>38</c:v>
                </c:pt>
                <c:pt idx="7">
                  <c:v>37.5</c:v>
                </c:pt>
                <c:pt idx="8">
                  <c:v>37</c:v>
                </c:pt>
                <c:pt idx="9">
                  <c:v>36.5</c:v>
                </c:pt>
                <c:pt idx="10">
                  <c:v>36.200000000000003</c:v>
                </c:pt>
                <c:pt idx="11">
                  <c:v>36</c:v>
                </c:pt>
                <c:pt idx="12">
                  <c:v>35.800000000000011</c:v>
                </c:pt>
                <c:pt idx="13">
                  <c:v>35.6</c:v>
                </c:pt>
                <c:pt idx="14">
                  <c:v>35.4</c:v>
                </c:pt>
                <c:pt idx="15">
                  <c:v>35.200000000000003</c:v>
                </c:pt>
                <c:pt idx="16">
                  <c:v>35.200000000000003</c:v>
                </c:pt>
              </c:numCache>
            </c:numRef>
          </c:val>
          <c:smooth val="0"/>
        </c:ser>
        <c:dLbls>
          <c:showLegendKey val="0"/>
          <c:showVal val="0"/>
          <c:showCatName val="0"/>
          <c:showSerName val="0"/>
          <c:showPercent val="0"/>
          <c:showBubbleSize val="0"/>
        </c:dLbls>
        <c:marker val="1"/>
        <c:smooth val="0"/>
        <c:axId val="190784256"/>
        <c:axId val="191119360"/>
      </c:lineChart>
      <c:catAx>
        <c:axId val="190784256"/>
        <c:scaling>
          <c:orientation val="minMax"/>
        </c:scaling>
        <c:delete val="0"/>
        <c:axPos val="b"/>
        <c:numFmt formatCode="General" sourceLinked="1"/>
        <c:majorTickMark val="out"/>
        <c:minorTickMark val="none"/>
        <c:tickLblPos val="nextTo"/>
        <c:crossAx val="191119360"/>
        <c:crosses val="autoZero"/>
        <c:auto val="1"/>
        <c:lblAlgn val="ctr"/>
        <c:lblOffset val="100"/>
        <c:tickLblSkip val="4"/>
        <c:tickMarkSkip val="4"/>
        <c:noMultiLvlLbl val="0"/>
      </c:catAx>
      <c:valAx>
        <c:axId val="191119360"/>
        <c:scaling>
          <c:orientation val="minMax"/>
          <c:max val="50"/>
          <c:min val="10"/>
        </c:scaling>
        <c:delete val="0"/>
        <c:axPos val="l"/>
        <c:majorGridlines/>
        <c:numFmt formatCode="General" sourceLinked="0"/>
        <c:majorTickMark val="out"/>
        <c:minorTickMark val="none"/>
        <c:tickLblPos val="nextTo"/>
        <c:crossAx val="19078425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88F88-51EF-4DC2-BD6C-DD86FB0E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39024</Words>
  <Characters>222443</Characters>
  <Application>Microsoft Office Word</Application>
  <DocSecurity>0</DocSecurity>
  <Lines>1853</Lines>
  <Paragraphs>521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260946</CharactersWithSpaces>
  <SharedDoc>false</SharedDoc>
  <HLinks>
    <vt:vector size="168" baseType="variant">
      <vt:variant>
        <vt:i4>1179653</vt:i4>
      </vt:variant>
      <vt:variant>
        <vt:i4>158</vt:i4>
      </vt:variant>
      <vt:variant>
        <vt:i4>0</vt:i4>
      </vt:variant>
      <vt:variant>
        <vt:i4>5</vt:i4>
      </vt:variant>
      <vt:variant>
        <vt:lpwstr/>
      </vt:variant>
      <vt:variant>
        <vt:lpwstr>_Toc327540025</vt:lpwstr>
      </vt:variant>
      <vt:variant>
        <vt:i4>1179652</vt:i4>
      </vt:variant>
      <vt:variant>
        <vt:i4>152</vt:i4>
      </vt:variant>
      <vt:variant>
        <vt:i4>0</vt:i4>
      </vt:variant>
      <vt:variant>
        <vt:i4>5</vt:i4>
      </vt:variant>
      <vt:variant>
        <vt:lpwstr/>
      </vt:variant>
      <vt:variant>
        <vt:lpwstr>_Toc327540024</vt:lpwstr>
      </vt:variant>
      <vt:variant>
        <vt:i4>1179651</vt:i4>
      </vt:variant>
      <vt:variant>
        <vt:i4>146</vt:i4>
      </vt:variant>
      <vt:variant>
        <vt:i4>0</vt:i4>
      </vt:variant>
      <vt:variant>
        <vt:i4>5</vt:i4>
      </vt:variant>
      <vt:variant>
        <vt:lpwstr/>
      </vt:variant>
      <vt:variant>
        <vt:lpwstr>_Toc327540023</vt:lpwstr>
      </vt:variant>
      <vt:variant>
        <vt:i4>1114115</vt:i4>
      </vt:variant>
      <vt:variant>
        <vt:i4>140</vt:i4>
      </vt:variant>
      <vt:variant>
        <vt:i4>0</vt:i4>
      </vt:variant>
      <vt:variant>
        <vt:i4>5</vt:i4>
      </vt:variant>
      <vt:variant>
        <vt:lpwstr/>
      </vt:variant>
      <vt:variant>
        <vt:lpwstr>_Toc327540013</vt:lpwstr>
      </vt:variant>
      <vt:variant>
        <vt:i4>1048584</vt:i4>
      </vt:variant>
      <vt:variant>
        <vt:i4>134</vt:i4>
      </vt:variant>
      <vt:variant>
        <vt:i4>0</vt:i4>
      </vt:variant>
      <vt:variant>
        <vt:i4>5</vt:i4>
      </vt:variant>
      <vt:variant>
        <vt:lpwstr/>
      </vt:variant>
      <vt:variant>
        <vt:lpwstr>_Toc327540008</vt:lpwstr>
      </vt:variant>
      <vt:variant>
        <vt:i4>1048576</vt:i4>
      </vt:variant>
      <vt:variant>
        <vt:i4>128</vt:i4>
      </vt:variant>
      <vt:variant>
        <vt:i4>0</vt:i4>
      </vt:variant>
      <vt:variant>
        <vt:i4>5</vt:i4>
      </vt:variant>
      <vt:variant>
        <vt:lpwstr/>
      </vt:variant>
      <vt:variant>
        <vt:lpwstr>_Toc327540000</vt:lpwstr>
      </vt:variant>
      <vt:variant>
        <vt:i4>1048583</vt:i4>
      </vt:variant>
      <vt:variant>
        <vt:i4>122</vt:i4>
      </vt:variant>
      <vt:variant>
        <vt:i4>0</vt:i4>
      </vt:variant>
      <vt:variant>
        <vt:i4>5</vt:i4>
      </vt:variant>
      <vt:variant>
        <vt:lpwstr/>
      </vt:variant>
      <vt:variant>
        <vt:lpwstr>_Toc327539999</vt:lpwstr>
      </vt:variant>
      <vt:variant>
        <vt:i4>1048585</vt:i4>
      </vt:variant>
      <vt:variant>
        <vt:i4>116</vt:i4>
      </vt:variant>
      <vt:variant>
        <vt:i4>0</vt:i4>
      </vt:variant>
      <vt:variant>
        <vt:i4>5</vt:i4>
      </vt:variant>
      <vt:variant>
        <vt:lpwstr/>
      </vt:variant>
      <vt:variant>
        <vt:lpwstr>_Toc327539997</vt:lpwstr>
      </vt:variant>
      <vt:variant>
        <vt:i4>1114118</vt:i4>
      </vt:variant>
      <vt:variant>
        <vt:i4>110</vt:i4>
      </vt:variant>
      <vt:variant>
        <vt:i4>0</vt:i4>
      </vt:variant>
      <vt:variant>
        <vt:i4>5</vt:i4>
      </vt:variant>
      <vt:variant>
        <vt:lpwstr/>
      </vt:variant>
      <vt:variant>
        <vt:lpwstr>_Toc327539988</vt:lpwstr>
      </vt:variant>
      <vt:variant>
        <vt:i4>1114121</vt:i4>
      </vt:variant>
      <vt:variant>
        <vt:i4>104</vt:i4>
      </vt:variant>
      <vt:variant>
        <vt:i4>0</vt:i4>
      </vt:variant>
      <vt:variant>
        <vt:i4>5</vt:i4>
      </vt:variant>
      <vt:variant>
        <vt:lpwstr/>
      </vt:variant>
      <vt:variant>
        <vt:lpwstr>_Toc327539987</vt:lpwstr>
      </vt:variant>
      <vt:variant>
        <vt:i4>1114120</vt:i4>
      </vt:variant>
      <vt:variant>
        <vt:i4>98</vt:i4>
      </vt:variant>
      <vt:variant>
        <vt:i4>0</vt:i4>
      </vt:variant>
      <vt:variant>
        <vt:i4>5</vt:i4>
      </vt:variant>
      <vt:variant>
        <vt:lpwstr/>
      </vt:variant>
      <vt:variant>
        <vt:lpwstr>_Toc327539986</vt:lpwstr>
      </vt:variant>
      <vt:variant>
        <vt:i4>1114123</vt:i4>
      </vt:variant>
      <vt:variant>
        <vt:i4>92</vt:i4>
      </vt:variant>
      <vt:variant>
        <vt:i4>0</vt:i4>
      </vt:variant>
      <vt:variant>
        <vt:i4>5</vt:i4>
      </vt:variant>
      <vt:variant>
        <vt:lpwstr/>
      </vt:variant>
      <vt:variant>
        <vt:lpwstr>_Toc327539985</vt:lpwstr>
      </vt:variant>
      <vt:variant>
        <vt:i4>1114122</vt:i4>
      </vt:variant>
      <vt:variant>
        <vt:i4>86</vt:i4>
      </vt:variant>
      <vt:variant>
        <vt:i4>0</vt:i4>
      </vt:variant>
      <vt:variant>
        <vt:i4>5</vt:i4>
      </vt:variant>
      <vt:variant>
        <vt:lpwstr/>
      </vt:variant>
      <vt:variant>
        <vt:lpwstr>_Toc327539984</vt:lpwstr>
      </vt:variant>
      <vt:variant>
        <vt:i4>1114125</vt:i4>
      </vt:variant>
      <vt:variant>
        <vt:i4>80</vt:i4>
      </vt:variant>
      <vt:variant>
        <vt:i4>0</vt:i4>
      </vt:variant>
      <vt:variant>
        <vt:i4>5</vt:i4>
      </vt:variant>
      <vt:variant>
        <vt:lpwstr/>
      </vt:variant>
      <vt:variant>
        <vt:lpwstr>_Toc327539983</vt:lpwstr>
      </vt:variant>
      <vt:variant>
        <vt:i4>1114124</vt:i4>
      </vt:variant>
      <vt:variant>
        <vt:i4>74</vt:i4>
      </vt:variant>
      <vt:variant>
        <vt:i4>0</vt:i4>
      </vt:variant>
      <vt:variant>
        <vt:i4>5</vt:i4>
      </vt:variant>
      <vt:variant>
        <vt:lpwstr/>
      </vt:variant>
      <vt:variant>
        <vt:lpwstr>_Toc327539982</vt:lpwstr>
      </vt:variant>
      <vt:variant>
        <vt:i4>1114127</vt:i4>
      </vt:variant>
      <vt:variant>
        <vt:i4>68</vt:i4>
      </vt:variant>
      <vt:variant>
        <vt:i4>0</vt:i4>
      </vt:variant>
      <vt:variant>
        <vt:i4>5</vt:i4>
      </vt:variant>
      <vt:variant>
        <vt:lpwstr/>
      </vt:variant>
      <vt:variant>
        <vt:lpwstr>_Toc327539981</vt:lpwstr>
      </vt:variant>
      <vt:variant>
        <vt:i4>1114126</vt:i4>
      </vt:variant>
      <vt:variant>
        <vt:i4>62</vt:i4>
      </vt:variant>
      <vt:variant>
        <vt:i4>0</vt:i4>
      </vt:variant>
      <vt:variant>
        <vt:i4>5</vt:i4>
      </vt:variant>
      <vt:variant>
        <vt:lpwstr/>
      </vt:variant>
      <vt:variant>
        <vt:lpwstr>_Toc327539980</vt:lpwstr>
      </vt:variant>
      <vt:variant>
        <vt:i4>1966087</vt:i4>
      </vt:variant>
      <vt:variant>
        <vt:i4>56</vt:i4>
      </vt:variant>
      <vt:variant>
        <vt:i4>0</vt:i4>
      </vt:variant>
      <vt:variant>
        <vt:i4>5</vt:i4>
      </vt:variant>
      <vt:variant>
        <vt:lpwstr/>
      </vt:variant>
      <vt:variant>
        <vt:lpwstr>_Toc327539979</vt:lpwstr>
      </vt:variant>
      <vt:variant>
        <vt:i4>1966086</vt:i4>
      </vt:variant>
      <vt:variant>
        <vt:i4>50</vt:i4>
      </vt:variant>
      <vt:variant>
        <vt:i4>0</vt:i4>
      </vt:variant>
      <vt:variant>
        <vt:i4>5</vt:i4>
      </vt:variant>
      <vt:variant>
        <vt:lpwstr/>
      </vt:variant>
      <vt:variant>
        <vt:lpwstr>_Toc327539978</vt:lpwstr>
      </vt:variant>
      <vt:variant>
        <vt:i4>1966089</vt:i4>
      </vt:variant>
      <vt:variant>
        <vt:i4>44</vt:i4>
      </vt:variant>
      <vt:variant>
        <vt:i4>0</vt:i4>
      </vt:variant>
      <vt:variant>
        <vt:i4>5</vt:i4>
      </vt:variant>
      <vt:variant>
        <vt:lpwstr/>
      </vt:variant>
      <vt:variant>
        <vt:lpwstr>_Toc327539977</vt:lpwstr>
      </vt:variant>
      <vt:variant>
        <vt:i4>1966088</vt:i4>
      </vt:variant>
      <vt:variant>
        <vt:i4>38</vt:i4>
      </vt:variant>
      <vt:variant>
        <vt:i4>0</vt:i4>
      </vt:variant>
      <vt:variant>
        <vt:i4>5</vt:i4>
      </vt:variant>
      <vt:variant>
        <vt:lpwstr/>
      </vt:variant>
      <vt:variant>
        <vt:lpwstr>_Toc327539976</vt:lpwstr>
      </vt:variant>
      <vt:variant>
        <vt:i4>1966091</vt:i4>
      </vt:variant>
      <vt:variant>
        <vt:i4>32</vt:i4>
      </vt:variant>
      <vt:variant>
        <vt:i4>0</vt:i4>
      </vt:variant>
      <vt:variant>
        <vt:i4>5</vt:i4>
      </vt:variant>
      <vt:variant>
        <vt:lpwstr/>
      </vt:variant>
      <vt:variant>
        <vt:lpwstr>_Toc327539975</vt:lpwstr>
      </vt:variant>
      <vt:variant>
        <vt:i4>1966090</vt:i4>
      </vt:variant>
      <vt:variant>
        <vt:i4>26</vt:i4>
      </vt:variant>
      <vt:variant>
        <vt:i4>0</vt:i4>
      </vt:variant>
      <vt:variant>
        <vt:i4>5</vt:i4>
      </vt:variant>
      <vt:variant>
        <vt:lpwstr/>
      </vt:variant>
      <vt:variant>
        <vt:lpwstr>_Toc327539974</vt:lpwstr>
      </vt:variant>
      <vt:variant>
        <vt:i4>1966093</vt:i4>
      </vt:variant>
      <vt:variant>
        <vt:i4>20</vt:i4>
      </vt:variant>
      <vt:variant>
        <vt:i4>0</vt:i4>
      </vt:variant>
      <vt:variant>
        <vt:i4>5</vt:i4>
      </vt:variant>
      <vt:variant>
        <vt:lpwstr/>
      </vt:variant>
      <vt:variant>
        <vt:lpwstr>_Toc327539973</vt:lpwstr>
      </vt:variant>
      <vt:variant>
        <vt:i4>1966092</vt:i4>
      </vt:variant>
      <vt:variant>
        <vt:i4>14</vt:i4>
      </vt:variant>
      <vt:variant>
        <vt:i4>0</vt:i4>
      </vt:variant>
      <vt:variant>
        <vt:i4>5</vt:i4>
      </vt:variant>
      <vt:variant>
        <vt:lpwstr/>
      </vt:variant>
      <vt:variant>
        <vt:lpwstr>_Toc327539972</vt:lpwstr>
      </vt:variant>
      <vt:variant>
        <vt:i4>1966095</vt:i4>
      </vt:variant>
      <vt:variant>
        <vt:i4>8</vt:i4>
      </vt:variant>
      <vt:variant>
        <vt:i4>0</vt:i4>
      </vt:variant>
      <vt:variant>
        <vt:i4>5</vt:i4>
      </vt:variant>
      <vt:variant>
        <vt:lpwstr/>
      </vt:variant>
      <vt:variant>
        <vt:lpwstr>_Toc327539971</vt:lpwstr>
      </vt:variant>
      <vt:variant>
        <vt:i4>1966094</vt:i4>
      </vt:variant>
      <vt:variant>
        <vt:i4>2</vt:i4>
      </vt:variant>
      <vt:variant>
        <vt:i4>0</vt:i4>
      </vt:variant>
      <vt:variant>
        <vt:i4>5</vt:i4>
      </vt:variant>
      <vt:variant>
        <vt:lpwstr/>
      </vt:variant>
      <vt:variant>
        <vt:lpwstr>_Toc327539970</vt:lpwstr>
      </vt:variant>
      <vt:variant>
        <vt:i4>6225998</vt:i4>
      </vt:variant>
      <vt:variant>
        <vt:i4>0</vt:i4>
      </vt:variant>
      <vt:variant>
        <vt:i4>0</vt:i4>
      </vt:variant>
      <vt:variant>
        <vt:i4>5</vt:i4>
      </vt:variant>
      <vt:variant>
        <vt:lpwstr>http://www.tcr.gub.uy/marco_tocaf/index.htm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dc:creator>
  <cp:lastModifiedBy>Andre E. Russo</cp:lastModifiedBy>
  <cp:revision>2</cp:revision>
  <cp:lastPrinted>2013-01-03T01:49:00Z</cp:lastPrinted>
  <dcterms:created xsi:type="dcterms:W3CDTF">2013-02-08T21:06:00Z</dcterms:created>
  <dcterms:modified xsi:type="dcterms:W3CDTF">2013-02-08T21:06:00Z</dcterms:modified>
</cp:coreProperties>
</file>